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ascii="Arial" w:hAnsi="Arial" w:eastAsia="宋体" w:cs="Times New Roman"/>
          <w:b/>
          <w:kern w:val="2"/>
          <w:sz w:val="24"/>
          <w:szCs w:val="21"/>
          <w:lang w:val="en-US" w:eastAsia="zh-CN" w:bidi="ar-SA"/>
        </w:rPr>
      </w:pPr>
      <w:bookmarkStart w:id="0" w:name="_Toc18413600"/>
      <w:bookmarkStart w:id="1" w:name="_Toc18404533"/>
      <w:bookmarkStart w:id="2" w:name="_Toc18403966"/>
      <w:r>
        <w:rPr>
          <w:rFonts w:ascii="Times New Roman" w:hAnsi="Times New Roman"/>
          <w:b/>
          <w:sz w:val="24"/>
        </w:rPr>
        <w:t>3GPP TSG-RAN WG2 Meeting #</w:t>
      </w:r>
      <w:r>
        <w:rPr>
          <w:rFonts w:ascii="Times New Roman" w:hAnsi="Times New Roman"/>
          <w:b/>
          <w:sz w:val="24"/>
          <w:lang w:eastAsia="zh-CN"/>
        </w:rPr>
        <w:t>1</w:t>
      </w:r>
      <w:r>
        <w:rPr>
          <w:rFonts w:hint="eastAsia" w:ascii="Times New Roman" w:hAnsi="Times New Roman"/>
          <w:b/>
          <w:sz w:val="24"/>
          <w:lang w:val="en-US" w:eastAsia="zh-CN"/>
        </w:rPr>
        <w:t>13-e</w:t>
      </w:r>
      <w:r>
        <w:rPr>
          <w:rFonts w:ascii="Times New Roman" w:hAnsi="Times New Roman"/>
          <w:b/>
          <w:i/>
          <w:sz w:val="24"/>
        </w:rPr>
        <w:t xml:space="preserve"> </w:t>
      </w:r>
      <w:r>
        <w:rPr>
          <w:rFonts w:ascii="Times New Roman" w:hAnsi="Times New Roman"/>
          <w:b/>
          <w:i/>
          <w:sz w:val="24"/>
          <w:lang w:val="en-US" w:eastAsia="zh-CN"/>
        </w:rPr>
        <w:t xml:space="preserve">                       </w:t>
      </w:r>
      <w:r>
        <w:rPr>
          <w:rFonts w:hint="eastAsia" w:ascii="Arial" w:hAnsi="Arial" w:eastAsia="宋体" w:cs="Times New Roman"/>
          <w:b/>
          <w:kern w:val="2"/>
          <w:sz w:val="24"/>
          <w:szCs w:val="21"/>
          <w:lang w:val="en-US" w:eastAsia="zh-CN" w:bidi="ar-SA"/>
        </w:rPr>
        <w:t xml:space="preserve"> R2-2101923</w:t>
      </w:r>
    </w:p>
    <w:p>
      <w:pPr>
        <w:pStyle w:val="286"/>
        <w:rPr>
          <w:rFonts w:cs="Arial"/>
          <w:bCs/>
          <w:kern w:val="0"/>
          <w:sz w:val="28"/>
          <w:szCs w:val="28"/>
        </w:rPr>
      </w:pPr>
      <w:r>
        <w:t xml:space="preserve">Electronic meeting, </w:t>
      </w:r>
      <w:r>
        <w:rPr>
          <w:rFonts w:hint="eastAsia"/>
          <w:lang w:val="en-US" w:eastAsia="zh-CN"/>
        </w:rPr>
        <w:t>25 January</w:t>
      </w:r>
      <w:r>
        <w:t xml:space="preserve"> – </w:t>
      </w:r>
      <w:r>
        <w:rPr>
          <w:rFonts w:hint="eastAsia" w:eastAsia="宋体"/>
          <w:lang w:val="en-US" w:eastAsia="zh-CN"/>
        </w:rPr>
        <w:t>2</w:t>
      </w:r>
      <w:r>
        <w:t xml:space="preserve"> </w:t>
      </w:r>
      <w:r>
        <w:rPr>
          <w:rFonts w:hint="eastAsia" w:eastAsia="宋体"/>
          <w:lang w:val="en-US" w:eastAsia="zh-CN"/>
        </w:rPr>
        <w:t>February</w:t>
      </w:r>
      <w:r>
        <w:t xml:space="preserve"> 202</w:t>
      </w:r>
      <w:r>
        <w:rPr>
          <w:rFonts w:hint="eastAsia"/>
          <w:lang w:val="en-US" w:eastAsia="zh-CN"/>
        </w:rPr>
        <w:t>1</w:t>
      </w:r>
      <w:r>
        <w:rPr>
          <w:rFonts w:cs="Arial"/>
          <w:bCs/>
          <w:kern w:val="0"/>
          <w:sz w:val="28"/>
          <w:szCs w:val="28"/>
        </w:rPr>
        <w:tab/>
      </w:r>
      <w:r>
        <w:rPr>
          <w:rFonts w:cs="Arial"/>
          <w:bCs/>
          <w:kern w:val="0"/>
          <w:sz w:val="28"/>
          <w:szCs w:val="28"/>
        </w:rPr>
        <w:t xml:space="preserve">      </w:t>
      </w:r>
      <w:r>
        <w:rPr>
          <w:rFonts w:cs="Arial"/>
          <w:bCs/>
          <w:color w:val="D9D9D9" w:themeColor="background1" w:themeShade="D9"/>
          <w:kern w:val="0"/>
          <w:sz w:val="20"/>
          <w:szCs w:val="28"/>
        </w:rPr>
        <w:t xml:space="preserve">   </w:t>
      </w:r>
    </w:p>
    <w:p>
      <w:pPr>
        <w:overflowPunct w:val="0"/>
        <w:autoSpaceDE w:val="0"/>
        <w:autoSpaceDN w:val="0"/>
        <w:adjustRightInd w:val="0"/>
        <w:snapToGrid w:val="0"/>
        <w:spacing w:before="240"/>
        <w:jc w:val="left"/>
        <w:textAlignment w:val="baseline"/>
        <w:rPr>
          <w:b/>
          <w:sz w:val="24"/>
        </w:rPr>
      </w:pPr>
      <w:r>
        <w:rPr>
          <w:b/>
          <w:sz w:val="24"/>
        </w:rPr>
        <w:t xml:space="preserve">Source: </w:t>
      </w:r>
      <w:r>
        <w:rPr>
          <w:b/>
          <w:sz w:val="24"/>
        </w:rPr>
        <w:tab/>
      </w:r>
      <w:r>
        <w:rPr>
          <w:b/>
          <w:sz w:val="24"/>
        </w:rPr>
        <w:tab/>
      </w:r>
      <w:r>
        <w:rPr>
          <w:b/>
          <w:sz w:val="24"/>
        </w:rPr>
        <w:tab/>
      </w:r>
      <w:bookmarkStart w:id="3" w:name="OLE_LINK6"/>
      <w:r>
        <w:rPr>
          <w:b/>
          <w:sz w:val="24"/>
        </w:rPr>
        <w:t>ZTE Corporation, Sanechips</w:t>
      </w:r>
      <w:bookmarkEnd w:id="3"/>
    </w:p>
    <w:p>
      <w:pPr>
        <w:overflowPunct w:val="0"/>
        <w:autoSpaceDE w:val="0"/>
        <w:autoSpaceDN w:val="0"/>
        <w:adjustRightInd w:val="0"/>
        <w:snapToGrid w:val="0"/>
        <w:ind w:left="2100" w:hanging="2100"/>
        <w:jc w:val="left"/>
        <w:textAlignment w:val="baseline"/>
        <w:rPr>
          <w:rFonts w:hint="default"/>
          <w:b/>
          <w:sz w:val="24"/>
          <w:lang w:val="en-US"/>
        </w:rPr>
      </w:pPr>
      <w:r>
        <w:rPr>
          <w:b/>
          <w:sz w:val="24"/>
        </w:rPr>
        <w:t xml:space="preserve">Title: </w:t>
      </w:r>
      <w:r>
        <w:rPr>
          <w:b/>
          <w:sz w:val="24"/>
        </w:rPr>
        <w:tab/>
      </w:r>
      <w:bookmarkStart w:id="4" w:name="OLE_LINK5"/>
      <w:r>
        <w:rPr>
          <w:rFonts w:hint="eastAsia"/>
          <w:b/>
          <w:sz w:val="24"/>
          <w:lang w:val="en-US" w:eastAsia="zh-CN"/>
        </w:rPr>
        <w:t xml:space="preserve">Discussion on </w:t>
      </w:r>
      <w:bookmarkEnd w:id="4"/>
      <w:r>
        <w:rPr>
          <w:rFonts w:hint="eastAsia"/>
          <w:b/>
          <w:sz w:val="24"/>
          <w:lang w:val="en-US" w:eastAsia="zh-CN"/>
        </w:rPr>
        <w:t>latency reduction of MO-LR</w:t>
      </w:r>
    </w:p>
    <w:p>
      <w:pPr>
        <w:overflowPunct w:val="0"/>
        <w:autoSpaceDE w:val="0"/>
        <w:autoSpaceDN w:val="0"/>
        <w:adjustRightInd w:val="0"/>
        <w:snapToGrid w:val="0"/>
        <w:jc w:val="left"/>
        <w:textAlignment w:val="baseline"/>
        <w:rPr>
          <w:rFonts w:hint="default" w:eastAsiaTheme="minorEastAsia"/>
          <w:b/>
          <w:sz w:val="24"/>
          <w:lang w:val="en-US" w:eastAsia="zh-CN"/>
        </w:rPr>
      </w:pPr>
      <w:r>
        <w:rPr>
          <w:b/>
          <w:sz w:val="24"/>
        </w:rPr>
        <w:t>Agenda item:</w:t>
      </w:r>
      <w:r>
        <w:rPr>
          <w:b/>
          <w:sz w:val="24"/>
        </w:rPr>
        <w:tab/>
      </w:r>
      <w:bookmarkStart w:id="5" w:name="Source"/>
      <w:bookmarkEnd w:id="5"/>
      <w:r>
        <w:rPr>
          <w:rFonts w:hint="eastAsia"/>
          <w:b/>
          <w:sz w:val="24"/>
          <w:lang w:val="en-US" w:eastAsia="zh-CN"/>
        </w:rPr>
        <w:tab/>
      </w:r>
      <w:r>
        <w:rPr>
          <w:rFonts w:hint="eastAsia"/>
          <w:b/>
          <w:sz w:val="24"/>
          <w:lang w:val="en-US" w:eastAsia="zh-CN"/>
        </w:rPr>
        <w:t>8.11.2.1</w:t>
      </w:r>
    </w:p>
    <w:p>
      <w:pPr>
        <w:overflowPunct w:val="0"/>
        <w:autoSpaceDE w:val="0"/>
        <w:autoSpaceDN w:val="0"/>
        <w:adjustRightInd w:val="0"/>
        <w:snapToGrid w:val="0"/>
        <w:jc w:val="left"/>
        <w:textAlignment w:val="baseline"/>
        <w:rPr>
          <w:b/>
          <w:sz w:val="24"/>
        </w:rPr>
      </w:pPr>
      <w:r>
        <w:rPr>
          <w:b/>
          <w:sz w:val="24"/>
        </w:rPr>
        <w:t>Document for:</w:t>
      </w:r>
      <w:bookmarkStart w:id="6" w:name="DocumentFor"/>
      <w:bookmarkEnd w:id="6"/>
      <w:r>
        <w:rPr>
          <w:rFonts w:hint="eastAsia"/>
          <w:b/>
          <w:sz w:val="24"/>
        </w:rPr>
        <w:t xml:space="preserve"> </w:t>
      </w:r>
      <w:r>
        <w:rPr>
          <w:b/>
          <w:sz w:val="24"/>
        </w:rPr>
        <w:tab/>
      </w:r>
      <w:r>
        <w:rPr>
          <w:b/>
          <w:sz w:val="24"/>
        </w:rPr>
        <w:t>Discussion</w:t>
      </w:r>
      <w:r>
        <w:rPr>
          <w:rFonts w:hint="eastAsia"/>
          <w:b/>
          <w:sz w:val="24"/>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pPr>
        <w:pStyle w:val="53"/>
        <w:spacing w:before="75" w:beforeAutospacing="0" w:after="75" w:afterAutospacing="0" w:line="315" w:lineRule="atLeast"/>
        <w:rPr>
          <w:rFonts w:hint="eastAsia" w:eastAsia="宋体" w:cs="Arial"/>
          <w:color w:val="000000"/>
          <w:sz w:val="21"/>
          <w:lang w:val="en-US" w:eastAsia="zh-CN"/>
        </w:rPr>
      </w:pPr>
      <w:r>
        <w:rPr>
          <w:rFonts w:hint="eastAsia" w:eastAsia="宋体" w:cs="Arial"/>
          <w:color w:val="000000"/>
          <w:sz w:val="21"/>
          <w:lang w:val="en-US" w:eastAsia="zh-CN"/>
        </w:rPr>
        <w:t>In RAN2#112e, the following agreements about the latency reduction has been approved.</w:t>
      </w:r>
    </w:p>
    <w:p>
      <w:pPr>
        <w:pStyle w:val="82"/>
        <w:pBdr>
          <w:top w:val="single" w:color="auto" w:sz="4" w:space="1"/>
          <w:left w:val="single" w:color="auto" w:sz="4" w:space="4"/>
          <w:bottom w:val="single" w:color="auto" w:sz="4" w:space="1"/>
          <w:right w:val="single" w:color="auto" w:sz="4" w:space="4"/>
        </w:pBdr>
      </w:pPr>
      <w:r>
        <w:t>Agreements:</w:t>
      </w:r>
    </w:p>
    <w:p>
      <w:pPr>
        <w:pStyle w:val="82"/>
        <w:pBdr>
          <w:top w:val="single" w:color="auto" w:sz="4" w:space="1"/>
          <w:left w:val="single" w:color="auto" w:sz="4" w:space="4"/>
          <w:bottom w:val="single" w:color="auto" w:sz="4" w:space="1"/>
          <w:right w:val="single" w:color="auto" w:sz="4" w:space="4"/>
        </w:pBdr>
      </w:pPr>
      <w:r>
        <w:t>1: For latency analysis of Rel.16 solutions, RAN2 only consider the latency of positioning procedure, i.e. step 5 in MO-LR/step 12 in MT-LR (involving RRC, LPP, NRPPa, MAC).  A note is added to the TR and in our response to RAN1 to clarify this is what we covered.  We can clarify to RAN1 that more time would be needed for an end-to-end analysis.</w:t>
      </w:r>
    </w:p>
    <w:p>
      <w:pPr>
        <w:pStyle w:val="82"/>
        <w:pBdr>
          <w:top w:val="single" w:color="auto" w:sz="4" w:space="1"/>
          <w:left w:val="single" w:color="auto" w:sz="4" w:space="4"/>
          <w:bottom w:val="single" w:color="auto" w:sz="4" w:space="1"/>
          <w:right w:val="single" w:color="auto" w:sz="4" w:space="4"/>
        </w:pBdr>
      </w:pPr>
      <w:r>
        <w:t xml:space="preserve">2: For latency analysis of Rel.16 solutions, RAN2 only consider the latency caused by UE, gNB, AMF and LMF. </w:t>
      </w:r>
    </w:p>
    <w:p>
      <w:pPr>
        <w:pStyle w:val="82"/>
        <w:pBdr>
          <w:top w:val="single" w:color="auto" w:sz="4" w:space="1"/>
          <w:left w:val="single" w:color="auto" w:sz="4" w:space="4"/>
          <w:bottom w:val="single" w:color="auto" w:sz="4" w:space="1"/>
          <w:right w:val="single" w:color="auto" w:sz="4" w:space="4"/>
        </w:pBdr>
      </w:pPr>
      <w:r>
        <w:t>3: For latency analysis of Rel.16 solutions, RAN2 consider both UE-based and UE-assisted.</w:t>
      </w:r>
    </w:p>
    <w:p>
      <w:pPr>
        <w:pStyle w:val="53"/>
        <w:spacing w:before="75" w:beforeAutospacing="0" w:after="75" w:afterAutospacing="0" w:line="315" w:lineRule="atLeast"/>
        <w:rPr>
          <w:rFonts w:hint="default" w:eastAsia="宋体"/>
          <w:lang w:val="en-US" w:eastAsia="zh-CN"/>
        </w:rPr>
      </w:pPr>
      <w:r>
        <w:rPr>
          <w:rFonts w:hint="eastAsia" w:eastAsia="宋体" w:cs="Arial"/>
          <w:color w:val="000000"/>
          <w:sz w:val="21"/>
          <w:lang w:val="en-US" w:eastAsia="zh-CN"/>
        </w:rPr>
        <w:t>Based on the agreements and the discussion resu</w:t>
      </w:r>
      <w:r>
        <w:rPr>
          <w:rFonts w:hint="eastAsia" w:eastAsia="宋体" w:cs="Arial"/>
          <w:color w:val="000000"/>
          <w:sz w:val="21"/>
          <w:highlight w:val="none"/>
          <w:lang w:val="en-US" w:eastAsia="zh-CN"/>
        </w:rPr>
        <w:t>lts R2-2010872[1] in R</w:t>
      </w:r>
      <w:r>
        <w:rPr>
          <w:rFonts w:hint="eastAsia" w:eastAsia="宋体" w:cs="Arial"/>
          <w:color w:val="000000"/>
          <w:sz w:val="21"/>
          <w:lang w:val="en-US" w:eastAsia="zh-CN"/>
        </w:rPr>
        <w:t>AN2#112e, the intention of the contribution is to share some views on the improvement of the MO-LR request.</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bookmarkStart w:id="7" w:name="OLE_LINK1"/>
      <w:r>
        <w:rPr>
          <w:rFonts w:hint="eastAsia" w:cs="Arial"/>
          <w:b w:val="0"/>
          <w:bCs w:val="0"/>
          <w:kern w:val="0"/>
          <w:sz w:val="32"/>
          <w:szCs w:val="36"/>
          <w:lang w:val="en-US" w:eastAsia="zh-CN"/>
        </w:rPr>
        <w:t>Background knowledge</w:t>
      </w:r>
    </w:p>
    <w:p>
      <w:pPr>
        <w:rPr>
          <w:rFonts w:hint="eastAsia"/>
          <w:lang w:val="en-US" w:eastAsia="zh-CN"/>
        </w:rPr>
      </w:pPr>
      <w:r>
        <w:rPr>
          <w:rFonts w:hint="eastAsia"/>
          <w:lang w:val="en-US" w:eastAsia="zh-CN"/>
        </w:rPr>
        <w:t>The background can be divided into three parts.</w:t>
      </w:r>
    </w:p>
    <w:p>
      <w:pPr>
        <w:numPr>
          <w:ilvl w:val="0"/>
          <w:numId w:val="0"/>
        </w:numPr>
        <w:rPr>
          <w:rFonts w:hint="default"/>
          <w:u w:val="single"/>
          <w:lang w:val="en-US" w:eastAsia="zh-CN"/>
        </w:rPr>
      </w:pPr>
      <w:r>
        <w:rPr>
          <w:rFonts w:hint="eastAsia"/>
          <w:u w:val="single"/>
          <w:lang w:val="en-US" w:eastAsia="zh-CN"/>
        </w:rPr>
        <w:t>1 MO-LR request</w:t>
      </w:r>
    </w:p>
    <w:bookmarkEnd w:id="7"/>
    <w:p>
      <w:pPr>
        <w:numPr>
          <w:ilvl w:val="0"/>
          <w:numId w:val="0"/>
        </w:numPr>
        <w:rPr>
          <w:rFonts w:hint="eastAsia" w:eastAsia="宋体"/>
          <w:lang w:val="en-US" w:eastAsia="zh-CN"/>
        </w:rPr>
      </w:pPr>
      <w:r>
        <w:rPr>
          <w:rFonts w:hint="eastAsia" w:eastAsia="宋体"/>
          <w:lang w:val="en-US" w:eastAsia="zh-CN"/>
        </w:rPr>
        <w:t>The call flow below shows the parts of MO-LR procedure which are defined in TS23.273[2].</w:t>
      </w:r>
    </w:p>
    <w:p>
      <w:pPr>
        <w:numPr>
          <w:ilvl w:val="0"/>
          <w:numId w:val="0"/>
        </w:numPr>
      </w:pPr>
      <w:r>
        <w:drawing>
          <wp:inline distT="0" distB="0" distL="114300" distR="114300">
            <wp:extent cx="5725795" cy="1790065"/>
            <wp:effectExtent l="0" t="0" r="8255" b="63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5725795" cy="1790065"/>
                    </a:xfrm>
                    <a:prstGeom prst="rect">
                      <a:avLst/>
                    </a:prstGeom>
                    <a:noFill/>
                    <a:ln>
                      <a:noFill/>
                    </a:ln>
                  </pic:spPr>
                </pic:pic>
              </a:graphicData>
            </a:graphic>
          </wp:inline>
        </w:drawing>
      </w:r>
    </w:p>
    <w:p>
      <w:pPr>
        <w:numPr>
          <w:ilvl w:val="0"/>
          <w:numId w:val="0"/>
        </w:numPr>
        <w:jc w:val="center"/>
        <w:rPr>
          <w:rFonts w:hint="default"/>
          <w:lang w:val="en-US" w:eastAsia="zh-CN"/>
        </w:rPr>
      </w:pPr>
      <w:r>
        <w:rPr>
          <w:rFonts w:hint="default"/>
          <w:b/>
          <w:bCs/>
          <w:lang w:val="en-US" w:eastAsia="zh-CN"/>
        </w:rPr>
        <w:t xml:space="preserve">Figure </w:t>
      </w:r>
      <w:r>
        <w:rPr>
          <w:rFonts w:hint="eastAsia"/>
          <w:b/>
          <w:bCs/>
          <w:lang w:val="en-US" w:eastAsia="zh-CN"/>
        </w:rPr>
        <w:t>1</w:t>
      </w:r>
      <w:r>
        <w:rPr>
          <w:rFonts w:hint="default"/>
          <w:b/>
          <w:bCs/>
          <w:lang w:val="en-US" w:eastAsia="zh-CN"/>
        </w:rPr>
        <w:t xml:space="preserve">: </w:t>
      </w:r>
      <w:r>
        <w:rPr>
          <w:rFonts w:hint="eastAsia"/>
          <w:b/>
          <w:bCs/>
          <w:lang w:val="en-US" w:eastAsia="zh-CN"/>
        </w:rPr>
        <w:t xml:space="preserve">Parts of </w:t>
      </w:r>
      <w:r>
        <w:rPr>
          <w:rFonts w:hint="default"/>
          <w:b/>
          <w:bCs/>
          <w:lang w:val="en-US" w:eastAsia="zh-CN"/>
        </w:rPr>
        <w:t>5GC-MO-LR Procedure</w:t>
      </w:r>
    </w:p>
    <w:p>
      <w:pPr>
        <w:numPr>
          <w:ilvl w:val="0"/>
          <w:numId w:val="0"/>
        </w:numPr>
        <w:rPr>
          <w:rFonts w:hint="eastAsia" w:eastAsia="宋体"/>
          <w:lang w:val="en-US" w:eastAsia="zh-CN"/>
        </w:rPr>
      </w:pPr>
      <w:r>
        <w:rPr>
          <w:rFonts w:hint="eastAsia" w:eastAsia="宋体"/>
          <w:lang w:val="en-US" w:eastAsia="zh-CN"/>
        </w:rPr>
        <w:t>In step 2, UE sends a MO-LR Request message included in a UL NAS TRANSPORT message. The MO-LR request message may contain the LCS requested QoS information, the requested maximum age of location, requested type of location and information about the LCS Client which depends on the positioning service requirement. In addition, the MO-LR request message may optionally include an LPP positioning message. And in current specification, there is no definition about the type of the LPP message.</w:t>
      </w:r>
    </w:p>
    <w:p>
      <w:pPr>
        <w:numPr>
          <w:ilvl w:val="0"/>
          <w:numId w:val="0"/>
        </w:numPr>
        <w:rPr>
          <w:rFonts w:hint="default" w:eastAsia="宋体"/>
          <w:b/>
          <w:bCs/>
          <w:lang w:val="en-US" w:eastAsia="zh-CN"/>
        </w:rPr>
      </w:pPr>
      <w:r>
        <w:rPr>
          <w:rFonts w:hint="eastAsia" w:eastAsia="宋体"/>
          <w:b/>
          <w:bCs/>
          <w:lang w:val="en-US" w:eastAsia="zh-CN"/>
        </w:rPr>
        <w:t>Observation 1: A LPP message can be included in the MO-LR request message in Rel-16.</w:t>
      </w:r>
    </w:p>
    <w:p>
      <w:pPr>
        <w:numPr>
          <w:ilvl w:val="0"/>
          <w:numId w:val="0"/>
        </w:numPr>
        <w:rPr>
          <w:rFonts w:hint="default" w:eastAsia="宋体"/>
          <w:u w:val="single"/>
          <w:lang w:val="en-US" w:eastAsia="zh-CN"/>
        </w:rPr>
      </w:pPr>
      <w:r>
        <w:rPr>
          <w:rFonts w:hint="eastAsia" w:eastAsia="宋体"/>
          <w:u w:val="single"/>
          <w:lang w:val="en-US" w:eastAsia="zh-CN"/>
        </w:rPr>
        <w:t>2 ProvideLocationInformation</w:t>
      </w:r>
    </w:p>
    <w:p>
      <w:pPr>
        <w:numPr>
          <w:ilvl w:val="0"/>
          <w:numId w:val="0"/>
        </w:numPr>
        <w:rPr>
          <w:rFonts w:hint="eastAsia" w:eastAsia="宋体"/>
          <w:lang w:val="en-US" w:eastAsia="zh-CN"/>
        </w:rPr>
      </w:pPr>
      <w:r>
        <w:rPr>
          <w:rFonts w:hint="eastAsia" w:eastAsia="宋体"/>
          <w:lang w:val="en-US" w:eastAsia="zh-CN"/>
        </w:rPr>
        <w:t>The structure of the ProvideLocationInformation IE is defined in TS37.355[3] and can be found below:</w:t>
      </w:r>
    </w:p>
    <w:p>
      <w:pPr>
        <w:numPr>
          <w:ilvl w:val="0"/>
          <w:numId w:val="0"/>
        </w:numPr>
        <w:jc w:val="center"/>
      </w:pPr>
      <w:r>
        <w:drawing>
          <wp:inline distT="0" distB="0" distL="114300" distR="114300">
            <wp:extent cx="3691890" cy="3185160"/>
            <wp:effectExtent l="0" t="0" r="3810" b="1524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8"/>
                    <a:stretch>
                      <a:fillRect/>
                    </a:stretch>
                  </pic:blipFill>
                  <pic:spPr>
                    <a:xfrm>
                      <a:off x="0" y="0"/>
                      <a:ext cx="3691890" cy="3185160"/>
                    </a:xfrm>
                    <a:prstGeom prst="rect">
                      <a:avLst/>
                    </a:prstGeom>
                    <a:noFill/>
                    <a:ln>
                      <a:noFill/>
                    </a:ln>
                  </pic:spPr>
                </pic:pic>
              </a:graphicData>
            </a:graphic>
          </wp:inline>
        </w:drawing>
      </w:r>
    </w:p>
    <w:p>
      <w:pPr>
        <w:numPr>
          <w:ilvl w:val="0"/>
          <w:numId w:val="0"/>
        </w:numPr>
        <w:jc w:val="center"/>
        <w:rPr>
          <w:rFonts w:hint="eastAsia"/>
          <w:lang w:val="en-US" w:eastAsia="zh-CN"/>
        </w:rPr>
      </w:pPr>
      <w:r>
        <w:rPr>
          <w:rFonts w:hint="eastAsia"/>
          <w:b/>
          <w:bCs/>
          <w:lang w:val="en-US" w:eastAsia="zh-CN"/>
        </w:rPr>
        <w:t>Figure 2: structure of ProvideLocationInformation</w:t>
      </w:r>
    </w:p>
    <w:p>
      <w:pPr>
        <w:numPr>
          <w:ilvl w:val="0"/>
          <w:numId w:val="0"/>
        </w:numPr>
        <w:rPr>
          <w:rFonts w:hint="eastAsia"/>
          <w:lang w:val="en-US" w:eastAsia="zh-CN"/>
        </w:rPr>
      </w:pPr>
      <w:r>
        <w:rPr>
          <w:rFonts w:hint="eastAsia"/>
          <w:lang w:val="en-US" w:eastAsia="zh-CN"/>
        </w:rPr>
        <w:t xml:space="preserve">As shown in the figure, the estimate location can be included in the CommonIEsProvideLocationInformation. And the measurement reports for different positioning methods can be recorded in the different related IEs. For example, the measurement report which is generated by DL-TDOA can be found in NR-DL-TDOA-ProvideLocationInformation-r16. </w:t>
      </w:r>
    </w:p>
    <w:p>
      <w:pPr>
        <w:numPr>
          <w:ilvl w:val="0"/>
          <w:numId w:val="0"/>
        </w:numPr>
        <w:rPr>
          <w:rFonts w:hint="eastAsia"/>
          <w:b/>
          <w:bCs/>
          <w:lang w:val="en-US" w:eastAsia="zh-CN"/>
        </w:rPr>
      </w:pPr>
      <w:r>
        <w:rPr>
          <w:rFonts w:hint="eastAsia"/>
          <w:b/>
          <w:bCs/>
          <w:lang w:val="en-US" w:eastAsia="zh-CN"/>
        </w:rPr>
        <w:t>Observation 2: LMF can figure out the positioning methods UE performed from the uploaded measurement reports.</w:t>
      </w:r>
    </w:p>
    <w:p>
      <w:pPr>
        <w:numPr>
          <w:ilvl w:val="0"/>
          <w:numId w:val="0"/>
        </w:numPr>
        <w:rPr>
          <w:rFonts w:hint="default"/>
          <w:b w:val="0"/>
          <w:bCs w:val="0"/>
          <w:u w:val="single"/>
          <w:lang w:val="en-US" w:eastAsia="zh-CN"/>
        </w:rPr>
      </w:pPr>
      <w:r>
        <w:rPr>
          <w:rFonts w:hint="eastAsia"/>
          <w:b w:val="0"/>
          <w:bCs w:val="0"/>
          <w:u w:val="single"/>
          <w:lang w:val="en-US" w:eastAsia="zh-CN"/>
        </w:rPr>
        <w:t>3 Positioning SI</w:t>
      </w:r>
    </w:p>
    <w:p>
      <w:pPr>
        <w:numPr>
          <w:ilvl w:val="0"/>
          <w:numId w:val="0"/>
        </w:numPr>
        <w:rPr>
          <w:rFonts w:hint="default" w:eastAsiaTheme="minorEastAsia"/>
          <w:b w:val="0"/>
          <w:bCs w:val="0"/>
          <w:lang w:val="en-US" w:eastAsia="zh-CN"/>
        </w:rPr>
      </w:pPr>
      <w:r>
        <w:rPr>
          <w:rFonts w:hint="eastAsia"/>
          <w:b w:val="0"/>
          <w:bCs w:val="0"/>
          <w:lang w:val="en-US" w:eastAsia="zh-CN"/>
        </w:rPr>
        <w:t>UE can find the positioning information from either LPP provide assistance information message or positioning SI. In Rel-16, the assistance information about GNSS, OTDOA, Barometric, TBS, and NR DL-TDOA/DL-AoD can be found in the positioning SI.</w:t>
      </w:r>
    </w:p>
    <w:p>
      <w:pPr>
        <w:numPr>
          <w:ilvl w:val="0"/>
          <w:numId w:val="0"/>
        </w:numPr>
        <w:rPr>
          <w:rFonts w:hint="default"/>
          <w:b/>
          <w:bCs/>
          <w:lang w:val="en-US" w:eastAsia="zh-CN"/>
        </w:rPr>
      </w:pP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eastAsia" w:cs="Arial"/>
          <w:b w:val="0"/>
          <w:bCs w:val="0"/>
          <w:kern w:val="0"/>
          <w:sz w:val="32"/>
          <w:szCs w:val="36"/>
          <w:lang w:val="en-US" w:eastAsia="zh-CN"/>
        </w:rPr>
        <w:t>Discussion of the enhancement of MO-LR request</w:t>
      </w:r>
    </w:p>
    <w:p>
      <w:pPr>
        <w:rPr>
          <w:rFonts w:hint="eastAsia" w:eastAsia="宋体"/>
          <w:lang w:val="en-US" w:eastAsia="zh-CN"/>
        </w:rPr>
      </w:pPr>
      <w:r>
        <w:rPr>
          <w:rFonts w:hint="eastAsia" w:eastAsia="宋体"/>
          <w:lang w:val="en-US" w:eastAsia="zh-CN"/>
        </w:rPr>
        <w:t>From our point of view, the great latency gain may be achieved if the LPP provide location information can be added into MO-LR request message. The explanation for involved positioning methods will be explained below separately.</w:t>
      </w:r>
    </w:p>
    <w:p>
      <w:pPr>
        <w:rPr>
          <w:rFonts w:hint="default" w:eastAsia="宋体"/>
          <w:lang w:val="en-US" w:eastAsia="zh-CN"/>
        </w:rPr>
      </w:pPr>
      <w:r>
        <w:rPr>
          <w:rFonts w:hint="eastAsia" w:eastAsia="宋体"/>
          <w:lang w:val="en-US" w:eastAsia="zh-CN"/>
        </w:rPr>
        <w:t>Because in the last version of the specification, only OTDOA based on LTE signals is supported, this positioning method will not be discussed in this report.</w:t>
      </w:r>
    </w:p>
    <w:p>
      <w:pPr>
        <w:rPr>
          <w:rFonts w:hint="default" w:eastAsia="宋体"/>
          <w:lang w:val="en-US" w:eastAsia="zh-CN"/>
        </w:rPr>
      </w:pPr>
      <w:r>
        <w:rPr>
          <w:rFonts w:hint="eastAsia" w:eastAsia="宋体"/>
          <w:lang w:val="en-US" w:eastAsia="zh-CN"/>
        </w:rPr>
        <w:t>For NR DL-TDOA/DL-AoD, the NR-DL-TDOA-Error/NR-DL-AoD-Error IE and NR-SelectedDL-PRS-IndexList IE can only be found in the LPP provide assistance data message. If UE has performed the DL-TDOA/DL-AoD recently, UE may be able to keep the NR-SelectedDL-PRS-IndexList IE and use this IE in the next PRS measurement. Therefore, UE can receive the PRS assistance data from the broadcast message and perform the PRS measurements. Then the LPP provide location information message which may contain either the estimate location or measurement reports can be forwarded to the LMF, combined with the MO-LR request.</w:t>
      </w:r>
    </w:p>
    <w:p>
      <w:pPr>
        <w:rPr>
          <w:rFonts w:hint="default" w:eastAsia="宋体"/>
          <w:lang w:val="en-US" w:eastAsia="zh-CN"/>
        </w:rPr>
      </w:pPr>
      <w:r>
        <w:rPr>
          <w:rFonts w:hint="eastAsia" w:eastAsia="宋体"/>
          <w:lang w:val="en-US" w:eastAsia="zh-CN"/>
        </w:rPr>
        <w:t>For Barometric, TBS and GNSS, they can run as standalone mode which means these positioning methods do not rely on the 3GPP network. It is possible for UE to find enough assistance data in the positioning SI before the positioning service starts and forwards either the measurement report or estimate location to the NW with the MO-LR request.</w:t>
      </w:r>
    </w:p>
    <w:p>
      <w:pPr>
        <w:rPr>
          <w:rFonts w:hint="eastAsia" w:eastAsia="宋体"/>
          <w:lang w:val="en-US" w:eastAsia="zh-CN"/>
        </w:rPr>
      </w:pPr>
      <w:r>
        <w:rPr>
          <w:rFonts w:hint="eastAsia" w:eastAsia="宋体"/>
          <w:lang w:val="en-US" w:eastAsia="zh-CN"/>
        </w:rPr>
        <w:t xml:space="preserve">For NR DL E-CID, though UE can not find any assistance message in the positioning SI, based on the definition, the UE generally is not expected to make additional measurements for this positioning method. Based on the definition in TS 38.305[4], the UE only needs to measure and report SS-RSRP, SS-RSRQ, CSI-RSRP and CSI-RSRQ for the NR DL E-CID. In other words, it is possible for a UE to forward the measurement results with the MO-LR request to the LMF directly without getting further LPP positioning assistance data from LMF. </w:t>
      </w:r>
    </w:p>
    <w:p>
      <w:pPr>
        <w:rPr>
          <w:rFonts w:hint="eastAsia" w:eastAsia="宋体"/>
          <w:lang w:val="en-US" w:eastAsia="zh-CN"/>
        </w:rPr>
      </w:pPr>
      <w:r>
        <w:rPr>
          <w:rFonts w:hint="eastAsia" w:eastAsia="宋体"/>
          <w:lang w:val="en-US" w:eastAsia="zh-CN"/>
        </w:rPr>
        <w:t>For other RAT-independent positioning methods like Bluetooth, WLAN and Sensor, UE is able to send the MO-LR request and the LPP provide location information which contains the estimate location(UE- based) or measurement report(UE-assisted) to the NW side.</w:t>
      </w:r>
    </w:p>
    <w:p>
      <w:pPr>
        <w:rPr>
          <w:rFonts w:hint="default" w:eastAsia="宋体"/>
          <w:b/>
          <w:bCs/>
          <w:lang w:val="en-US" w:eastAsia="zh-CN"/>
        </w:rPr>
      </w:pPr>
      <w:r>
        <w:rPr>
          <w:rFonts w:hint="eastAsia" w:eastAsia="宋体"/>
          <w:b/>
          <w:bCs/>
          <w:lang w:val="en-US" w:eastAsia="zh-CN"/>
        </w:rPr>
        <w:t>Observation 3: For some positioning methods, UE can perform the positioning related measurements and calculation before MO-LR request transmission.</w:t>
      </w:r>
    </w:p>
    <w:p>
      <w:pPr>
        <w:rPr>
          <w:rFonts w:hint="eastAsia" w:eastAsia="宋体"/>
          <w:lang w:val="en-US" w:eastAsia="zh-CN"/>
        </w:rPr>
      </w:pPr>
      <w:r>
        <w:rPr>
          <w:rFonts w:hint="eastAsia" w:eastAsia="宋体"/>
          <w:lang w:val="en-US" w:eastAsia="zh-CN"/>
        </w:rPr>
        <w:t xml:space="preserve">Based on the discussion result in </w:t>
      </w:r>
      <w:r>
        <w:rPr>
          <w:rFonts w:hint="eastAsia" w:eastAsia="宋体" w:cs="Arial"/>
          <w:color w:val="000000"/>
          <w:sz w:val="21"/>
          <w:highlight w:val="none"/>
          <w:lang w:val="en-US" w:eastAsia="zh-CN"/>
        </w:rPr>
        <w:t>R2-2010872[1]</w:t>
      </w:r>
      <w:r>
        <w:rPr>
          <w:rFonts w:hint="eastAsia" w:eastAsia="宋体"/>
          <w:lang w:val="en-US" w:eastAsia="zh-CN"/>
        </w:rPr>
        <w:t>, the positioning procedure of DL-TDOA/DL-AoD is shown below:</w:t>
      </w:r>
    </w:p>
    <w:p>
      <w:pPr>
        <w:jc w:val="center"/>
        <w:rPr>
          <w:rFonts w:hint="default" w:eastAsia="宋体"/>
          <w:lang w:val="en-US" w:eastAsia="zh-CN"/>
        </w:rPr>
      </w:pPr>
      <w:r>
        <w:rPr>
          <w:lang w:eastAsia="ko-KR"/>
        </w:rPr>
        <w:object>
          <v:shape id="_x0000_i1025" o:spt="75" type="#_x0000_t75" style="height:339.9pt;width:386.7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o:LockedField>false</o:LockedField>
          </o:OLEObject>
        </w:object>
      </w:r>
    </w:p>
    <w:p>
      <w:pPr>
        <w:jc w:val="center"/>
        <w:rPr>
          <w:rFonts w:hint="default" w:eastAsia="宋体"/>
          <w:lang w:val="en-US" w:eastAsia="zh-CN"/>
        </w:rPr>
      </w:pPr>
      <w:r>
        <w:rPr>
          <w:rFonts w:hint="eastAsia" w:eastAsia="宋体"/>
          <w:b/>
          <w:bCs/>
          <w:lang w:val="zh-CN" w:eastAsia="en-US"/>
        </w:rPr>
        <w:t xml:space="preserve">Figure </w:t>
      </w:r>
      <w:r>
        <w:rPr>
          <w:rFonts w:hint="eastAsia" w:eastAsia="宋体"/>
          <w:b/>
          <w:bCs/>
          <w:lang w:val="en-US" w:eastAsia="zh-CN"/>
        </w:rPr>
        <w:t>3:</w:t>
      </w:r>
      <w:r>
        <w:rPr>
          <w:rFonts w:hint="eastAsia" w:eastAsia="宋体"/>
          <w:b/>
          <w:bCs/>
          <w:lang w:val="zh-CN" w:eastAsia="en-US"/>
        </w:rPr>
        <w:t xml:space="preserve"> procedure for DL-TDOA/DL-AoD</w:t>
      </w:r>
    </w:p>
    <w:p>
      <w:pPr>
        <w:rPr>
          <w:rFonts w:hint="eastAsia" w:eastAsia="宋体"/>
          <w:lang w:val="en-US" w:eastAsia="zh-CN"/>
        </w:rPr>
      </w:pPr>
      <w:r>
        <w:rPr>
          <w:rFonts w:hint="eastAsia" w:eastAsia="宋体"/>
          <w:lang w:val="en-US" w:eastAsia="zh-CN"/>
        </w:rPr>
        <w:t>With the modification described in this tdoc, the modified DL-TDOA/DL-AoD procedure is shown below:</w:t>
      </w:r>
    </w:p>
    <w:p>
      <w:r>
        <w:drawing>
          <wp:inline distT="0" distB="0" distL="114300" distR="114300">
            <wp:extent cx="5427345" cy="1542415"/>
            <wp:effectExtent l="0" t="0" r="1905" b="635"/>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pic:cNvPicPr>
                  </pic:nvPicPr>
                  <pic:blipFill>
                    <a:blip r:embed="rId10"/>
                    <a:stretch>
                      <a:fillRect/>
                    </a:stretch>
                  </pic:blipFill>
                  <pic:spPr>
                    <a:xfrm>
                      <a:off x="0" y="0"/>
                      <a:ext cx="5427345" cy="1542415"/>
                    </a:xfrm>
                    <a:prstGeom prst="rect">
                      <a:avLst/>
                    </a:prstGeom>
                    <a:noFill/>
                    <a:ln>
                      <a:noFill/>
                    </a:ln>
                  </pic:spPr>
                </pic:pic>
              </a:graphicData>
            </a:graphic>
          </wp:inline>
        </w:drawing>
      </w:r>
    </w:p>
    <w:p>
      <w:pPr>
        <w:jc w:val="center"/>
        <w:rPr>
          <w:rFonts w:hint="default" w:eastAsiaTheme="minorEastAsia"/>
          <w:b/>
          <w:bCs/>
          <w:lang w:val="en-US" w:eastAsia="zh-CN"/>
        </w:rPr>
      </w:pPr>
      <w:r>
        <w:rPr>
          <w:rFonts w:hint="eastAsia"/>
          <w:b/>
          <w:bCs/>
          <w:lang w:val="en-US" w:eastAsia="zh-CN"/>
        </w:rPr>
        <w:t>Figure 4:</w:t>
      </w:r>
      <w:bookmarkStart w:id="12" w:name="_GoBack"/>
      <w:bookmarkEnd w:id="12"/>
      <w:r>
        <w:rPr>
          <w:rFonts w:hint="eastAsia"/>
          <w:b/>
          <w:bCs/>
          <w:lang w:val="en-US" w:eastAsia="zh-CN"/>
        </w:rPr>
        <w:t xml:space="preserve"> modified Procedure for DL-TDOA/DL-AoD</w:t>
      </w:r>
    </w:p>
    <w:p>
      <w:pPr>
        <w:rPr>
          <w:rFonts w:hint="default" w:eastAsia="宋体"/>
          <w:lang w:val="en-US" w:eastAsia="zh-CN"/>
        </w:rPr>
      </w:pPr>
      <w:r>
        <w:rPr>
          <w:rFonts w:hint="eastAsia" w:eastAsia="宋体"/>
          <w:lang w:val="en-US" w:eastAsia="zh-CN"/>
        </w:rPr>
        <w:t>As illustrated in the above figure, a UE performs the PRS measurement and get the measurement report before the MO_LR request. Then the UE sends the MO-LR request and the LPP provide location information to the AMF and initiates a new positioning service. After LMF receives the measurement report, LMF can calculate the estimate location and send the positioning response to related entity. Similar procedure can also be deployed in NR DL E-CID and other positioning methods which are mentioned before. It is clear that sending LPP provide location information message with the MO-LR request can make great contribution to the latency reduction.</w:t>
      </w:r>
    </w:p>
    <w:p>
      <w:pPr>
        <w:rPr>
          <w:rFonts w:hint="default" w:eastAsia="宋体"/>
          <w:b/>
          <w:bCs/>
          <w:lang w:val="en-US" w:eastAsia="zh-CN"/>
        </w:rPr>
      </w:pPr>
      <w:r>
        <w:rPr>
          <w:rFonts w:hint="eastAsia" w:eastAsia="宋体"/>
          <w:b/>
          <w:bCs/>
          <w:lang w:val="en-US" w:eastAsia="zh-CN"/>
        </w:rPr>
        <w:t>Proposal 1： RAN2 shall consider that UE may be able to add the LPP Provide Location Information into the MO-LR request. Detail can be FFS.</w:t>
      </w:r>
    </w:p>
    <w:p>
      <w:pPr>
        <w:rPr>
          <w:rFonts w:hint="default" w:eastAsia="宋体"/>
          <w:lang w:val="en-US" w:eastAsia="zh-CN"/>
        </w:rPr>
      </w:pP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numPr>
          <w:ilvl w:val="0"/>
          <w:numId w:val="0"/>
        </w:numPr>
        <w:rPr>
          <w:rFonts w:hint="default" w:eastAsia="宋体"/>
          <w:b/>
          <w:bCs/>
          <w:lang w:val="en-US" w:eastAsia="zh-CN"/>
        </w:rPr>
      </w:pPr>
      <w:r>
        <w:rPr>
          <w:rFonts w:hint="eastAsia" w:eastAsia="宋体"/>
          <w:b/>
          <w:bCs/>
          <w:lang w:val="en-US" w:eastAsia="zh-CN"/>
        </w:rPr>
        <w:t>Observation 1: A LPP message can be included in the MO-LR request message in Rel-16.</w:t>
      </w:r>
    </w:p>
    <w:p>
      <w:pPr>
        <w:numPr>
          <w:ilvl w:val="0"/>
          <w:numId w:val="0"/>
        </w:numPr>
        <w:rPr>
          <w:rFonts w:hint="eastAsia"/>
          <w:b/>
          <w:bCs/>
          <w:lang w:val="en-US" w:eastAsia="zh-CN"/>
        </w:rPr>
      </w:pPr>
      <w:r>
        <w:rPr>
          <w:rFonts w:hint="eastAsia"/>
          <w:b/>
          <w:bCs/>
          <w:lang w:val="en-US" w:eastAsia="zh-CN"/>
        </w:rPr>
        <w:t>Observation 2: LMF can figure out the positioning methods UE performed from the uploaded measurement reports.</w:t>
      </w:r>
    </w:p>
    <w:p>
      <w:pPr>
        <w:rPr>
          <w:rFonts w:hint="default" w:eastAsia="宋体"/>
          <w:b/>
          <w:bCs/>
          <w:lang w:val="en-US" w:eastAsia="zh-CN"/>
        </w:rPr>
      </w:pPr>
      <w:r>
        <w:rPr>
          <w:rFonts w:hint="eastAsia" w:eastAsia="宋体"/>
          <w:b/>
          <w:bCs/>
          <w:lang w:val="en-US" w:eastAsia="zh-CN"/>
        </w:rPr>
        <w:t>Observation 3: For some positioning methods, UE can perform the positioning related measurements and calculation before MO-LR request transmission.</w:t>
      </w:r>
    </w:p>
    <w:p>
      <w:pPr>
        <w:rPr>
          <w:rFonts w:hint="eastAsia" w:eastAsia="宋体"/>
          <w:b/>
          <w:bCs/>
          <w:lang w:val="en-US" w:eastAsia="zh-CN"/>
        </w:rPr>
      </w:pPr>
      <w:r>
        <w:rPr>
          <w:rFonts w:hint="eastAsia" w:eastAsia="宋体"/>
          <w:b/>
          <w:bCs/>
          <w:lang w:val="en-US" w:eastAsia="zh-CN"/>
        </w:rPr>
        <w:t>Proposal 1： RAN2 shall consider that UE may be able to add the LPP Provide Location Information into the MO-LR request. Detail can be FFS.</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8" w:name="_Toc18404543"/>
      <w:bookmarkStart w:id="9" w:name="_Toc18403976"/>
      <w:bookmarkStart w:id="10" w:name="_Toc18413612"/>
      <w:r>
        <w:rPr>
          <w:rFonts w:cs="Arial"/>
          <w:b w:val="0"/>
          <w:bCs w:val="0"/>
          <w:kern w:val="0"/>
          <w:sz w:val="32"/>
          <w:szCs w:val="36"/>
        </w:rPr>
        <w:t>References</w:t>
      </w:r>
      <w:bookmarkEnd w:id="8"/>
      <w:bookmarkEnd w:id="9"/>
      <w:bookmarkEnd w:id="10"/>
    </w:p>
    <w:p>
      <w:pPr>
        <w:pStyle w:val="53"/>
        <w:keepNext w:val="0"/>
        <w:keepLines w:val="0"/>
        <w:pageBreakBefore w:val="0"/>
        <w:numPr>
          <w:ilvl w:val="0"/>
          <w:numId w:val="6"/>
        </w:numPr>
        <w:kinsoku/>
        <w:wordWrap/>
        <w:overflowPunct/>
        <w:topLinePunct w:val="0"/>
        <w:autoSpaceDE/>
        <w:autoSpaceDN/>
        <w:bidi w:val="0"/>
        <w:adjustRightInd/>
        <w:snapToGrid/>
        <w:spacing w:before="75" w:beforeAutospacing="0" w:after="75" w:afterAutospacing="0" w:line="240" w:lineRule="auto"/>
        <w:textAlignment w:val="auto"/>
      </w:pPr>
      <w:r>
        <w:rPr>
          <w:rFonts w:hint="eastAsia" w:eastAsia="宋体" w:cs="Arial"/>
          <w:strike w:val="0"/>
          <w:dstrike w:val="0"/>
          <w:color w:val="000000"/>
          <w:sz w:val="21"/>
          <w:lang w:val="en-US" w:eastAsia="zh-CN"/>
        </w:rPr>
        <w:t xml:space="preserve">3GPP R2-2010873, </w:t>
      </w:r>
      <w:r>
        <w:rPr>
          <w:rFonts w:hint="default" w:eastAsia="宋体" w:cs="Arial"/>
          <w:strike w:val="0"/>
          <w:dstrike w:val="0"/>
          <w:color w:val="000000"/>
          <w:sz w:val="21"/>
          <w:lang w:val="en-US" w:eastAsia="zh-CN"/>
        </w:rPr>
        <w:t>“Reply LS on Latency of NR Positioning Protocols”</w:t>
      </w:r>
      <w:r>
        <w:rPr>
          <w:rFonts w:hint="eastAsia" w:eastAsia="宋体" w:cs="Arial"/>
          <w:strike w:val="0"/>
          <w:dstrike w:val="0"/>
          <w:color w:val="000000"/>
          <w:sz w:val="21"/>
          <w:lang w:val="en-US" w:eastAsia="zh-CN"/>
        </w:rPr>
        <w:t>, RAN2, Nov, 2020.</w:t>
      </w:r>
    </w:p>
    <w:p>
      <w:pPr>
        <w:keepNext w:val="0"/>
        <w:keepLines w:val="0"/>
        <w:pageBreakBefore w:val="0"/>
        <w:numPr>
          <w:ilvl w:val="0"/>
          <w:numId w:val="6"/>
        </w:numPr>
        <w:kinsoku/>
        <w:wordWrap/>
        <w:overflowPunct/>
        <w:topLinePunct w:val="0"/>
        <w:autoSpaceDE/>
        <w:autoSpaceDN/>
        <w:bidi w:val="0"/>
        <w:adjustRightInd/>
        <w:snapToGrid/>
        <w:spacing w:line="240" w:lineRule="auto"/>
        <w:ind w:left="0" w:leftChars="0" w:firstLine="0" w:firstLineChars="0"/>
        <w:textAlignment w:val="auto"/>
        <w:rPr>
          <w:rFonts w:cs="Arial"/>
          <w:strike w:val="0"/>
          <w:dstrike w:val="0"/>
          <w:color w:val="000000"/>
          <w:sz w:val="21"/>
        </w:rPr>
      </w:pPr>
      <w:r>
        <w:rPr>
          <w:rFonts w:hint="eastAsia" w:cs="Arial"/>
          <w:strike w:val="0"/>
          <w:dstrike w:val="0"/>
          <w:color w:val="000000"/>
          <w:sz w:val="21"/>
          <w:lang w:val="en-US" w:eastAsia="zh-CN"/>
        </w:rPr>
        <w:t xml:space="preserve">3GPP TS 23.273, </w:t>
      </w:r>
      <w:r>
        <w:rPr>
          <w:rFonts w:hint="default" w:cs="Arial"/>
          <w:strike w:val="0"/>
          <w:dstrike w:val="0"/>
          <w:color w:val="000000"/>
          <w:sz w:val="21"/>
          <w:lang w:val="en-US" w:eastAsia="zh-CN"/>
        </w:rPr>
        <w:t>“5G System (5GS) Location Services (LCS)”</w:t>
      </w:r>
      <w:r>
        <w:rPr>
          <w:rFonts w:hint="eastAsia" w:cs="Arial"/>
          <w:strike w:val="0"/>
          <w:dstrike w:val="0"/>
          <w:color w:val="000000"/>
          <w:sz w:val="21"/>
          <w:lang w:val="en-US" w:eastAsia="zh-CN"/>
        </w:rPr>
        <w:t>, Release 16, v16.5.0, Dec, 2020.</w:t>
      </w:r>
    </w:p>
    <w:p>
      <w:pPr>
        <w:pStyle w:val="53"/>
        <w:keepNext w:val="0"/>
        <w:keepLines w:val="0"/>
        <w:pageBreakBefore w:val="0"/>
        <w:numPr>
          <w:ilvl w:val="0"/>
          <w:numId w:val="6"/>
        </w:numPr>
        <w:kinsoku/>
        <w:wordWrap/>
        <w:overflowPunct/>
        <w:topLinePunct w:val="0"/>
        <w:autoSpaceDE/>
        <w:autoSpaceDN/>
        <w:bidi w:val="0"/>
        <w:adjustRightInd/>
        <w:snapToGrid/>
        <w:spacing w:before="75" w:beforeAutospacing="0" w:after="75" w:afterAutospacing="0" w:line="240" w:lineRule="auto"/>
        <w:textAlignment w:val="auto"/>
        <w:rPr>
          <w:rFonts w:hint="eastAsia" w:eastAsia="宋体" w:cs="Arial"/>
          <w:strike w:val="0"/>
          <w:dstrike w:val="0"/>
          <w:color w:val="000000"/>
          <w:sz w:val="21"/>
          <w:lang w:val="en-US" w:eastAsia="zh-CN"/>
        </w:rPr>
      </w:pPr>
      <w:r>
        <w:rPr>
          <w:rFonts w:hint="eastAsia" w:eastAsia="宋体" w:cs="Arial"/>
          <w:strike w:val="0"/>
          <w:dstrike w:val="0"/>
          <w:color w:val="000000"/>
          <w:sz w:val="21"/>
          <w:lang w:val="en-US" w:eastAsia="zh-CN"/>
        </w:rPr>
        <w:t xml:space="preserve">3GPP TS 37.355, </w:t>
      </w:r>
      <w:r>
        <w:rPr>
          <w:rFonts w:hint="default" w:eastAsia="宋体" w:cs="Arial"/>
          <w:strike w:val="0"/>
          <w:dstrike w:val="0"/>
          <w:color w:val="000000"/>
          <w:sz w:val="21"/>
          <w:lang w:val="en-US" w:eastAsia="zh-CN"/>
        </w:rPr>
        <w:t>“</w:t>
      </w:r>
      <w:r>
        <w:rPr>
          <w:rFonts w:hint="eastAsia" w:eastAsia="宋体" w:cs="Arial"/>
          <w:strike w:val="0"/>
          <w:dstrike w:val="0"/>
          <w:color w:val="000000"/>
          <w:sz w:val="21"/>
          <w:lang w:val="en-US" w:eastAsia="zh-CN"/>
        </w:rPr>
        <w:t>LTE Positioning Protocol (LPP)</w:t>
      </w:r>
      <w:r>
        <w:rPr>
          <w:rFonts w:hint="default" w:eastAsia="宋体" w:cs="Arial"/>
          <w:strike w:val="0"/>
          <w:dstrike w:val="0"/>
          <w:color w:val="000000"/>
          <w:sz w:val="21"/>
          <w:lang w:val="en-US" w:eastAsia="zh-CN"/>
        </w:rPr>
        <w:t>”</w:t>
      </w:r>
      <w:r>
        <w:rPr>
          <w:rFonts w:hint="eastAsia" w:eastAsia="宋体" w:cs="Arial"/>
          <w:strike w:val="0"/>
          <w:dstrike w:val="0"/>
          <w:color w:val="000000"/>
          <w:sz w:val="21"/>
          <w:lang w:val="en-US" w:eastAsia="zh-CN"/>
        </w:rPr>
        <w:t>, Release 16,v16.2.0, Oct, 2020.</w:t>
      </w:r>
    </w:p>
    <w:p>
      <w:pPr>
        <w:pStyle w:val="53"/>
        <w:keepNext w:val="0"/>
        <w:keepLines w:val="0"/>
        <w:pageBreakBefore w:val="0"/>
        <w:numPr>
          <w:ilvl w:val="0"/>
          <w:numId w:val="6"/>
        </w:numPr>
        <w:kinsoku/>
        <w:wordWrap/>
        <w:overflowPunct/>
        <w:topLinePunct w:val="0"/>
        <w:autoSpaceDE/>
        <w:autoSpaceDN/>
        <w:bidi w:val="0"/>
        <w:adjustRightInd/>
        <w:snapToGrid/>
        <w:spacing w:before="75" w:beforeAutospacing="0" w:after="75" w:afterAutospacing="0" w:line="240" w:lineRule="auto"/>
        <w:textAlignment w:val="auto"/>
        <w:rPr>
          <w:rFonts w:hint="eastAsia" w:eastAsia="宋体" w:cs="Arial"/>
          <w:strike w:val="0"/>
          <w:dstrike w:val="0"/>
          <w:color w:val="000000"/>
          <w:sz w:val="21"/>
          <w:lang w:val="en-US" w:eastAsia="zh-CN"/>
        </w:rPr>
      </w:pPr>
      <w:r>
        <w:rPr>
          <w:rFonts w:hint="eastAsia" w:eastAsia="宋体" w:cs="Arial"/>
          <w:strike w:val="0"/>
          <w:dstrike w:val="0"/>
          <w:color w:val="000000"/>
          <w:sz w:val="21"/>
          <w:lang w:val="en-US" w:eastAsia="zh-CN"/>
        </w:rPr>
        <w:t xml:space="preserve">3GPP TS 38.305, </w:t>
      </w:r>
      <w:r>
        <w:rPr>
          <w:rFonts w:hint="default" w:eastAsia="宋体" w:cs="Arial"/>
          <w:strike w:val="0"/>
          <w:dstrike w:val="0"/>
          <w:color w:val="000000"/>
          <w:sz w:val="21"/>
          <w:lang w:val="en-US" w:eastAsia="zh-CN"/>
        </w:rPr>
        <w:t>“Stage 2 functional specification of</w:t>
      </w:r>
      <w:r>
        <w:rPr>
          <w:rFonts w:hint="eastAsia" w:eastAsia="宋体" w:cs="Arial"/>
          <w:strike w:val="0"/>
          <w:dstrike w:val="0"/>
          <w:color w:val="000000"/>
          <w:sz w:val="21"/>
          <w:lang w:val="en-US" w:eastAsia="zh-CN"/>
        </w:rPr>
        <w:t xml:space="preserve"> </w:t>
      </w:r>
      <w:r>
        <w:rPr>
          <w:rFonts w:hint="default" w:eastAsia="宋体" w:cs="Arial"/>
          <w:strike w:val="0"/>
          <w:dstrike w:val="0"/>
          <w:color w:val="000000"/>
          <w:sz w:val="21"/>
          <w:lang w:val="en-US" w:eastAsia="zh-CN"/>
        </w:rPr>
        <w:t>User Equipment (UE) positioning in NG-RAN”</w:t>
      </w:r>
      <w:r>
        <w:rPr>
          <w:rFonts w:hint="eastAsia" w:eastAsia="宋体" w:cs="Arial"/>
          <w:strike w:val="0"/>
          <w:dstrike w:val="0"/>
          <w:color w:val="000000"/>
          <w:sz w:val="21"/>
          <w:lang w:val="en-US" w:eastAsia="zh-CN"/>
        </w:rPr>
        <w:t>, Release 16,v16.2.0, Sep, 2020.</w:t>
      </w:r>
    </w:p>
    <w:p>
      <w:pPr>
        <w:keepNext w:val="0"/>
        <w:keepLines w:val="0"/>
        <w:pageBreakBefore w:val="0"/>
        <w:numPr>
          <w:ilvl w:val="0"/>
          <w:numId w:val="6"/>
        </w:numPr>
        <w:kinsoku/>
        <w:wordWrap/>
        <w:overflowPunct/>
        <w:topLinePunct w:val="0"/>
        <w:autoSpaceDE/>
        <w:autoSpaceDN/>
        <w:bidi w:val="0"/>
        <w:adjustRightInd/>
        <w:snapToGrid/>
        <w:spacing w:line="240" w:lineRule="auto"/>
        <w:ind w:left="0" w:leftChars="0" w:firstLine="0" w:firstLineChars="0"/>
        <w:textAlignment w:val="auto"/>
        <w:rPr>
          <w:rFonts w:cs="Arial"/>
          <w:color w:val="000000"/>
          <w:sz w:val="21"/>
        </w:rPr>
      </w:pPr>
      <w:bookmarkStart w:id="11" w:name="OLE_LINK2"/>
      <w:r>
        <w:rPr>
          <w:rFonts w:hint="eastAsia" w:eastAsia="宋体" w:cs="Arial"/>
          <w:strike w:val="0"/>
          <w:dstrike w:val="0"/>
          <w:color w:val="000000"/>
          <w:sz w:val="21"/>
          <w:lang w:val="en-US" w:eastAsia="zh-CN"/>
        </w:rPr>
        <w:t>3GPP Chairman notes in RAN2#112e, Nov, 2020</w:t>
      </w:r>
      <w:bookmarkEnd w:id="11"/>
      <w:r>
        <w:rPr>
          <w:rFonts w:hint="eastAsia" w:eastAsia="宋体" w:cs="Arial"/>
          <w:strike w:val="0"/>
          <w:dstrike w:val="0"/>
          <w:color w:val="000000"/>
          <w:sz w:val="21"/>
          <w:lang w:val="en-US" w:eastAsia="zh-CN"/>
        </w:rPr>
        <w:t>.</w:t>
      </w:r>
    </w:p>
    <w:p>
      <w:pPr>
        <w:pStyle w:val="53"/>
        <w:spacing w:before="75" w:beforeAutospacing="0" w:after="75" w:afterAutospacing="0" w:line="315" w:lineRule="atLeast"/>
      </w:pP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auto"/>
    <w:pitch w:val="default"/>
    <w:sig w:usb0="E10022FF" w:usb1="C000E47F" w:usb2="00000029" w:usb3="00000000" w:csb0="200001DF" w:csb1="2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C63FE5"/>
    <w:rsid w:val="03695ACD"/>
    <w:rsid w:val="037439E2"/>
    <w:rsid w:val="0427122D"/>
    <w:rsid w:val="04405CD4"/>
    <w:rsid w:val="06270E5D"/>
    <w:rsid w:val="06301129"/>
    <w:rsid w:val="07332E45"/>
    <w:rsid w:val="07393CB3"/>
    <w:rsid w:val="07645E7E"/>
    <w:rsid w:val="07815AA2"/>
    <w:rsid w:val="07DB31F6"/>
    <w:rsid w:val="08036844"/>
    <w:rsid w:val="083828A5"/>
    <w:rsid w:val="08634AA9"/>
    <w:rsid w:val="086A0D8F"/>
    <w:rsid w:val="08870B03"/>
    <w:rsid w:val="09253E9C"/>
    <w:rsid w:val="0929781C"/>
    <w:rsid w:val="095438C6"/>
    <w:rsid w:val="098B1EF5"/>
    <w:rsid w:val="09911B95"/>
    <w:rsid w:val="09945F3A"/>
    <w:rsid w:val="09CB5A6C"/>
    <w:rsid w:val="09F00BD8"/>
    <w:rsid w:val="09F318B6"/>
    <w:rsid w:val="09FD6E02"/>
    <w:rsid w:val="0A1A74F5"/>
    <w:rsid w:val="0A1D73FF"/>
    <w:rsid w:val="0A750F68"/>
    <w:rsid w:val="0AEC356E"/>
    <w:rsid w:val="0B545B44"/>
    <w:rsid w:val="0C4A196E"/>
    <w:rsid w:val="0CBA1583"/>
    <w:rsid w:val="0CBC415D"/>
    <w:rsid w:val="0CD249CC"/>
    <w:rsid w:val="0D9222C1"/>
    <w:rsid w:val="0DC045AB"/>
    <w:rsid w:val="0DFF7D07"/>
    <w:rsid w:val="0E374CA0"/>
    <w:rsid w:val="0E6F0740"/>
    <w:rsid w:val="0EC0431F"/>
    <w:rsid w:val="0F321E2D"/>
    <w:rsid w:val="0F4E2E70"/>
    <w:rsid w:val="0F6715A1"/>
    <w:rsid w:val="0F8070F6"/>
    <w:rsid w:val="0FA731D6"/>
    <w:rsid w:val="10232DBB"/>
    <w:rsid w:val="103F55E5"/>
    <w:rsid w:val="108C2AA3"/>
    <w:rsid w:val="10DE14BF"/>
    <w:rsid w:val="10DF3115"/>
    <w:rsid w:val="113E3C41"/>
    <w:rsid w:val="114E75D3"/>
    <w:rsid w:val="11B5797D"/>
    <w:rsid w:val="11DD4AE3"/>
    <w:rsid w:val="11E15AE5"/>
    <w:rsid w:val="11E53E9B"/>
    <w:rsid w:val="11FC5F30"/>
    <w:rsid w:val="120048B1"/>
    <w:rsid w:val="12015140"/>
    <w:rsid w:val="12394E59"/>
    <w:rsid w:val="1299671F"/>
    <w:rsid w:val="12A742B1"/>
    <w:rsid w:val="131813A1"/>
    <w:rsid w:val="13DC640D"/>
    <w:rsid w:val="141842FE"/>
    <w:rsid w:val="14352831"/>
    <w:rsid w:val="146B64E1"/>
    <w:rsid w:val="14993B21"/>
    <w:rsid w:val="14D73601"/>
    <w:rsid w:val="15014A40"/>
    <w:rsid w:val="156B4B8B"/>
    <w:rsid w:val="15890495"/>
    <w:rsid w:val="15E03D6F"/>
    <w:rsid w:val="15EF5060"/>
    <w:rsid w:val="169C366A"/>
    <w:rsid w:val="16DA1E4D"/>
    <w:rsid w:val="16FB015A"/>
    <w:rsid w:val="17003574"/>
    <w:rsid w:val="17535B24"/>
    <w:rsid w:val="17A31370"/>
    <w:rsid w:val="17B06B1C"/>
    <w:rsid w:val="17F53DC6"/>
    <w:rsid w:val="180B4FFB"/>
    <w:rsid w:val="18211C57"/>
    <w:rsid w:val="1842664F"/>
    <w:rsid w:val="18543673"/>
    <w:rsid w:val="186B7D0B"/>
    <w:rsid w:val="189D065F"/>
    <w:rsid w:val="18BC6F6C"/>
    <w:rsid w:val="18F32BCE"/>
    <w:rsid w:val="18FF4ABB"/>
    <w:rsid w:val="19343406"/>
    <w:rsid w:val="1A45032B"/>
    <w:rsid w:val="1A640E62"/>
    <w:rsid w:val="1A713779"/>
    <w:rsid w:val="1A84217D"/>
    <w:rsid w:val="1A9B1F53"/>
    <w:rsid w:val="1ABB54B3"/>
    <w:rsid w:val="1AE025B8"/>
    <w:rsid w:val="1B3D4012"/>
    <w:rsid w:val="1B481AFB"/>
    <w:rsid w:val="1B7A1663"/>
    <w:rsid w:val="1B8F6978"/>
    <w:rsid w:val="1BC27038"/>
    <w:rsid w:val="1BC73993"/>
    <w:rsid w:val="1BD24B16"/>
    <w:rsid w:val="1BF62321"/>
    <w:rsid w:val="1C130C67"/>
    <w:rsid w:val="1C2D5D31"/>
    <w:rsid w:val="1C696E9C"/>
    <w:rsid w:val="1CBD093F"/>
    <w:rsid w:val="1CC83450"/>
    <w:rsid w:val="1CE21C50"/>
    <w:rsid w:val="1CE9601A"/>
    <w:rsid w:val="1D235F66"/>
    <w:rsid w:val="1D3D61BF"/>
    <w:rsid w:val="1D665A9E"/>
    <w:rsid w:val="1D667D51"/>
    <w:rsid w:val="1D8D3AB3"/>
    <w:rsid w:val="1DC566C0"/>
    <w:rsid w:val="1DE501D0"/>
    <w:rsid w:val="1E140472"/>
    <w:rsid w:val="1E21472F"/>
    <w:rsid w:val="1E2804C4"/>
    <w:rsid w:val="1E2C49A1"/>
    <w:rsid w:val="1E3722FA"/>
    <w:rsid w:val="1E8146DA"/>
    <w:rsid w:val="1EA46EA2"/>
    <w:rsid w:val="1EAA39F6"/>
    <w:rsid w:val="1EB2633F"/>
    <w:rsid w:val="1EB847E9"/>
    <w:rsid w:val="1EE0527E"/>
    <w:rsid w:val="1F28575A"/>
    <w:rsid w:val="1F8E0455"/>
    <w:rsid w:val="1FA76059"/>
    <w:rsid w:val="1FAF272D"/>
    <w:rsid w:val="1FE374E8"/>
    <w:rsid w:val="204934AB"/>
    <w:rsid w:val="20573F56"/>
    <w:rsid w:val="20705710"/>
    <w:rsid w:val="20840318"/>
    <w:rsid w:val="20930DFA"/>
    <w:rsid w:val="20CE5836"/>
    <w:rsid w:val="20D02BC7"/>
    <w:rsid w:val="20F0405B"/>
    <w:rsid w:val="210637EE"/>
    <w:rsid w:val="210948AE"/>
    <w:rsid w:val="211E529B"/>
    <w:rsid w:val="213A5E32"/>
    <w:rsid w:val="214425B4"/>
    <w:rsid w:val="21D36B48"/>
    <w:rsid w:val="221B7641"/>
    <w:rsid w:val="224F5646"/>
    <w:rsid w:val="22525EE7"/>
    <w:rsid w:val="229A0A46"/>
    <w:rsid w:val="22D5441E"/>
    <w:rsid w:val="22D61F71"/>
    <w:rsid w:val="232660FF"/>
    <w:rsid w:val="2418652F"/>
    <w:rsid w:val="245A1846"/>
    <w:rsid w:val="248512BD"/>
    <w:rsid w:val="24E51B39"/>
    <w:rsid w:val="25173A41"/>
    <w:rsid w:val="252D5DCC"/>
    <w:rsid w:val="255B75CB"/>
    <w:rsid w:val="25A45302"/>
    <w:rsid w:val="25A94E88"/>
    <w:rsid w:val="25E135DF"/>
    <w:rsid w:val="261E413F"/>
    <w:rsid w:val="263E633F"/>
    <w:rsid w:val="267E599C"/>
    <w:rsid w:val="26C17FC8"/>
    <w:rsid w:val="27B132D6"/>
    <w:rsid w:val="27FF1FDA"/>
    <w:rsid w:val="29095102"/>
    <w:rsid w:val="293E1B9C"/>
    <w:rsid w:val="298F4433"/>
    <w:rsid w:val="29B32846"/>
    <w:rsid w:val="29ED63D5"/>
    <w:rsid w:val="2A275682"/>
    <w:rsid w:val="2A275D46"/>
    <w:rsid w:val="2AA14025"/>
    <w:rsid w:val="2B2348E2"/>
    <w:rsid w:val="2B5D0645"/>
    <w:rsid w:val="2B907720"/>
    <w:rsid w:val="2BCD0751"/>
    <w:rsid w:val="2C7F2EA6"/>
    <w:rsid w:val="2C8C2358"/>
    <w:rsid w:val="2C8E4E6A"/>
    <w:rsid w:val="2C9927E7"/>
    <w:rsid w:val="2CA56F60"/>
    <w:rsid w:val="2CAF2767"/>
    <w:rsid w:val="2CFB59F1"/>
    <w:rsid w:val="2D125EB2"/>
    <w:rsid w:val="2D1E05D5"/>
    <w:rsid w:val="2D5627A8"/>
    <w:rsid w:val="2D9A6090"/>
    <w:rsid w:val="2DBD4FAF"/>
    <w:rsid w:val="2E09336F"/>
    <w:rsid w:val="2EC27772"/>
    <w:rsid w:val="2F263E1B"/>
    <w:rsid w:val="2F337D9E"/>
    <w:rsid w:val="3003631E"/>
    <w:rsid w:val="30745F5B"/>
    <w:rsid w:val="3078124A"/>
    <w:rsid w:val="3090209F"/>
    <w:rsid w:val="30953FB5"/>
    <w:rsid w:val="31623402"/>
    <w:rsid w:val="31EB4942"/>
    <w:rsid w:val="32187B45"/>
    <w:rsid w:val="32362071"/>
    <w:rsid w:val="3273050E"/>
    <w:rsid w:val="32891F62"/>
    <w:rsid w:val="328C1583"/>
    <w:rsid w:val="32C9080C"/>
    <w:rsid w:val="32CA0CF4"/>
    <w:rsid w:val="334275F5"/>
    <w:rsid w:val="33636F14"/>
    <w:rsid w:val="33670485"/>
    <w:rsid w:val="33C54618"/>
    <w:rsid w:val="34211C7C"/>
    <w:rsid w:val="347A4EB8"/>
    <w:rsid w:val="35183D8B"/>
    <w:rsid w:val="35387D52"/>
    <w:rsid w:val="356926AE"/>
    <w:rsid w:val="35746D1B"/>
    <w:rsid w:val="358E0757"/>
    <w:rsid w:val="35AE7101"/>
    <w:rsid w:val="35F9212A"/>
    <w:rsid w:val="36281B26"/>
    <w:rsid w:val="366043F8"/>
    <w:rsid w:val="366626F2"/>
    <w:rsid w:val="374F6194"/>
    <w:rsid w:val="376724B8"/>
    <w:rsid w:val="377F6041"/>
    <w:rsid w:val="37BC7D72"/>
    <w:rsid w:val="37E15A1B"/>
    <w:rsid w:val="382E42A6"/>
    <w:rsid w:val="38A75F14"/>
    <w:rsid w:val="38BD2C6C"/>
    <w:rsid w:val="38FA0996"/>
    <w:rsid w:val="396E02FE"/>
    <w:rsid w:val="3982272C"/>
    <w:rsid w:val="399648C1"/>
    <w:rsid w:val="3A156CE0"/>
    <w:rsid w:val="3A2D66D3"/>
    <w:rsid w:val="3A891A0E"/>
    <w:rsid w:val="3A9620D1"/>
    <w:rsid w:val="3AA26C9B"/>
    <w:rsid w:val="3ADC5E36"/>
    <w:rsid w:val="3AFC2B33"/>
    <w:rsid w:val="3B7F2802"/>
    <w:rsid w:val="3BC33F8E"/>
    <w:rsid w:val="3BCE7F95"/>
    <w:rsid w:val="3C087392"/>
    <w:rsid w:val="3C3F7E0E"/>
    <w:rsid w:val="3C893061"/>
    <w:rsid w:val="3CB674D9"/>
    <w:rsid w:val="3D0F30FA"/>
    <w:rsid w:val="3D634A82"/>
    <w:rsid w:val="3D9210CE"/>
    <w:rsid w:val="3DAC0E95"/>
    <w:rsid w:val="3E7A082F"/>
    <w:rsid w:val="3E926EC3"/>
    <w:rsid w:val="3E93478A"/>
    <w:rsid w:val="3E9F10BF"/>
    <w:rsid w:val="3EC40624"/>
    <w:rsid w:val="3F0875E3"/>
    <w:rsid w:val="3F09726C"/>
    <w:rsid w:val="3F1F25CF"/>
    <w:rsid w:val="3F495E7B"/>
    <w:rsid w:val="3F5B21D1"/>
    <w:rsid w:val="3F7D3425"/>
    <w:rsid w:val="3FB60A94"/>
    <w:rsid w:val="3FBD74AC"/>
    <w:rsid w:val="402F7D1A"/>
    <w:rsid w:val="405E7B10"/>
    <w:rsid w:val="411531A3"/>
    <w:rsid w:val="41180040"/>
    <w:rsid w:val="414B0A93"/>
    <w:rsid w:val="415723A1"/>
    <w:rsid w:val="41643432"/>
    <w:rsid w:val="421B0E01"/>
    <w:rsid w:val="42481B2A"/>
    <w:rsid w:val="437906BF"/>
    <w:rsid w:val="43945CC5"/>
    <w:rsid w:val="43CE3BC6"/>
    <w:rsid w:val="43FB5AF0"/>
    <w:rsid w:val="440B4BBE"/>
    <w:rsid w:val="44211E9A"/>
    <w:rsid w:val="4454633F"/>
    <w:rsid w:val="446A1C8A"/>
    <w:rsid w:val="44C70D28"/>
    <w:rsid w:val="44EE2D37"/>
    <w:rsid w:val="45465A74"/>
    <w:rsid w:val="457210D8"/>
    <w:rsid w:val="45E30915"/>
    <w:rsid w:val="45E40321"/>
    <w:rsid w:val="4625557D"/>
    <w:rsid w:val="465173C0"/>
    <w:rsid w:val="467E3F9B"/>
    <w:rsid w:val="46825B05"/>
    <w:rsid w:val="4684656F"/>
    <w:rsid w:val="46852F2A"/>
    <w:rsid w:val="46CC7A0B"/>
    <w:rsid w:val="47047ED5"/>
    <w:rsid w:val="470D32F9"/>
    <w:rsid w:val="473D266B"/>
    <w:rsid w:val="47B952BD"/>
    <w:rsid w:val="47D24A42"/>
    <w:rsid w:val="47FE7D60"/>
    <w:rsid w:val="48110BF4"/>
    <w:rsid w:val="48200D75"/>
    <w:rsid w:val="48283643"/>
    <w:rsid w:val="48516D40"/>
    <w:rsid w:val="486A5C7B"/>
    <w:rsid w:val="48BB3F94"/>
    <w:rsid w:val="48E03D9C"/>
    <w:rsid w:val="49374149"/>
    <w:rsid w:val="49613924"/>
    <w:rsid w:val="496D0F3E"/>
    <w:rsid w:val="49E12571"/>
    <w:rsid w:val="49E378C6"/>
    <w:rsid w:val="4A834EBE"/>
    <w:rsid w:val="4B3040AF"/>
    <w:rsid w:val="4B55574A"/>
    <w:rsid w:val="4BA90131"/>
    <w:rsid w:val="4BB36285"/>
    <w:rsid w:val="4BD35EC5"/>
    <w:rsid w:val="4C1B3C0A"/>
    <w:rsid w:val="4C4846F9"/>
    <w:rsid w:val="4C982F9D"/>
    <w:rsid w:val="4CBC728A"/>
    <w:rsid w:val="4CFB69A6"/>
    <w:rsid w:val="4D2316EA"/>
    <w:rsid w:val="4D267491"/>
    <w:rsid w:val="4D830955"/>
    <w:rsid w:val="4E3E017D"/>
    <w:rsid w:val="4E5F59DA"/>
    <w:rsid w:val="4EA44C2A"/>
    <w:rsid w:val="4EF23E87"/>
    <w:rsid w:val="4F2941D5"/>
    <w:rsid w:val="4FFC0A94"/>
    <w:rsid w:val="50081059"/>
    <w:rsid w:val="50F36CD9"/>
    <w:rsid w:val="512E641B"/>
    <w:rsid w:val="517D059D"/>
    <w:rsid w:val="51AF1B64"/>
    <w:rsid w:val="51FA56D9"/>
    <w:rsid w:val="523F7F97"/>
    <w:rsid w:val="53047529"/>
    <w:rsid w:val="54107975"/>
    <w:rsid w:val="5451551D"/>
    <w:rsid w:val="548C2C0D"/>
    <w:rsid w:val="54D6790A"/>
    <w:rsid w:val="553A4CBA"/>
    <w:rsid w:val="557E6857"/>
    <w:rsid w:val="55E15918"/>
    <w:rsid w:val="55E65C45"/>
    <w:rsid w:val="563A460F"/>
    <w:rsid w:val="566B6C45"/>
    <w:rsid w:val="56975E59"/>
    <w:rsid w:val="569C350B"/>
    <w:rsid w:val="56BF0EA2"/>
    <w:rsid w:val="56EA3918"/>
    <w:rsid w:val="57460503"/>
    <w:rsid w:val="575370FA"/>
    <w:rsid w:val="57BD0A78"/>
    <w:rsid w:val="57DC6FDD"/>
    <w:rsid w:val="57FB5F50"/>
    <w:rsid w:val="58984B29"/>
    <w:rsid w:val="58B03A4A"/>
    <w:rsid w:val="590D5DDF"/>
    <w:rsid w:val="596F34AA"/>
    <w:rsid w:val="59C407FC"/>
    <w:rsid w:val="59C754AB"/>
    <w:rsid w:val="59E079AB"/>
    <w:rsid w:val="5A375749"/>
    <w:rsid w:val="5A726BA0"/>
    <w:rsid w:val="5AD3204F"/>
    <w:rsid w:val="5B071BBA"/>
    <w:rsid w:val="5B3C55BF"/>
    <w:rsid w:val="5B63756F"/>
    <w:rsid w:val="5B725B6B"/>
    <w:rsid w:val="5BBE026D"/>
    <w:rsid w:val="5BD439A7"/>
    <w:rsid w:val="5BDF3319"/>
    <w:rsid w:val="5C991133"/>
    <w:rsid w:val="5C995E25"/>
    <w:rsid w:val="5C9F3BA5"/>
    <w:rsid w:val="5D5144C0"/>
    <w:rsid w:val="5E2A7858"/>
    <w:rsid w:val="5E790BE8"/>
    <w:rsid w:val="5E973039"/>
    <w:rsid w:val="5EA87B0A"/>
    <w:rsid w:val="5EB119EE"/>
    <w:rsid w:val="5EEF7AA9"/>
    <w:rsid w:val="5F3E2940"/>
    <w:rsid w:val="5F4945D9"/>
    <w:rsid w:val="5F4E4F30"/>
    <w:rsid w:val="5F825446"/>
    <w:rsid w:val="5FAE4FA2"/>
    <w:rsid w:val="5FBE69BB"/>
    <w:rsid w:val="5FCB4192"/>
    <w:rsid w:val="601A7A49"/>
    <w:rsid w:val="602F4794"/>
    <w:rsid w:val="607F4912"/>
    <w:rsid w:val="60881A7C"/>
    <w:rsid w:val="609751E5"/>
    <w:rsid w:val="60C10976"/>
    <w:rsid w:val="61C16E82"/>
    <w:rsid w:val="61D81A5C"/>
    <w:rsid w:val="620D1678"/>
    <w:rsid w:val="62B8321C"/>
    <w:rsid w:val="630962B4"/>
    <w:rsid w:val="63766DF5"/>
    <w:rsid w:val="63BE6B4B"/>
    <w:rsid w:val="63E41E32"/>
    <w:rsid w:val="6406254B"/>
    <w:rsid w:val="643636FB"/>
    <w:rsid w:val="64522BD2"/>
    <w:rsid w:val="646766DC"/>
    <w:rsid w:val="649B029F"/>
    <w:rsid w:val="64E010F2"/>
    <w:rsid w:val="6503009D"/>
    <w:rsid w:val="651E5E20"/>
    <w:rsid w:val="65535A1B"/>
    <w:rsid w:val="657E2D0B"/>
    <w:rsid w:val="65817DB1"/>
    <w:rsid w:val="65FE510C"/>
    <w:rsid w:val="660E507B"/>
    <w:rsid w:val="66373410"/>
    <w:rsid w:val="66576902"/>
    <w:rsid w:val="669369C9"/>
    <w:rsid w:val="66943B2D"/>
    <w:rsid w:val="67165E6D"/>
    <w:rsid w:val="675A1CF7"/>
    <w:rsid w:val="6761194F"/>
    <w:rsid w:val="677F7400"/>
    <w:rsid w:val="67A01566"/>
    <w:rsid w:val="67A63D55"/>
    <w:rsid w:val="67A84465"/>
    <w:rsid w:val="67AB3B49"/>
    <w:rsid w:val="68384317"/>
    <w:rsid w:val="685F312A"/>
    <w:rsid w:val="68603781"/>
    <w:rsid w:val="68CC70D7"/>
    <w:rsid w:val="69291ACC"/>
    <w:rsid w:val="693F57CE"/>
    <w:rsid w:val="696B32FD"/>
    <w:rsid w:val="69797C2C"/>
    <w:rsid w:val="69AB78DD"/>
    <w:rsid w:val="69D74CDC"/>
    <w:rsid w:val="6A2F1F48"/>
    <w:rsid w:val="6A5C31B2"/>
    <w:rsid w:val="6A9B47A1"/>
    <w:rsid w:val="6AFF14C0"/>
    <w:rsid w:val="6B0E13E7"/>
    <w:rsid w:val="6B1301B0"/>
    <w:rsid w:val="6B29781B"/>
    <w:rsid w:val="6B5068BA"/>
    <w:rsid w:val="6BFF0085"/>
    <w:rsid w:val="6D17028B"/>
    <w:rsid w:val="6D2552D8"/>
    <w:rsid w:val="6D302D5D"/>
    <w:rsid w:val="6D3C235D"/>
    <w:rsid w:val="6D935AB0"/>
    <w:rsid w:val="6DA62403"/>
    <w:rsid w:val="6E087119"/>
    <w:rsid w:val="6E0A3A07"/>
    <w:rsid w:val="6E372360"/>
    <w:rsid w:val="6E4F724A"/>
    <w:rsid w:val="6E60770D"/>
    <w:rsid w:val="6F037853"/>
    <w:rsid w:val="6F7B3028"/>
    <w:rsid w:val="6FA027BC"/>
    <w:rsid w:val="6FC55DFE"/>
    <w:rsid w:val="70020A66"/>
    <w:rsid w:val="701A03F2"/>
    <w:rsid w:val="701B6FD8"/>
    <w:rsid w:val="704266E6"/>
    <w:rsid w:val="706A7B0F"/>
    <w:rsid w:val="7080412D"/>
    <w:rsid w:val="7127456D"/>
    <w:rsid w:val="712914EF"/>
    <w:rsid w:val="717C199B"/>
    <w:rsid w:val="71EF2FA5"/>
    <w:rsid w:val="7210341D"/>
    <w:rsid w:val="73624F26"/>
    <w:rsid w:val="736C6888"/>
    <w:rsid w:val="739B1EBD"/>
    <w:rsid w:val="73AF18CB"/>
    <w:rsid w:val="73B9425D"/>
    <w:rsid w:val="73ED4A58"/>
    <w:rsid w:val="73F12374"/>
    <w:rsid w:val="740422B3"/>
    <w:rsid w:val="74796ABE"/>
    <w:rsid w:val="74A87093"/>
    <w:rsid w:val="74C80433"/>
    <w:rsid w:val="74E229B4"/>
    <w:rsid w:val="74E9694C"/>
    <w:rsid w:val="74EC26A7"/>
    <w:rsid w:val="75034CF7"/>
    <w:rsid w:val="75DF32A0"/>
    <w:rsid w:val="760A43BF"/>
    <w:rsid w:val="761321E0"/>
    <w:rsid w:val="761450E8"/>
    <w:rsid w:val="765D589D"/>
    <w:rsid w:val="76A133C0"/>
    <w:rsid w:val="76D36025"/>
    <w:rsid w:val="772F2936"/>
    <w:rsid w:val="776B6DA8"/>
    <w:rsid w:val="77B21E06"/>
    <w:rsid w:val="780F0912"/>
    <w:rsid w:val="784F6AB7"/>
    <w:rsid w:val="78D61CB2"/>
    <w:rsid w:val="78F104FB"/>
    <w:rsid w:val="79493EB1"/>
    <w:rsid w:val="797C66CF"/>
    <w:rsid w:val="79F1295B"/>
    <w:rsid w:val="7A7550A6"/>
    <w:rsid w:val="7AAF3771"/>
    <w:rsid w:val="7AEC001A"/>
    <w:rsid w:val="7B475761"/>
    <w:rsid w:val="7B49298E"/>
    <w:rsid w:val="7B7B57F5"/>
    <w:rsid w:val="7B7D3C44"/>
    <w:rsid w:val="7BD71FB4"/>
    <w:rsid w:val="7BE208A5"/>
    <w:rsid w:val="7BE3068E"/>
    <w:rsid w:val="7C150EF5"/>
    <w:rsid w:val="7C465BE7"/>
    <w:rsid w:val="7CAF51D0"/>
    <w:rsid w:val="7CAF6655"/>
    <w:rsid w:val="7D2A73BF"/>
    <w:rsid w:val="7D6E224F"/>
    <w:rsid w:val="7D87285F"/>
    <w:rsid w:val="7D9B3B81"/>
    <w:rsid w:val="7DA87B6D"/>
    <w:rsid w:val="7DA957CB"/>
    <w:rsid w:val="7DF366F8"/>
    <w:rsid w:val="7E0F7674"/>
    <w:rsid w:val="7E1F6225"/>
    <w:rsid w:val="7E5940F2"/>
    <w:rsid w:val="7E5B35FF"/>
    <w:rsid w:val="7E6916D3"/>
    <w:rsid w:val="7EA33491"/>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32"/>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32"/>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7"/>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7"/>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227BC-2AD7-4F96-978A-F11E8101041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1877</Words>
  <Characters>10700</Characters>
  <Lines>89</Lines>
  <Paragraphs>25</Paragraphs>
  <TotalTime>2</TotalTime>
  <ScaleCrop>false</ScaleCrop>
  <LinksUpToDate>false</LinksUpToDate>
  <CharactersWithSpaces>12552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ZTE_Liu Yansheng</cp:lastModifiedBy>
  <cp:lastPrinted>2113-01-01T00:00:00Z</cp:lastPrinted>
  <dcterms:modified xsi:type="dcterms:W3CDTF">2021-01-15T06:41:46Z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