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rFonts w:hint="default" w:ascii="Arial" w:hAnsi="Arial" w:eastAsia="宋体" w:cs="Times New Roman"/>
          <w:b/>
          <w:kern w:val="2"/>
          <w:sz w:val="24"/>
          <w:szCs w:val="21"/>
          <w:lang w:val="en-US" w:eastAsia="zh-CN" w:bidi="ar-SA"/>
        </w:rPr>
      </w:pPr>
      <w:r>
        <w:rPr>
          <w:rFonts w:ascii="Times New Roman" w:hAnsi="Times New Roman"/>
          <w:b/>
          <w:sz w:val="24"/>
        </w:rPr>
        <w:t>3GPP TSG-RAN WG2 Meeting #</w:t>
      </w:r>
      <w:r>
        <w:rPr>
          <w:rFonts w:ascii="Times New Roman" w:hAnsi="Times New Roman"/>
          <w:b/>
          <w:sz w:val="24"/>
          <w:lang w:eastAsia="zh-CN"/>
        </w:rPr>
        <w:t>1</w:t>
      </w:r>
      <w:r>
        <w:rPr>
          <w:rFonts w:hint="eastAsia" w:ascii="Times New Roman" w:hAnsi="Times New Roman"/>
          <w:b/>
          <w:sz w:val="24"/>
          <w:lang w:val="en-US" w:eastAsia="zh-CN"/>
        </w:rPr>
        <w:t>13-e</w:t>
      </w:r>
      <w:r>
        <w:rPr>
          <w:rFonts w:ascii="Times New Roman" w:hAnsi="Times New Roman"/>
          <w:b/>
          <w:i/>
          <w:sz w:val="24"/>
        </w:rPr>
        <w:t xml:space="preserve"> </w:t>
      </w:r>
      <w:r>
        <w:rPr>
          <w:rFonts w:ascii="Times New Roman" w:hAnsi="Times New Roman"/>
          <w:b/>
          <w:i/>
          <w:sz w:val="24"/>
          <w:lang w:val="en-US" w:eastAsia="zh-CN"/>
        </w:rPr>
        <w:t xml:space="preserve">                       </w:t>
      </w:r>
      <w:r>
        <w:rPr>
          <w:rFonts w:hint="eastAsia" w:ascii="Arial" w:hAnsi="Arial" w:eastAsia="宋体" w:cs="Times New Roman"/>
          <w:b/>
          <w:kern w:val="2"/>
          <w:sz w:val="24"/>
          <w:szCs w:val="21"/>
          <w:lang w:val="en-US" w:eastAsia="zh-CN" w:bidi="ar-SA"/>
        </w:rPr>
        <w:t xml:space="preserve"> R2-2101919</w:t>
      </w:r>
    </w:p>
    <w:p>
      <w:pPr>
        <w:pStyle w:val="286"/>
        <w:rPr>
          <w:rFonts w:cs="Arial"/>
          <w:bCs/>
          <w:kern w:val="0"/>
          <w:sz w:val="28"/>
          <w:szCs w:val="28"/>
        </w:rPr>
      </w:pPr>
      <w:r>
        <w:t xml:space="preserve">Electronic meeting, </w:t>
      </w:r>
      <w:r>
        <w:rPr>
          <w:rFonts w:hint="eastAsia"/>
          <w:lang w:val="en-US" w:eastAsia="zh-CN"/>
        </w:rPr>
        <w:t>25 January</w:t>
      </w:r>
      <w:r>
        <w:t xml:space="preserve"> – </w:t>
      </w:r>
      <w:r>
        <w:rPr>
          <w:rFonts w:hint="eastAsia" w:eastAsia="宋体"/>
          <w:lang w:val="en-US" w:eastAsia="zh-CN"/>
        </w:rPr>
        <w:t>2</w:t>
      </w:r>
      <w:r>
        <w:t xml:space="preserve"> </w:t>
      </w:r>
      <w:r>
        <w:rPr>
          <w:rFonts w:hint="eastAsia" w:eastAsia="宋体"/>
          <w:lang w:val="en-US" w:eastAsia="zh-CN"/>
        </w:rPr>
        <w:t>February</w:t>
      </w:r>
      <w:r>
        <w:t xml:space="preserve"> 202</w:t>
      </w:r>
      <w:r>
        <w:rPr>
          <w:rFonts w:hint="eastAsia"/>
          <w:lang w:val="en-US" w:eastAsia="zh-CN"/>
        </w:rPr>
        <w:t>1</w:t>
      </w:r>
      <w:r>
        <w:rPr>
          <w:rFonts w:cs="Arial"/>
          <w:bCs/>
          <w:kern w:val="0"/>
          <w:sz w:val="28"/>
          <w:szCs w:val="28"/>
        </w:rPr>
        <w:tab/>
      </w:r>
      <w:r>
        <w:rPr>
          <w:rFonts w:cs="Arial"/>
          <w:bCs/>
          <w:kern w:val="0"/>
          <w:sz w:val="28"/>
          <w:szCs w:val="28"/>
        </w:rPr>
        <w:t xml:space="preserve">      </w:t>
      </w:r>
      <w:r>
        <w:rPr>
          <w:rFonts w:cs="Arial"/>
          <w:bCs/>
          <w:color w:val="D9D9D9" w:themeColor="background1" w:themeShade="D9"/>
          <w:kern w:val="0"/>
          <w:sz w:val="20"/>
          <w:szCs w:val="28"/>
        </w:rPr>
        <w:t xml:space="preserve">   </w:t>
      </w:r>
    </w:p>
    <w:p>
      <w:pPr>
        <w:overflowPunct w:val="0"/>
        <w:autoSpaceDE w:val="0"/>
        <w:autoSpaceDN w:val="0"/>
        <w:adjustRightInd w:val="0"/>
        <w:snapToGrid w:val="0"/>
        <w:spacing w:before="240"/>
        <w:jc w:val="left"/>
        <w:textAlignment w:val="baseline"/>
        <w:rPr>
          <w:b/>
          <w:sz w:val="24"/>
        </w:rPr>
      </w:pPr>
      <w:r>
        <w:rPr>
          <w:b/>
          <w:sz w:val="24"/>
        </w:rPr>
        <w:t xml:space="preserve">Source: </w:t>
      </w:r>
      <w:r>
        <w:rPr>
          <w:b/>
          <w:sz w:val="24"/>
        </w:rPr>
        <w:tab/>
      </w:r>
      <w:r>
        <w:rPr>
          <w:b/>
          <w:sz w:val="24"/>
        </w:rPr>
        <w:tab/>
      </w:r>
      <w:r>
        <w:rPr>
          <w:b/>
          <w:sz w:val="24"/>
        </w:rPr>
        <w:tab/>
      </w:r>
      <w:bookmarkStart w:id="0" w:name="OLE_LINK6"/>
      <w:r>
        <w:rPr>
          <w:b/>
          <w:sz w:val="24"/>
        </w:rPr>
        <w:t>ZTE Corporation, Sanechips</w:t>
      </w:r>
      <w:bookmarkEnd w:id="0"/>
    </w:p>
    <w:p>
      <w:pPr>
        <w:overflowPunct w:val="0"/>
        <w:autoSpaceDE w:val="0"/>
        <w:autoSpaceDN w:val="0"/>
        <w:adjustRightInd w:val="0"/>
        <w:snapToGrid w:val="0"/>
        <w:ind w:left="2100" w:hanging="2100"/>
        <w:jc w:val="left"/>
        <w:textAlignment w:val="baseline"/>
        <w:rPr>
          <w:rFonts w:hint="default"/>
          <w:b/>
          <w:sz w:val="24"/>
          <w:lang w:val="en-US"/>
        </w:rPr>
      </w:pPr>
      <w:r>
        <w:rPr>
          <w:b/>
          <w:sz w:val="24"/>
        </w:rPr>
        <w:t xml:space="preserve">Title: </w:t>
      </w:r>
      <w:r>
        <w:rPr>
          <w:b/>
          <w:sz w:val="24"/>
        </w:rPr>
        <w:tab/>
      </w:r>
      <w:r>
        <w:rPr>
          <w:rFonts w:hint="eastAsia"/>
          <w:b/>
          <w:sz w:val="24"/>
          <w:lang w:val="en-US" w:eastAsia="zh-CN"/>
        </w:rPr>
        <w:t>Stop an ongoing QoE measurement reporting</w:t>
      </w:r>
    </w:p>
    <w:p>
      <w:pPr>
        <w:overflowPunct w:val="0"/>
        <w:autoSpaceDE w:val="0"/>
        <w:autoSpaceDN w:val="0"/>
        <w:adjustRightInd w:val="0"/>
        <w:snapToGrid w:val="0"/>
        <w:jc w:val="left"/>
        <w:textAlignment w:val="baseline"/>
        <w:rPr>
          <w:rFonts w:hint="default" w:eastAsiaTheme="minorEastAsia"/>
          <w:b/>
          <w:sz w:val="24"/>
          <w:lang w:val="en-US" w:eastAsia="zh-CN"/>
        </w:rPr>
      </w:pPr>
      <w:r>
        <w:rPr>
          <w:b/>
          <w:sz w:val="24"/>
        </w:rPr>
        <w:t>Agenda item:</w:t>
      </w:r>
      <w:r>
        <w:rPr>
          <w:b/>
          <w:sz w:val="24"/>
        </w:rPr>
        <w:tab/>
      </w:r>
      <w:bookmarkStart w:id="1" w:name="Source"/>
      <w:bookmarkEnd w:id="1"/>
      <w:r>
        <w:rPr>
          <w:rFonts w:hint="eastAsia"/>
          <w:b/>
          <w:sz w:val="24"/>
          <w:lang w:val="en-US" w:eastAsia="zh-CN"/>
        </w:rPr>
        <w:tab/>
      </w:r>
      <w:r>
        <w:rPr>
          <w:rFonts w:hint="eastAsia"/>
          <w:b/>
          <w:sz w:val="24"/>
          <w:lang w:val="en-US" w:eastAsia="zh-CN"/>
        </w:rPr>
        <w:t>8.14</w:t>
      </w:r>
    </w:p>
    <w:p>
      <w:pPr>
        <w:overflowPunct w:val="0"/>
        <w:autoSpaceDE w:val="0"/>
        <w:autoSpaceDN w:val="0"/>
        <w:adjustRightInd w:val="0"/>
        <w:snapToGrid w:val="0"/>
        <w:jc w:val="left"/>
        <w:textAlignment w:val="baseline"/>
        <w:rPr>
          <w:b/>
          <w:sz w:val="24"/>
        </w:rPr>
      </w:pPr>
      <w:r>
        <w:rPr>
          <w:b/>
          <w:sz w:val="24"/>
        </w:rPr>
        <w:t>Document for:</w:t>
      </w:r>
      <w:bookmarkStart w:id="2" w:name="DocumentFor"/>
      <w:bookmarkEnd w:id="2"/>
      <w:r>
        <w:rPr>
          <w:rFonts w:hint="eastAsia"/>
          <w:b/>
          <w:sz w:val="24"/>
        </w:rPr>
        <w:t xml:space="preserve"> </w:t>
      </w:r>
      <w:r>
        <w:rPr>
          <w:b/>
          <w:sz w:val="24"/>
        </w:rPr>
        <w:tab/>
      </w:r>
      <w:r>
        <w:rPr>
          <w:b/>
          <w:sz w:val="24"/>
        </w:rPr>
        <w:t>Discussion</w:t>
      </w:r>
      <w:r>
        <w:rPr>
          <w:rFonts w:hint="eastAsia"/>
          <w:b/>
          <w:sz w:val="24"/>
        </w:rPr>
        <w:t xml:space="preserve">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03966"/>
      <w:bookmarkStart w:id="5" w:name="_Toc18413600"/>
      <w:r>
        <w:rPr>
          <w:rFonts w:cs="Arial"/>
          <w:b w:val="0"/>
          <w:bCs w:val="0"/>
          <w:kern w:val="0"/>
          <w:sz w:val="32"/>
          <w:szCs w:val="36"/>
        </w:rPr>
        <w:t>Introduction</w:t>
      </w:r>
      <w:bookmarkEnd w:id="3"/>
      <w:bookmarkEnd w:id="4"/>
      <w:bookmarkEnd w:id="5"/>
    </w:p>
    <w:p>
      <w:pPr>
        <w:rPr>
          <w:lang w:val="en-US" w:eastAsia="zh-CN"/>
        </w:rPr>
      </w:pPr>
      <w:r>
        <w:rPr>
          <w:rFonts w:hint="eastAsia"/>
          <w:lang w:val="en-US" w:eastAsia="zh-CN"/>
        </w:rPr>
        <w:t>The WI on NR QoE has been approved in RAN#86 (RP-193256) [1], and the following objectives have been agreed in WID:</w:t>
      </w:r>
    </w:p>
    <w:p>
      <w:pPr>
        <w:pStyle w:val="53"/>
        <w:spacing w:before="75" w:beforeAutospacing="0" w:after="75" w:afterAutospacing="0" w:line="315" w:lineRule="atLeast"/>
        <w:rPr>
          <w:lang w:val="en-US" w:eastAsia="zh-CN"/>
        </w:rPr>
      </w:pPr>
      <w:r>
        <w:rPr>
          <w:rFonts w:hint="eastAsia"/>
          <w:lang w:val="en-US" w:eastAsia="zh-CN"/>
        </w:rPr>
        <w:t>------------------------------------ objectives in RP-193256 ----------------------------------</w:t>
      </w:r>
    </w:p>
    <w:p>
      <w:pPr>
        <w:numPr>
          <w:ilvl w:val="0"/>
          <w:numId w:val="6"/>
        </w:numPr>
        <w:tabs>
          <w:tab w:val="left" w:pos="720"/>
        </w:tabs>
        <w:rPr>
          <w:rFonts w:eastAsia="Times New Roman"/>
          <w:color w:val="000000"/>
          <w:lang w:val="en-US" w:eastAsia="zh-CN"/>
        </w:rPr>
      </w:pPr>
      <w:r>
        <w:rPr>
          <w:rFonts w:eastAsia="Times New Roman"/>
          <w:color w:val="000000"/>
          <w:lang w:val="en-US" w:eastAsia="zh-CN"/>
        </w:rPr>
        <w:t>Study the potential RAN side solution for supporting a generic framework for triggering, configuring, measurement collection and reporting for various 5G use cases. [RAN3, RAN2]</w:t>
      </w:r>
    </w:p>
    <w:p>
      <w:pPr>
        <w:numPr>
          <w:ilvl w:val="1"/>
          <w:numId w:val="6"/>
        </w:numPr>
        <w:tabs>
          <w:tab w:val="left" w:pos="2880"/>
        </w:tabs>
        <w:rPr>
          <w:rFonts w:eastAsia="Times New Roman"/>
          <w:color w:val="000000"/>
          <w:lang w:val="en-US" w:eastAsia="zh-CN"/>
        </w:rPr>
      </w:pPr>
      <w:r>
        <w:rPr>
          <w:rFonts w:eastAsia="Times New Roman"/>
          <w:color w:val="000000"/>
          <w:lang w:val="en-US" w:eastAsia="zh-CN"/>
        </w:rPr>
        <w:t xml:space="preserve">Identify and study the potential solutions (e.g., LTE based solution, reusing MDT mechanism) for configuration and reporting of UE KPI information for certain services (e.g. latency). </w:t>
      </w:r>
    </w:p>
    <w:p>
      <w:pPr>
        <w:numPr>
          <w:ilvl w:val="0"/>
          <w:numId w:val="6"/>
        </w:numPr>
        <w:rPr>
          <w:rFonts w:eastAsia="等线"/>
          <w:color w:val="000000"/>
          <w:lang w:val="en-US" w:eastAsia="zh-CN"/>
        </w:rPr>
      </w:pPr>
      <w:r>
        <w:rPr>
          <w:rFonts w:eastAsia="等线"/>
          <w:color w:val="000000"/>
          <w:lang w:val="en-US" w:eastAsia="zh-CN"/>
        </w:rPr>
        <w:t xml:space="preserve">Study the potential interface impact and solutions (e.g. F1, NG, Xn interface) to support </w:t>
      </w:r>
      <w:r>
        <w:rPr>
          <w:rFonts w:eastAsia="Times New Roman"/>
          <w:color w:val="000000"/>
          <w:lang w:val="en-US" w:eastAsia="zh-CN"/>
        </w:rPr>
        <w:t>NR QoE functionality.</w:t>
      </w:r>
      <w:r>
        <w:rPr>
          <w:rFonts w:eastAsia="等线"/>
          <w:color w:val="000000"/>
          <w:lang w:val="en-US" w:eastAsia="zh-CN"/>
        </w:rPr>
        <w:t xml:space="preserve"> [RAN3]</w:t>
      </w:r>
    </w:p>
    <w:p>
      <w:pPr>
        <w:pStyle w:val="53"/>
        <w:spacing w:before="75" w:beforeAutospacing="0" w:after="75" w:afterAutospacing="0" w:line="315" w:lineRule="atLeast"/>
        <w:rPr>
          <w:lang w:val="en-US" w:eastAsia="zh-CN"/>
        </w:rPr>
      </w:pPr>
      <w:r>
        <w:rPr>
          <w:rFonts w:eastAsia="宋体" w:cs="Arial"/>
          <w:color w:val="000000"/>
          <w:sz w:val="21"/>
          <w:lang w:val="en-US" w:eastAsia="zh-CN"/>
        </w:rPr>
        <w:t>.</w:t>
      </w:r>
      <w:r>
        <w:rPr>
          <w:rFonts w:hint="eastAsia"/>
          <w:lang w:val="en-US" w:eastAsia="zh-CN"/>
        </w:rPr>
        <w:t>------------------------------------ objectives in RP-193256 ----------------------------------</w:t>
      </w:r>
    </w:p>
    <w:p>
      <w:pPr>
        <w:pStyle w:val="53"/>
        <w:spacing w:before="75" w:beforeAutospacing="0" w:after="75" w:afterAutospacing="0" w:line="315" w:lineRule="atLeast"/>
        <w:rPr>
          <w:rFonts w:hint="eastAsia" w:eastAsia="宋体" w:cs="Arial"/>
          <w:color w:val="000000"/>
          <w:sz w:val="21"/>
          <w:lang w:val="en-US" w:eastAsia="zh-CN"/>
        </w:rPr>
      </w:pPr>
      <w:r>
        <w:rPr>
          <w:rFonts w:hint="eastAsia" w:eastAsia="宋体" w:cs="Arial"/>
          <w:color w:val="000000"/>
          <w:sz w:val="21"/>
          <w:lang w:val="en-US" w:eastAsia="zh-CN"/>
        </w:rPr>
        <w:t>Based on the objectives above, the intention of the contribution is to share our views on whether RAN2 should support the function about stopping an ongoing QoE measurement reporting at RAN side.</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eastAsia" w:cs="Arial"/>
          <w:b w:val="0"/>
          <w:bCs w:val="0"/>
          <w:kern w:val="0"/>
          <w:sz w:val="32"/>
          <w:szCs w:val="36"/>
          <w:lang w:val="en-US" w:eastAsia="zh-CN"/>
        </w:rPr>
        <w:t xml:space="preserve">Discussion </w:t>
      </w:r>
    </w:p>
    <w:p>
      <w:pPr>
        <w:rPr>
          <w:rFonts w:hint="default"/>
          <w:lang w:val="en-US" w:eastAsia="zh-CN"/>
        </w:rPr>
      </w:pPr>
      <w:r>
        <w:rPr>
          <w:rFonts w:hint="eastAsia"/>
          <w:lang w:val="en-US" w:eastAsia="zh-CN"/>
        </w:rPr>
        <w:t>It is possible that a UE which is configured a QMC may move out of the QMC area scope. Currently, how to handle this situation means that a started measurement shall continue until the end of the recording session,which is explicitly stated in TS26.247[2] and TS 26.114[3] .</w:t>
      </w:r>
    </w:p>
    <w:p>
      <w:pPr>
        <w:rPr>
          <w:i/>
          <w:iCs/>
          <w:lang w:val="en-GB" w:eastAsia="zh-CN"/>
        </w:rPr>
      </w:pPr>
      <w:r>
        <w:rPr>
          <w:i/>
          <w:iCs/>
          <w:lang w:val="en-GB" w:eastAsia="zh-CN"/>
        </w:rPr>
        <w:t>26.247, clause 10.1</w:t>
      </w:r>
      <w:r>
        <w:rPr>
          <w:rFonts w:hint="eastAsia"/>
          <w:i/>
          <w:iCs/>
          <w:lang w:val="en-US" w:eastAsia="zh-CN"/>
        </w:rPr>
        <w:t>&amp;26.114 clause 16.3:</w:t>
      </w:r>
      <w:r>
        <w:rPr>
          <w:i/>
          <w:iCs/>
          <w:lang w:val="en-GB" w:eastAsia="zh-CN"/>
        </w:rPr>
        <w:t xml:space="preserve"> </w:t>
      </w:r>
    </w:p>
    <w:p>
      <w:pPr>
        <w:overflowPunct w:val="0"/>
        <w:autoSpaceDE w:val="0"/>
        <w:autoSpaceDN w:val="0"/>
        <w:adjustRightInd w:val="0"/>
        <w:spacing w:after="180" w:line="240" w:lineRule="auto"/>
        <w:rPr>
          <w:rFonts w:ascii="Times New Roman" w:hAnsi="Times New Roman" w:eastAsia="Times New Roman"/>
          <w:i/>
          <w:iCs/>
          <w:sz w:val="18"/>
          <w:szCs w:val="18"/>
          <w:lang w:val="en-GB"/>
        </w:rPr>
      </w:pPr>
      <w:r>
        <w:rPr>
          <w:rFonts w:ascii="Times New Roman" w:hAnsi="Times New Roman" w:eastAsia="Times New Roman"/>
          <w:i/>
          <w:iCs/>
          <w:sz w:val="18"/>
          <w:szCs w:val="18"/>
          <w:lang w:val="en-GB"/>
        </w:rPr>
        <w:t xml:space="preserve">The QoE configuration shall only be checked by the client when each session starts, and </w:t>
      </w:r>
      <w:r>
        <w:rPr>
          <w:rFonts w:ascii="Times New Roman" w:hAnsi="Times New Roman" w:eastAsia="Times New Roman"/>
          <w:i/>
          <w:iCs/>
          <w:sz w:val="18"/>
          <w:szCs w:val="18"/>
          <w:highlight w:val="green"/>
          <w:lang w:val="en-GB"/>
        </w:rPr>
        <w:t>thus all logging and reporting criterias for an ongoing session shall be unaffected by any QoE configuration changes received during that session.</w:t>
      </w:r>
      <w:r>
        <w:rPr>
          <w:rFonts w:ascii="Times New Roman" w:hAnsi="Times New Roman" w:eastAsia="Times New Roman"/>
          <w:i/>
          <w:iCs/>
          <w:sz w:val="18"/>
          <w:szCs w:val="18"/>
          <w:lang w:val="en-GB"/>
        </w:rPr>
        <w:t xml:space="preserve"> This also includes evaluation of any filtering criterias, such as </w:t>
      </w:r>
      <w:r>
        <w:rPr>
          <w:rFonts w:ascii="Times New Roman" w:hAnsi="Times New Roman" w:eastAsia="Times New Roman"/>
          <w:i/>
          <w:iCs/>
          <w:sz w:val="18"/>
          <w:szCs w:val="18"/>
          <w:highlight w:val="green"/>
          <w:lang w:val="en-GB"/>
        </w:rPr>
        <w:t>geographical filtering</w:t>
      </w:r>
      <w:r>
        <w:rPr>
          <w:rFonts w:ascii="Times New Roman" w:hAnsi="Times New Roman" w:eastAsia="Times New Roman"/>
          <w:i/>
          <w:iCs/>
          <w:sz w:val="18"/>
          <w:szCs w:val="18"/>
          <w:lang w:val="en-GB"/>
        </w:rPr>
        <w:t>, which shall only be done when the session starts. Thus changes to the QoE configuration will only affect sessions started after these configuration changes have been received.</w:t>
      </w:r>
    </w:p>
    <w:p>
      <w:pPr>
        <w:widowControl w:val="0"/>
        <w:numPr>
          <w:ilvl w:val="0"/>
          <w:numId w:val="0"/>
        </w:numPr>
        <w:jc w:val="both"/>
        <w:rPr>
          <w:rFonts w:hint="default"/>
          <w:lang w:val="en-US" w:eastAsia="zh-CN"/>
        </w:rPr>
      </w:pPr>
      <w:r>
        <w:rPr>
          <w:rFonts w:hint="eastAsia"/>
          <w:lang w:val="en-US" w:eastAsia="zh-CN"/>
        </w:rPr>
        <w:t>When a UE moves out of the configured area scope immediately after the recording session is started, based on the legacy definition, the QoE measurement and reporting can not be stopped until the recording session expires. The aim of the QoE measurement is to collect the data when the application is running in a certain area. In the above scenario, the system keeps receiving meaningless data during the most time of the QoE recording session. In addition, the transportation of such data may also lead to the signalling redundant and lower the network&amp;UE efficiency.</w:t>
      </w:r>
    </w:p>
    <w:p>
      <w:pPr>
        <w:widowControl w:val="0"/>
        <w:numPr>
          <w:ilvl w:val="0"/>
          <w:numId w:val="0"/>
        </w:numPr>
        <w:jc w:val="both"/>
        <w:rPr>
          <w:rFonts w:hint="default" w:eastAsiaTheme="minorEastAsia"/>
          <w:b/>
          <w:bCs/>
          <w:lang w:val="en-US" w:eastAsia="zh-CN"/>
        </w:rPr>
      </w:pPr>
      <w:r>
        <w:rPr>
          <w:rFonts w:hint="eastAsia"/>
          <w:b/>
          <w:bCs/>
          <w:lang w:val="en-US" w:eastAsia="zh-CN"/>
        </w:rPr>
        <w:t>Observation 1: Reporting chunks of meaningless QoE measurement data may lower the network and UE performance.</w:t>
      </w:r>
    </w:p>
    <w:p>
      <w:pPr>
        <w:widowControl w:val="0"/>
        <w:numPr>
          <w:ilvl w:val="0"/>
          <w:numId w:val="0"/>
        </w:numPr>
        <w:jc w:val="both"/>
        <w:rPr>
          <w:rFonts w:hint="default"/>
          <w:lang w:val="en-US" w:eastAsia="zh-CN"/>
        </w:rPr>
      </w:pPr>
      <w:r>
        <w:rPr>
          <w:rFonts w:hint="eastAsia"/>
          <w:lang w:val="en-US" w:eastAsia="zh-CN"/>
        </w:rPr>
        <w:t>Therefore, to avoid such scenarios, the RAN side may be able to stop an ongoing QoE measurement reporting in some cases.</w:t>
      </w:r>
    </w:p>
    <w:p>
      <w:pPr>
        <w:widowControl w:val="0"/>
        <w:numPr>
          <w:ilvl w:val="0"/>
          <w:numId w:val="0"/>
        </w:numPr>
        <w:jc w:val="both"/>
        <w:rPr>
          <w:rFonts w:hint="eastAsia"/>
          <w:b/>
          <w:bCs/>
          <w:lang w:val="en-US" w:eastAsia="zh-CN"/>
        </w:rPr>
      </w:pPr>
      <w:r>
        <w:rPr>
          <w:rFonts w:hint="eastAsia"/>
          <w:b/>
          <w:bCs/>
          <w:lang w:val="en-US" w:eastAsia="zh-CN"/>
        </w:rPr>
        <w:t xml:space="preserve">Proposal 1: RAN side may be able to </w:t>
      </w:r>
      <w:r>
        <w:rPr>
          <w:rFonts w:hint="eastAsia"/>
          <w:b/>
          <w:bCs/>
          <w:color w:val="auto"/>
          <w:lang w:val="en-US" w:eastAsia="zh-CN"/>
        </w:rPr>
        <w:t xml:space="preserve">stop </w:t>
      </w:r>
      <w:r>
        <w:rPr>
          <w:rFonts w:hint="eastAsia"/>
          <w:b/>
          <w:bCs/>
          <w:lang w:val="en-US" w:eastAsia="zh-CN"/>
        </w:rPr>
        <w:t xml:space="preserve">an ongoing QoE measurement reporting. </w:t>
      </w:r>
    </w:p>
    <w:p>
      <w:pPr>
        <w:widowControl w:val="0"/>
        <w:numPr>
          <w:ilvl w:val="0"/>
          <w:numId w:val="0"/>
        </w:numPr>
        <w:jc w:val="both"/>
        <w:rPr>
          <w:rFonts w:hint="eastAsia"/>
          <w:b/>
          <w:bCs/>
          <w:lang w:val="en-US" w:eastAsia="zh-CN"/>
        </w:rPr>
      </w:pPr>
    </w:p>
    <w:p>
      <w:pPr>
        <w:widowControl w:val="0"/>
        <w:numPr>
          <w:ilvl w:val="0"/>
          <w:numId w:val="0"/>
        </w:numPr>
        <w:jc w:val="both"/>
        <w:rPr>
          <w:rFonts w:hint="eastAsia"/>
          <w:lang w:val="en-US" w:eastAsia="zh-CN"/>
        </w:rPr>
      </w:pPr>
      <w:r>
        <w:rPr>
          <w:rFonts w:hint="eastAsia"/>
          <w:lang w:val="en-US" w:eastAsia="zh-CN"/>
        </w:rPr>
        <w:t xml:space="preserve">From our point of view, timer based mechanism can be considered to handle whether RAN side needs to stop an ongoing QoE measurement reporting. A timer can be used to stop an ongoing QoE reporting. Each QMC maps a timer. The value of a timer may be various due to different QMCs and can be configured by MCE/NM. Or a fixed value timer can be used for all QMCs. </w:t>
      </w:r>
    </w:p>
    <w:p>
      <w:pPr>
        <w:widowControl w:val="0"/>
        <w:numPr>
          <w:ilvl w:val="0"/>
          <w:numId w:val="0"/>
        </w:numPr>
        <w:jc w:val="both"/>
        <w:rPr>
          <w:rFonts w:hint="default"/>
          <w:lang w:val="en-US" w:eastAsia="zh-CN"/>
        </w:rPr>
      </w:pPr>
      <w:r>
        <w:rPr>
          <w:rFonts w:hint="eastAsia"/>
          <w:lang w:val="en-US" w:eastAsia="zh-CN"/>
        </w:rPr>
        <w:t>The timer starts when the UE switches to a serving cell which is outside the area scope of the configured QMC. And whenever the UE moves back to the area scope, the timer should be stopped. If the UE keeps out of the area scope and the timer expires, RAN side can stop sending the QoE measurement reports of the specific QoE measurement. The timer can be deployed in either gNB or UE side which depends on which entity stores the AreaScope IE(More contribution about the NR QoE continuity during handover can be found in R2-2101918). The table of the timer can be found below:</w:t>
      </w:r>
    </w:p>
    <w:p>
      <w:pPr>
        <w:widowControl w:val="0"/>
        <w:numPr>
          <w:ilvl w:val="0"/>
          <w:numId w:val="0"/>
        </w:numPr>
        <w:jc w:val="center"/>
        <w:rPr>
          <w:rFonts w:hint="default"/>
          <w:b/>
          <w:bCs/>
          <w:lang w:val="en-US" w:eastAsia="zh-CN"/>
        </w:rPr>
      </w:pPr>
      <w:r>
        <w:rPr>
          <w:rFonts w:hint="eastAsia"/>
          <w:b/>
          <w:bCs/>
          <w:lang w:val="en-US" w:eastAsia="zh-CN"/>
        </w:rPr>
        <w:t>Table 1: Information of the timer</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widowControl w:val="0"/>
              <w:numPr>
                <w:ilvl w:val="0"/>
                <w:numId w:val="0"/>
              </w:numPr>
              <w:jc w:val="center"/>
              <w:rPr>
                <w:rFonts w:hint="default"/>
                <w:vertAlign w:val="baseline"/>
                <w:lang w:val="en-US" w:eastAsia="zh-CN"/>
              </w:rPr>
            </w:pPr>
            <w:r>
              <w:rPr>
                <w:rFonts w:hint="eastAsia"/>
                <w:vertAlign w:val="baseline"/>
                <w:lang w:val="en-US" w:eastAsia="zh-CN"/>
              </w:rPr>
              <w:t>Timer starts</w:t>
            </w:r>
          </w:p>
        </w:tc>
        <w:tc>
          <w:tcPr>
            <w:tcW w:w="2841" w:type="dxa"/>
          </w:tcPr>
          <w:p>
            <w:pPr>
              <w:widowControl w:val="0"/>
              <w:numPr>
                <w:ilvl w:val="0"/>
                <w:numId w:val="0"/>
              </w:numPr>
              <w:jc w:val="center"/>
              <w:rPr>
                <w:rFonts w:hint="default"/>
                <w:vertAlign w:val="baseline"/>
                <w:lang w:val="en-US" w:eastAsia="zh-CN"/>
              </w:rPr>
            </w:pPr>
            <w:r>
              <w:rPr>
                <w:rFonts w:hint="eastAsia"/>
                <w:vertAlign w:val="baseline"/>
                <w:lang w:val="en-US" w:eastAsia="zh-CN"/>
              </w:rPr>
              <w:t>Timer stops</w:t>
            </w:r>
          </w:p>
        </w:tc>
        <w:tc>
          <w:tcPr>
            <w:tcW w:w="2841" w:type="dxa"/>
          </w:tcPr>
          <w:p>
            <w:pPr>
              <w:widowControl w:val="0"/>
              <w:numPr>
                <w:ilvl w:val="0"/>
                <w:numId w:val="0"/>
              </w:numPr>
              <w:jc w:val="center"/>
              <w:rPr>
                <w:rFonts w:hint="default"/>
                <w:vertAlign w:val="baseline"/>
                <w:lang w:val="en-US" w:eastAsia="zh-CN"/>
              </w:rPr>
            </w:pPr>
            <w:r>
              <w:rPr>
                <w:rFonts w:hint="eastAsia"/>
                <w:vertAlign w:val="baseline"/>
                <w:lang w:val="en-US" w:eastAsia="zh-CN"/>
              </w:rPr>
              <w:t>Timer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4" w:hRule="atLeast"/>
        </w:trPr>
        <w:tc>
          <w:tcPr>
            <w:tcW w:w="2840" w:type="dxa"/>
          </w:tcPr>
          <w:p>
            <w:pPr>
              <w:widowControl w:val="0"/>
              <w:numPr>
                <w:ilvl w:val="0"/>
                <w:numId w:val="0"/>
              </w:numPr>
              <w:jc w:val="center"/>
              <w:rPr>
                <w:rFonts w:hint="default"/>
                <w:vertAlign w:val="baseline"/>
                <w:lang w:val="en-US" w:eastAsia="zh-CN"/>
              </w:rPr>
            </w:pPr>
            <w:r>
              <w:rPr>
                <w:rFonts w:hint="eastAsia"/>
                <w:lang w:val="en-US" w:eastAsia="zh-CN"/>
              </w:rPr>
              <w:t>The timer starts when the UE switches to a cell which is out of the AreaScope.</w:t>
            </w:r>
          </w:p>
        </w:tc>
        <w:tc>
          <w:tcPr>
            <w:tcW w:w="2841" w:type="dxa"/>
          </w:tcPr>
          <w:p>
            <w:pPr>
              <w:widowControl w:val="0"/>
              <w:numPr>
                <w:ilvl w:val="0"/>
                <w:numId w:val="0"/>
              </w:numPr>
              <w:jc w:val="center"/>
              <w:rPr>
                <w:rFonts w:hint="default"/>
                <w:vertAlign w:val="baseline"/>
                <w:lang w:val="en-US" w:eastAsia="zh-CN"/>
              </w:rPr>
            </w:pPr>
            <w:r>
              <w:rPr>
                <w:rFonts w:hint="eastAsia"/>
                <w:lang w:val="en-US" w:eastAsia="zh-CN"/>
              </w:rPr>
              <w:t>The UE is in the AreaScope.</w:t>
            </w:r>
          </w:p>
        </w:tc>
        <w:tc>
          <w:tcPr>
            <w:tcW w:w="2841" w:type="dxa"/>
          </w:tcPr>
          <w:p>
            <w:pPr>
              <w:widowControl w:val="0"/>
              <w:numPr>
                <w:ilvl w:val="0"/>
                <w:numId w:val="0"/>
              </w:numPr>
              <w:jc w:val="center"/>
              <w:rPr>
                <w:rFonts w:hint="default"/>
                <w:vertAlign w:val="baseline"/>
                <w:lang w:val="en-US" w:eastAsia="zh-CN"/>
              </w:rPr>
            </w:pPr>
            <w:r>
              <w:rPr>
                <w:rFonts w:hint="eastAsia"/>
                <w:lang w:val="en-US" w:eastAsia="zh-CN"/>
              </w:rPr>
              <w:t>RAN side can stop sending the QoE measurement reports of a specific QoE measurement.</w:t>
            </w:r>
          </w:p>
        </w:tc>
      </w:tr>
    </w:tbl>
    <w:p>
      <w:pPr>
        <w:widowControl w:val="0"/>
        <w:numPr>
          <w:ilvl w:val="0"/>
          <w:numId w:val="0"/>
        </w:numPr>
        <w:jc w:val="both"/>
        <w:rPr>
          <w:rFonts w:hint="eastAsia"/>
          <w:b/>
          <w:bCs/>
          <w:lang w:val="en-US" w:eastAsia="zh-CN"/>
        </w:rPr>
      </w:pPr>
    </w:p>
    <w:p>
      <w:pPr>
        <w:widowControl w:val="0"/>
        <w:numPr>
          <w:ilvl w:val="0"/>
          <w:numId w:val="0"/>
        </w:numPr>
        <w:jc w:val="both"/>
        <w:rPr>
          <w:rFonts w:hint="default"/>
          <w:b/>
          <w:bCs/>
          <w:lang w:val="en-US" w:eastAsia="zh-CN"/>
        </w:rPr>
      </w:pPr>
      <w:r>
        <w:rPr>
          <w:rFonts w:hint="eastAsia"/>
          <w:b/>
          <w:bCs/>
          <w:lang w:val="en-US" w:eastAsia="zh-CN"/>
        </w:rPr>
        <w:t>Proposal 2: Timer based mechanism can be considered as an alternative to stop the QoE measurement reporting at RAN side.</w:t>
      </w:r>
    </w:p>
    <w:p>
      <w:pPr>
        <w:rPr>
          <w:rFonts w:hint="default" w:eastAsia="宋体"/>
          <w:lang w:val="en-US" w:eastAsia="zh-CN"/>
        </w:rPr>
      </w:pP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hint="eastAsia" w:cs="Arial"/>
          <w:b w:val="0"/>
          <w:bCs w:val="0"/>
          <w:kern w:val="0"/>
          <w:sz w:val="32"/>
          <w:szCs w:val="36"/>
          <w:lang w:val="en-US" w:eastAsia="zh-CN"/>
        </w:rPr>
        <w:t xml:space="preserve">Conclusion </w:t>
      </w:r>
      <w:r>
        <w:rPr>
          <w:rFonts w:cs="Arial"/>
          <w:b w:val="0"/>
          <w:bCs w:val="0"/>
          <w:kern w:val="0"/>
          <w:sz w:val="32"/>
          <w:szCs w:val="36"/>
        </w:rPr>
        <w:t>and proposals</w:t>
      </w:r>
    </w:p>
    <w:p>
      <w:pPr>
        <w:widowControl w:val="0"/>
        <w:numPr>
          <w:ilvl w:val="0"/>
          <w:numId w:val="0"/>
        </w:numPr>
        <w:jc w:val="both"/>
        <w:rPr>
          <w:rFonts w:hint="default" w:eastAsiaTheme="minorEastAsia"/>
          <w:b/>
          <w:bCs/>
          <w:lang w:val="en-US" w:eastAsia="zh-CN"/>
        </w:rPr>
      </w:pPr>
      <w:r>
        <w:rPr>
          <w:rFonts w:hint="eastAsia"/>
          <w:b/>
          <w:bCs/>
          <w:lang w:val="en-US" w:eastAsia="zh-CN"/>
        </w:rPr>
        <w:t>Observation 1: Reporting chunks of meaningless QoE measurement data may lower the network and UE performance.</w:t>
      </w:r>
    </w:p>
    <w:p>
      <w:pPr>
        <w:widowControl w:val="0"/>
        <w:numPr>
          <w:ilvl w:val="0"/>
          <w:numId w:val="0"/>
        </w:numPr>
        <w:jc w:val="both"/>
        <w:rPr>
          <w:rFonts w:hint="eastAsia"/>
          <w:b/>
          <w:bCs/>
          <w:lang w:val="en-US" w:eastAsia="zh-CN"/>
        </w:rPr>
      </w:pPr>
      <w:r>
        <w:rPr>
          <w:rFonts w:hint="eastAsia"/>
          <w:b/>
          <w:bCs/>
          <w:lang w:val="en-US" w:eastAsia="zh-CN"/>
        </w:rPr>
        <w:t xml:space="preserve">Proposal 1: RAN side may be able to </w:t>
      </w:r>
      <w:r>
        <w:rPr>
          <w:rFonts w:hint="eastAsia"/>
          <w:b/>
          <w:bCs/>
          <w:color w:val="auto"/>
          <w:lang w:val="en-US" w:eastAsia="zh-CN"/>
        </w:rPr>
        <w:t xml:space="preserve">stop </w:t>
      </w:r>
      <w:r>
        <w:rPr>
          <w:rFonts w:hint="eastAsia"/>
          <w:b/>
          <w:bCs/>
          <w:lang w:val="en-US" w:eastAsia="zh-CN"/>
        </w:rPr>
        <w:t xml:space="preserve">an ongoing QoE measurement reporting. </w:t>
      </w:r>
    </w:p>
    <w:p>
      <w:pPr>
        <w:widowControl w:val="0"/>
        <w:numPr>
          <w:ilvl w:val="0"/>
          <w:numId w:val="0"/>
        </w:numPr>
        <w:jc w:val="both"/>
        <w:rPr>
          <w:rFonts w:hint="eastAsia" w:eastAsia="宋体"/>
          <w:b/>
          <w:bCs/>
          <w:lang w:val="en-US" w:eastAsia="zh-CN"/>
        </w:rPr>
      </w:pPr>
      <w:r>
        <w:rPr>
          <w:rFonts w:hint="eastAsia"/>
          <w:b/>
          <w:bCs/>
          <w:lang w:val="en-US" w:eastAsia="zh-CN"/>
        </w:rPr>
        <w:t>Proposal 2: Timer based mechanism can be considered as an alternative to stop the QoE measurement reporting at RAN side.</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hint="eastAsia" w:cs="Arial"/>
          <w:b w:val="0"/>
          <w:bCs w:val="0"/>
          <w:kern w:val="0"/>
          <w:sz w:val="32"/>
          <w:szCs w:val="36"/>
          <w:lang w:val="en-US" w:eastAsia="zh-CN"/>
        </w:rPr>
        <w:t>Reference</w:t>
      </w:r>
    </w:p>
    <w:p>
      <w:pPr>
        <w:keepNext w:val="0"/>
        <w:keepLines w:val="0"/>
        <w:pageBreakBefore w:val="0"/>
        <w:numPr>
          <w:ilvl w:val="0"/>
          <w:numId w:val="7"/>
        </w:numPr>
        <w:kinsoku/>
        <w:wordWrap/>
        <w:overflowPunct/>
        <w:topLinePunct w:val="0"/>
        <w:autoSpaceDE/>
        <w:autoSpaceDN/>
        <w:bidi w:val="0"/>
        <w:adjustRightInd/>
        <w:snapToGrid/>
        <w:spacing w:line="240" w:lineRule="auto"/>
        <w:ind w:left="0" w:leftChars="0" w:firstLine="0" w:firstLineChars="0"/>
        <w:textAlignment w:val="auto"/>
        <w:rPr>
          <w:rFonts w:hint="default" w:ascii="Arial" w:hAnsi="Arial" w:eastAsia="宋体" w:cs="Arial"/>
          <w:strike w:val="0"/>
          <w:dstrike w:val="0"/>
          <w:sz w:val="21"/>
          <w:szCs w:val="21"/>
          <w:lang w:val="en-US" w:eastAsia="zh-CN"/>
        </w:rPr>
      </w:pPr>
      <w:r>
        <w:rPr>
          <w:rFonts w:hint="eastAsia" w:eastAsia="宋体" w:cs="Arial"/>
          <w:strike w:val="0"/>
          <w:dstrike w:val="0"/>
          <w:sz w:val="21"/>
          <w:szCs w:val="21"/>
          <w:lang w:val="en-US" w:eastAsia="zh-CN"/>
        </w:rPr>
        <w:t xml:space="preserve">3GPP </w:t>
      </w:r>
      <w:r>
        <w:rPr>
          <w:rFonts w:hint="eastAsia"/>
          <w:lang w:val="en-US" w:eastAsia="zh-CN"/>
        </w:rPr>
        <w:t>RP-193256</w:t>
      </w:r>
      <w:r>
        <w:rPr>
          <w:rFonts w:hint="eastAsia" w:eastAsia="宋体" w:cs="Arial"/>
          <w:strike w:val="0"/>
          <w:dstrike w:val="0"/>
          <w:sz w:val="21"/>
          <w:szCs w:val="21"/>
          <w:lang w:val="en-US" w:eastAsia="zh-CN"/>
        </w:rPr>
        <w:t xml:space="preserve">, </w:t>
      </w:r>
      <w:r>
        <w:rPr>
          <w:rFonts w:hint="default" w:eastAsia="宋体" w:cs="Arial"/>
          <w:strike w:val="0"/>
          <w:dstrike w:val="0"/>
          <w:sz w:val="21"/>
          <w:szCs w:val="21"/>
          <w:lang w:val="en-US" w:eastAsia="zh-CN"/>
        </w:rPr>
        <w:t>“</w:t>
      </w:r>
      <w:r>
        <w:rPr>
          <w:rFonts w:hint="default" w:ascii="Arial" w:hAnsi="Arial" w:eastAsia="宋体" w:cs="Arial"/>
          <w:strike w:val="0"/>
          <w:dstrike w:val="0"/>
          <w:sz w:val="21"/>
          <w:szCs w:val="21"/>
          <w:lang w:val="en-US" w:eastAsia="zh-CN"/>
        </w:rPr>
        <w:t>New SID: Study on NR QoE management and optimizations for diverse services</w:t>
      </w:r>
      <w:r>
        <w:rPr>
          <w:rFonts w:hint="default" w:eastAsia="宋体" w:cs="Arial"/>
          <w:b w:val="0"/>
          <w:bCs w:val="0"/>
          <w:strike w:val="0"/>
          <w:dstrike w:val="0"/>
          <w:sz w:val="21"/>
          <w:szCs w:val="21"/>
          <w:lang w:val="en-US" w:eastAsia="zh-CN"/>
        </w:rPr>
        <w:t>”</w:t>
      </w:r>
      <w:r>
        <w:rPr>
          <w:rFonts w:hint="default" w:ascii="Arial" w:hAnsi="Arial" w:eastAsia="宋体" w:cs="Arial"/>
          <w:strike w:val="0"/>
          <w:dstrike w:val="0"/>
          <w:sz w:val="21"/>
          <w:szCs w:val="21"/>
          <w:lang w:val="en-US" w:eastAsia="zh-CN"/>
        </w:rPr>
        <w:t>, RAN</w:t>
      </w:r>
      <w:r>
        <w:rPr>
          <w:rFonts w:hint="eastAsia" w:eastAsia="宋体" w:cs="Arial"/>
          <w:strike w:val="0"/>
          <w:dstrike w:val="0"/>
          <w:sz w:val="21"/>
          <w:szCs w:val="21"/>
          <w:lang w:val="en-US" w:eastAsia="zh-CN"/>
        </w:rPr>
        <w:t>,Dec, 2019.</w:t>
      </w:r>
    </w:p>
    <w:p>
      <w:pPr>
        <w:keepNext w:val="0"/>
        <w:keepLines w:val="0"/>
        <w:pageBreakBefore w:val="0"/>
        <w:numPr>
          <w:ilvl w:val="0"/>
          <w:numId w:val="7"/>
        </w:numPr>
        <w:kinsoku/>
        <w:wordWrap/>
        <w:overflowPunct/>
        <w:topLinePunct w:val="0"/>
        <w:autoSpaceDE/>
        <w:autoSpaceDN/>
        <w:bidi w:val="0"/>
        <w:adjustRightInd/>
        <w:snapToGrid/>
        <w:spacing w:line="240" w:lineRule="auto"/>
        <w:ind w:left="0" w:leftChars="0" w:firstLine="0" w:firstLineChars="0"/>
        <w:textAlignment w:val="auto"/>
        <w:rPr>
          <w:rFonts w:hint="default" w:ascii="Arial" w:hAnsi="Arial" w:eastAsia="宋体" w:cs="Arial"/>
          <w:strike w:val="0"/>
          <w:dstrike w:val="0"/>
          <w:sz w:val="21"/>
          <w:szCs w:val="21"/>
          <w:lang w:val="en-US" w:eastAsia="zh-CN"/>
        </w:rPr>
      </w:pPr>
      <w:r>
        <w:rPr>
          <w:rFonts w:hint="eastAsia" w:eastAsia="宋体" w:cs="Arial"/>
          <w:strike w:val="0"/>
          <w:dstrike w:val="0"/>
          <w:sz w:val="21"/>
          <w:szCs w:val="21"/>
          <w:lang w:val="en-US" w:eastAsia="zh-CN"/>
        </w:rPr>
        <w:t xml:space="preserve">3GPP TS26.247, </w:t>
      </w:r>
      <w:r>
        <w:rPr>
          <w:rFonts w:hint="default" w:eastAsia="宋体" w:cs="Arial"/>
          <w:strike w:val="0"/>
          <w:dstrike w:val="0"/>
          <w:sz w:val="21"/>
          <w:szCs w:val="21"/>
          <w:lang w:val="en-US" w:eastAsia="zh-CN"/>
        </w:rPr>
        <w:t>”Progressive Download and Dynamic Adaptive Streaming over HTTP (3GP-DASH)”</w:t>
      </w:r>
      <w:r>
        <w:rPr>
          <w:rFonts w:hint="eastAsia" w:eastAsia="宋体" w:cs="Arial"/>
          <w:strike w:val="0"/>
          <w:dstrike w:val="0"/>
          <w:sz w:val="21"/>
          <w:szCs w:val="21"/>
          <w:lang w:val="en-US" w:eastAsia="zh-CN"/>
        </w:rPr>
        <w:t>, Release 16, v16.4.1, Oct, 2020.</w:t>
      </w:r>
    </w:p>
    <w:p>
      <w:pPr>
        <w:keepNext w:val="0"/>
        <w:keepLines w:val="0"/>
        <w:pageBreakBefore w:val="0"/>
        <w:numPr>
          <w:ilvl w:val="0"/>
          <w:numId w:val="7"/>
        </w:numPr>
        <w:kinsoku/>
        <w:wordWrap/>
        <w:overflowPunct/>
        <w:topLinePunct w:val="0"/>
        <w:autoSpaceDE/>
        <w:autoSpaceDN/>
        <w:bidi w:val="0"/>
        <w:adjustRightInd/>
        <w:snapToGrid/>
        <w:spacing w:line="240" w:lineRule="auto"/>
        <w:ind w:left="0" w:leftChars="0" w:firstLine="0" w:firstLineChars="0"/>
        <w:textAlignment w:val="auto"/>
        <w:rPr>
          <w:rFonts w:hint="default" w:ascii="Arial" w:hAnsi="Arial" w:eastAsia="宋体" w:cs="Arial"/>
          <w:strike w:val="0"/>
          <w:dstrike w:val="0"/>
          <w:sz w:val="21"/>
          <w:szCs w:val="21"/>
          <w:lang w:val="en-US" w:eastAsia="zh-CN"/>
        </w:rPr>
      </w:pPr>
      <w:r>
        <w:rPr>
          <w:rFonts w:hint="eastAsia" w:eastAsia="宋体" w:cs="Arial"/>
          <w:strike w:val="0"/>
          <w:dstrike w:val="0"/>
          <w:sz w:val="21"/>
          <w:szCs w:val="21"/>
          <w:lang w:val="en-US" w:eastAsia="zh-CN"/>
        </w:rPr>
        <w:t xml:space="preserve">3GPP TS26.114, </w:t>
      </w:r>
      <w:r>
        <w:rPr>
          <w:rFonts w:hint="default" w:eastAsia="宋体" w:cs="Arial"/>
          <w:strike w:val="0"/>
          <w:dstrike w:val="0"/>
          <w:sz w:val="21"/>
          <w:szCs w:val="21"/>
          <w:lang w:val="en-US" w:eastAsia="zh-CN"/>
        </w:rPr>
        <w:t>“IP Multimedia Subsystem (IMS);Multimedia Telephony;Media handling and interaction”</w:t>
      </w:r>
      <w:r>
        <w:rPr>
          <w:rFonts w:hint="eastAsia" w:eastAsia="宋体" w:cs="Arial"/>
          <w:strike w:val="0"/>
          <w:dstrike w:val="0"/>
          <w:sz w:val="21"/>
          <w:szCs w:val="21"/>
          <w:lang w:val="en-US" w:eastAsia="zh-CN"/>
        </w:rPr>
        <w:t>, Release 16, v16.8.0, Dec, 2020.</w:t>
      </w:r>
    </w:p>
    <w:p>
      <w:pPr>
        <w:pStyle w:val="53"/>
        <w:spacing w:before="75" w:beforeAutospacing="0" w:after="75" w:afterAutospacing="0" w:line="315" w:lineRule="atLeast"/>
        <w:rPr>
          <w:rFonts w:hint="eastAsia"/>
          <w:lang w:val="en-US" w:eastAsia="zh-CN"/>
        </w:rPr>
      </w:pPr>
    </w:p>
    <w:p>
      <w:pPr>
        <w:pStyle w:val="53"/>
        <w:spacing w:before="75" w:beforeAutospacing="0" w:after="75" w:afterAutospacing="0" w:line="315" w:lineRule="atLeast"/>
        <w:rPr>
          <w:rFonts w:hint="eastAsia"/>
          <w:lang w:val="en-US" w:eastAsia="zh-CN"/>
        </w:rPr>
      </w:pPr>
      <w:bookmarkStart w:id="6" w:name="_GoBack"/>
      <w:bookmarkEnd w:id="6"/>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65565A"/>
    <w:multiLevelType w:val="singleLevel"/>
    <w:tmpl w:val="B165565A"/>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11970B1B"/>
    <w:multiLevelType w:val="multilevel"/>
    <w:tmpl w:val="11970B1B"/>
    <w:lvl w:ilvl="0" w:tentative="0">
      <w:start w:val="8"/>
      <w:numFmt w:val="bullet"/>
      <w:lvlText w:val="-"/>
      <w:lvlJc w:val="left"/>
      <w:pPr>
        <w:tabs>
          <w:tab w:val="left" w:pos="360"/>
        </w:tabs>
        <w:ind w:left="360" w:hanging="360"/>
      </w:pPr>
      <w:rPr>
        <w:rFonts w:hint="default" w:ascii="Times New Roman" w:hAnsi="Times New Roman" w:eastAsia="Times New Roman" w:cs="Times New Roman"/>
      </w:rPr>
    </w:lvl>
    <w:lvl w:ilvl="1" w:tentative="0">
      <w:start w:val="8"/>
      <w:numFmt w:val="bullet"/>
      <w:lvlText w:val="-"/>
      <w:lvlJc w:val="left"/>
      <w:pPr>
        <w:tabs>
          <w:tab w:val="left" w:pos="1080"/>
        </w:tabs>
        <w:ind w:left="1080" w:hanging="360"/>
      </w:pPr>
      <w:rPr>
        <w:rFonts w:hint="default" w:ascii="Times New Roman" w:hAnsi="Times New Roman" w:eastAsia="Times New Roman" w:cs="Times New Roman"/>
      </w:rPr>
    </w:lvl>
    <w:lvl w:ilvl="2" w:tentative="0">
      <w:start w:val="1"/>
      <w:numFmt w:val="bullet"/>
      <w:lvlText w:val=""/>
      <w:lvlJc w:val="left"/>
      <w:pPr>
        <w:tabs>
          <w:tab w:val="left" w:pos="1800"/>
        </w:tabs>
        <w:ind w:left="1800" w:hanging="360"/>
      </w:pPr>
      <w:rPr>
        <w:rFonts w:hint="default" w:ascii="Wingdings" w:hAnsi="Wingdings"/>
      </w:rPr>
    </w:lvl>
    <w:lvl w:ilvl="3" w:tentative="0">
      <w:start w:val="106"/>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Wingdings" w:hAnsi="Wingdings"/>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Wingdings" w:hAnsi="Wingdings"/>
      </w:rPr>
    </w:lvl>
    <w:lvl w:ilvl="7" w:tentative="0">
      <w:start w:val="1"/>
      <w:numFmt w:val="bullet"/>
      <w:lvlText w:val=""/>
      <w:lvlJc w:val="left"/>
      <w:pPr>
        <w:tabs>
          <w:tab w:val="left" w:pos="5400"/>
        </w:tabs>
        <w:ind w:left="5400" w:hanging="360"/>
      </w:pPr>
      <w:rPr>
        <w:rFonts w:hint="default" w:ascii="Wingdings" w:hAnsi="Wingdings"/>
      </w:rPr>
    </w:lvl>
    <w:lvl w:ilvl="8" w:tentative="0">
      <w:start w:val="1"/>
      <w:numFmt w:val="bullet"/>
      <w:lvlText w:val=""/>
      <w:lvlJc w:val="left"/>
      <w:pPr>
        <w:tabs>
          <w:tab w:val="left" w:pos="6120"/>
        </w:tabs>
        <w:ind w:left="6120" w:hanging="360"/>
      </w:pPr>
      <w:rPr>
        <w:rFonts w:hint="default" w:ascii="Wingdings" w:hAnsi="Wingdings"/>
      </w:rPr>
    </w:lvl>
  </w:abstractNum>
  <w:abstractNum w:abstractNumId="4">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6"/>
  </w:num>
  <w:num w:numId="3">
    <w:abstractNumId w:val="4"/>
  </w:num>
  <w:num w:numId="4">
    <w:abstractNumId w:val="5"/>
  </w:num>
  <w:num w:numId="5">
    <w:abstractNumId w:val="2"/>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775CB"/>
    <w:rsid w:val="000804D4"/>
    <w:rsid w:val="0008122E"/>
    <w:rsid w:val="00082CAA"/>
    <w:rsid w:val="00084609"/>
    <w:rsid w:val="000875C4"/>
    <w:rsid w:val="0009084A"/>
    <w:rsid w:val="000915A4"/>
    <w:rsid w:val="0009278C"/>
    <w:rsid w:val="000927BF"/>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49B"/>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85D01"/>
    <w:rsid w:val="00287147"/>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059A"/>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4220"/>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00A0"/>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0469"/>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0DFF"/>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7856"/>
    <w:rsid w:val="00ED792B"/>
    <w:rsid w:val="00ED7DC2"/>
    <w:rsid w:val="00EE3EE2"/>
    <w:rsid w:val="00EE5769"/>
    <w:rsid w:val="00EE5CA6"/>
    <w:rsid w:val="00EE6916"/>
    <w:rsid w:val="00EF1335"/>
    <w:rsid w:val="00EF1557"/>
    <w:rsid w:val="00EF2499"/>
    <w:rsid w:val="00EF4AE0"/>
    <w:rsid w:val="00EF6FA1"/>
    <w:rsid w:val="00F00799"/>
    <w:rsid w:val="00F012FF"/>
    <w:rsid w:val="00F01A21"/>
    <w:rsid w:val="00F046E9"/>
    <w:rsid w:val="00F04831"/>
    <w:rsid w:val="00F11A9C"/>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526153"/>
    <w:rsid w:val="016F2955"/>
    <w:rsid w:val="01E06294"/>
    <w:rsid w:val="02090528"/>
    <w:rsid w:val="02096E03"/>
    <w:rsid w:val="021A15C5"/>
    <w:rsid w:val="0276200A"/>
    <w:rsid w:val="02852DB6"/>
    <w:rsid w:val="02AF57A1"/>
    <w:rsid w:val="02C63FE5"/>
    <w:rsid w:val="03695ACD"/>
    <w:rsid w:val="03BD040A"/>
    <w:rsid w:val="0427122D"/>
    <w:rsid w:val="04405CD4"/>
    <w:rsid w:val="06270E5D"/>
    <w:rsid w:val="06301129"/>
    <w:rsid w:val="07332E45"/>
    <w:rsid w:val="07393CB3"/>
    <w:rsid w:val="07645E7E"/>
    <w:rsid w:val="07815AA2"/>
    <w:rsid w:val="07DB31F6"/>
    <w:rsid w:val="08036844"/>
    <w:rsid w:val="083828A5"/>
    <w:rsid w:val="086A0D8F"/>
    <w:rsid w:val="08870B03"/>
    <w:rsid w:val="09253E9C"/>
    <w:rsid w:val="0929781C"/>
    <w:rsid w:val="095438C6"/>
    <w:rsid w:val="098B1EF5"/>
    <w:rsid w:val="09911B95"/>
    <w:rsid w:val="09945F3A"/>
    <w:rsid w:val="09CB5A6C"/>
    <w:rsid w:val="09F00BD8"/>
    <w:rsid w:val="09F318B6"/>
    <w:rsid w:val="09FD6E02"/>
    <w:rsid w:val="0A1A74F5"/>
    <w:rsid w:val="0A1D73FF"/>
    <w:rsid w:val="0A305586"/>
    <w:rsid w:val="0A35590A"/>
    <w:rsid w:val="0A750F68"/>
    <w:rsid w:val="0AEC356E"/>
    <w:rsid w:val="0B110D70"/>
    <w:rsid w:val="0B545B44"/>
    <w:rsid w:val="0C4A196E"/>
    <w:rsid w:val="0CBA1583"/>
    <w:rsid w:val="0CBC415D"/>
    <w:rsid w:val="0CD249CC"/>
    <w:rsid w:val="0D9222C1"/>
    <w:rsid w:val="0DC045AB"/>
    <w:rsid w:val="0DFF7D07"/>
    <w:rsid w:val="0E374CA0"/>
    <w:rsid w:val="0E6F0740"/>
    <w:rsid w:val="0EC0431F"/>
    <w:rsid w:val="0F321E2D"/>
    <w:rsid w:val="0F4E2E70"/>
    <w:rsid w:val="0F6715A1"/>
    <w:rsid w:val="0F8070F6"/>
    <w:rsid w:val="0FA731D6"/>
    <w:rsid w:val="10232DBB"/>
    <w:rsid w:val="103F55E5"/>
    <w:rsid w:val="108C2AA3"/>
    <w:rsid w:val="10DE14BF"/>
    <w:rsid w:val="10DF3115"/>
    <w:rsid w:val="113E3C41"/>
    <w:rsid w:val="11B5797D"/>
    <w:rsid w:val="11DD4AE3"/>
    <w:rsid w:val="11E15AE5"/>
    <w:rsid w:val="11E53E9B"/>
    <w:rsid w:val="11FC5F30"/>
    <w:rsid w:val="120048B1"/>
    <w:rsid w:val="12015140"/>
    <w:rsid w:val="12394E59"/>
    <w:rsid w:val="1299671F"/>
    <w:rsid w:val="12A742B1"/>
    <w:rsid w:val="131813A1"/>
    <w:rsid w:val="137969D1"/>
    <w:rsid w:val="13DC640D"/>
    <w:rsid w:val="141842FE"/>
    <w:rsid w:val="14352831"/>
    <w:rsid w:val="146B64E1"/>
    <w:rsid w:val="14993B21"/>
    <w:rsid w:val="14D73601"/>
    <w:rsid w:val="15014A40"/>
    <w:rsid w:val="15890495"/>
    <w:rsid w:val="15E03D6F"/>
    <w:rsid w:val="15EF5060"/>
    <w:rsid w:val="169C366A"/>
    <w:rsid w:val="16DA1E4D"/>
    <w:rsid w:val="16FB015A"/>
    <w:rsid w:val="17003574"/>
    <w:rsid w:val="17535B24"/>
    <w:rsid w:val="17A31370"/>
    <w:rsid w:val="17B06B1C"/>
    <w:rsid w:val="180B4FFB"/>
    <w:rsid w:val="18211C57"/>
    <w:rsid w:val="1842664F"/>
    <w:rsid w:val="18543673"/>
    <w:rsid w:val="186B7D0B"/>
    <w:rsid w:val="189D065F"/>
    <w:rsid w:val="18BC6F6C"/>
    <w:rsid w:val="18EC251F"/>
    <w:rsid w:val="18F32BCE"/>
    <w:rsid w:val="18FF4ABB"/>
    <w:rsid w:val="19343406"/>
    <w:rsid w:val="1A45032B"/>
    <w:rsid w:val="1A640E62"/>
    <w:rsid w:val="1A713779"/>
    <w:rsid w:val="1A9B1F53"/>
    <w:rsid w:val="1ABB54B3"/>
    <w:rsid w:val="1AE025B8"/>
    <w:rsid w:val="1B3D4012"/>
    <w:rsid w:val="1B481AFB"/>
    <w:rsid w:val="1B7A1663"/>
    <w:rsid w:val="1B8F6978"/>
    <w:rsid w:val="1BC27038"/>
    <w:rsid w:val="1BC73993"/>
    <w:rsid w:val="1BD24B16"/>
    <w:rsid w:val="1BF62321"/>
    <w:rsid w:val="1C130C67"/>
    <w:rsid w:val="1C2D5D31"/>
    <w:rsid w:val="1C696E9C"/>
    <w:rsid w:val="1CBD093F"/>
    <w:rsid w:val="1CC83450"/>
    <w:rsid w:val="1CE21C50"/>
    <w:rsid w:val="1D235F66"/>
    <w:rsid w:val="1D340984"/>
    <w:rsid w:val="1D665A9E"/>
    <w:rsid w:val="1D667D51"/>
    <w:rsid w:val="1D8D3AB3"/>
    <w:rsid w:val="1DC566C0"/>
    <w:rsid w:val="1DE501D0"/>
    <w:rsid w:val="1E21472F"/>
    <w:rsid w:val="1E2804C4"/>
    <w:rsid w:val="1E2C49A1"/>
    <w:rsid w:val="1E3722FA"/>
    <w:rsid w:val="1E8146DA"/>
    <w:rsid w:val="1EA46EA2"/>
    <w:rsid w:val="1EAA39F6"/>
    <w:rsid w:val="1EB2633F"/>
    <w:rsid w:val="1EB847E9"/>
    <w:rsid w:val="1F8E0455"/>
    <w:rsid w:val="1FA76059"/>
    <w:rsid w:val="1FAF272D"/>
    <w:rsid w:val="1FE374E8"/>
    <w:rsid w:val="204934AB"/>
    <w:rsid w:val="20573F56"/>
    <w:rsid w:val="20705710"/>
    <w:rsid w:val="20840318"/>
    <w:rsid w:val="20930DFA"/>
    <w:rsid w:val="20CE5836"/>
    <w:rsid w:val="20D02BC7"/>
    <w:rsid w:val="210637EE"/>
    <w:rsid w:val="210948AE"/>
    <w:rsid w:val="211E529B"/>
    <w:rsid w:val="213A5E32"/>
    <w:rsid w:val="21D36B48"/>
    <w:rsid w:val="221B7641"/>
    <w:rsid w:val="224F5646"/>
    <w:rsid w:val="229A0A46"/>
    <w:rsid w:val="22D5441E"/>
    <w:rsid w:val="22D61F71"/>
    <w:rsid w:val="232660FF"/>
    <w:rsid w:val="23552489"/>
    <w:rsid w:val="2418652F"/>
    <w:rsid w:val="241B4523"/>
    <w:rsid w:val="245A1846"/>
    <w:rsid w:val="248512BD"/>
    <w:rsid w:val="24E51B39"/>
    <w:rsid w:val="25173A41"/>
    <w:rsid w:val="252D5DCC"/>
    <w:rsid w:val="255B75CB"/>
    <w:rsid w:val="25A45302"/>
    <w:rsid w:val="25A94E88"/>
    <w:rsid w:val="25E135DF"/>
    <w:rsid w:val="261E413F"/>
    <w:rsid w:val="263E633F"/>
    <w:rsid w:val="267E599C"/>
    <w:rsid w:val="26C17FC8"/>
    <w:rsid w:val="27B132D6"/>
    <w:rsid w:val="27FF1FDA"/>
    <w:rsid w:val="28BC7E56"/>
    <w:rsid w:val="29095102"/>
    <w:rsid w:val="29361774"/>
    <w:rsid w:val="293E1B9C"/>
    <w:rsid w:val="29B32846"/>
    <w:rsid w:val="29ED63D5"/>
    <w:rsid w:val="2A275682"/>
    <w:rsid w:val="2A275D46"/>
    <w:rsid w:val="2AA14025"/>
    <w:rsid w:val="2B2348E2"/>
    <w:rsid w:val="2B5D0645"/>
    <w:rsid w:val="2B6E4D8F"/>
    <w:rsid w:val="2B907720"/>
    <w:rsid w:val="2BCD0751"/>
    <w:rsid w:val="2C7F2EA6"/>
    <w:rsid w:val="2C8E4E6A"/>
    <w:rsid w:val="2C9927E7"/>
    <w:rsid w:val="2CA56F60"/>
    <w:rsid w:val="2CAF2767"/>
    <w:rsid w:val="2CFB59F1"/>
    <w:rsid w:val="2D125EB2"/>
    <w:rsid w:val="2D1E05D5"/>
    <w:rsid w:val="2D5627A8"/>
    <w:rsid w:val="2D9A6090"/>
    <w:rsid w:val="2DBD4FAF"/>
    <w:rsid w:val="2E09336F"/>
    <w:rsid w:val="2EC27772"/>
    <w:rsid w:val="2F263E1B"/>
    <w:rsid w:val="2F337D9E"/>
    <w:rsid w:val="3003631E"/>
    <w:rsid w:val="30745F5B"/>
    <w:rsid w:val="3078124A"/>
    <w:rsid w:val="3090209F"/>
    <w:rsid w:val="31623402"/>
    <w:rsid w:val="31EB4942"/>
    <w:rsid w:val="32187B45"/>
    <w:rsid w:val="32585832"/>
    <w:rsid w:val="3273050E"/>
    <w:rsid w:val="32891F62"/>
    <w:rsid w:val="328C1583"/>
    <w:rsid w:val="32C9080C"/>
    <w:rsid w:val="32CA0CF4"/>
    <w:rsid w:val="334275F5"/>
    <w:rsid w:val="33636F14"/>
    <w:rsid w:val="33670485"/>
    <w:rsid w:val="33C54618"/>
    <w:rsid w:val="34211C7C"/>
    <w:rsid w:val="347A4EB8"/>
    <w:rsid w:val="35183D8B"/>
    <w:rsid w:val="35387D52"/>
    <w:rsid w:val="356926AE"/>
    <w:rsid w:val="35746D1B"/>
    <w:rsid w:val="358E0757"/>
    <w:rsid w:val="35AE7101"/>
    <w:rsid w:val="35F9212A"/>
    <w:rsid w:val="36281B26"/>
    <w:rsid w:val="3642096B"/>
    <w:rsid w:val="366043F8"/>
    <w:rsid w:val="366626F2"/>
    <w:rsid w:val="371D2E2E"/>
    <w:rsid w:val="374F6194"/>
    <w:rsid w:val="377F6041"/>
    <w:rsid w:val="37BC7D72"/>
    <w:rsid w:val="37E15A1B"/>
    <w:rsid w:val="382E42A6"/>
    <w:rsid w:val="38A75F14"/>
    <w:rsid w:val="38BD2C6C"/>
    <w:rsid w:val="38FA0996"/>
    <w:rsid w:val="396E02FE"/>
    <w:rsid w:val="3982272C"/>
    <w:rsid w:val="399648C1"/>
    <w:rsid w:val="3A156CE0"/>
    <w:rsid w:val="3A2D66D3"/>
    <w:rsid w:val="3A891A0E"/>
    <w:rsid w:val="3A9620D1"/>
    <w:rsid w:val="3AA102E5"/>
    <w:rsid w:val="3AA26C9B"/>
    <w:rsid w:val="3ADC5E36"/>
    <w:rsid w:val="3AFC2B33"/>
    <w:rsid w:val="3B7F2802"/>
    <w:rsid w:val="3BA854F6"/>
    <w:rsid w:val="3BC33F8E"/>
    <w:rsid w:val="3BCE7F95"/>
    <w:rsid w:val="3C087392"/>
    <w:rsid w:val="3C3F7E0E"/>
    <w:rsid w:val="3C893061"/>
    <w:rsid w:val="3CB674D9"/>
    <w:rsid w:val="3D0F30FA"/>
    <w:rsid w:val="3D634A82"/>
    <w:rsid w:val="3D9210CE"/>
    <w:rsid w:val="3DAC0E95"/>
    <w:rsid w:val="3E7A082F"/>
    <w:rsid w:val="3E926EC3"/>
    <w:rsid w:val="3E93478A"/>
    <w:rsid w:val="3E966441"/>
    <w:rsid w:val="3E9F10BF"/>
    <w:rsid w:val="3EC40624"/>
    <w:rsid w:val="3F0875E3"/>
    <w:rsid w:val="3F09726C"/>
    <w:rsid w:val="3F1F25CF"/>
    <w:rsid w:val="3F5B21D1"/>
    <w:rsid w:val="3FBD74AC"/>
    <w:rsid w:val="402F7D1A"/>
    <w:rsid w:val="4091411C"/>
    <w:rsid w:val="411531A3"/>
    <w:rsid w:val="414B0A93"/>
    <w:rsid w:val="415723A1"/>
    <w:rsid w:val="41643432"/>
    <w:rsid w:val="421B0E01"/>
    <w:rsid w:val="42481B2A"/>
    <w:rsid w:val="437906BF"/>
    <w:rsid w:val="43945CC5"/>
    <w:rsid w:val="43CE3BC6"/>
    <w:rsid w:val="43FB5AF0"/>
    <w:rsid w:val="440B4BBE"/>
    <w:rsid w:val="44152BFC"/>
    <w:rsid w:val="44211E9A"/>
    <w:rsid w:val="446A1C8A"/>
    <w:rsid w:val="44C70D28"/>
    <w:rsid w:val="44EE2D37"/>
    <w:rsid w:val="45465A74"/>
    <w:rsid w:val="457210D8"/>
    <w:rsid w:val="45AD01DD"/>
    <w:rsid w:val="45E30915"/>
    <w:rsid w:val="45E40321"/>
    <w:rsid w:val="4625557D"/>
    <w:rsid w:val="465173C0"/>
    <w:rsid w:val="467E3F9B"/>
    <w:rsid w:val="46825B05"/>
    <w:rsid w:val="4684656F"/>
    <w:rsid w:val="46CC7A0B"/>
    <w:rsid w:val="46EA49B3"/>
    <w:rsid w:val="47047ED5"/>
    <w:rsid w:val="470D32F9"/>
    <w:rsid w:val="473D266B"/>
    <w:rsid w:val="47B952BD"/>
    <w:rsid w:val="47FE7D60"/>
    <w:rsid w:val="48110BF4"/>
    <w:rsid w:val="48200D75"/>
    <w:rsid w:val="48283643"/>
    <w:rsid w:val="48516D40"/>
    <w:rsid w:val="486A5C7B"/>
    <w:rsid w:val="48893356"/>
    <w:rsid w:val="48BB3F94"/>
    <w:rsid w:val="48E03D9C"/>
    <w:rsid w:val="49374149"/>
    <w:rsid w:val="49613924"/>
    <w:rsid w:val="496D0F3E"/>
    <w:rsid w:val="49912F7C"/>
    <w:rsid w:val="49E12571"/>
    <w:rsid w:val="49E378C6"/>
    <w:rsid w:val="4A24091A"/>
    <w:rsid w:val="4A834EBE"/>
    <w:rsid w:val="4B3040AF"/>
    <w:rsid w:val="4B55574A"/>
    <w:rsid w:val="4BA90131"/>
    <w:rsid w:val="4BB36285"/>
    <w:rsid w:val="4BD35EC5"/>
    <w:rsid w:val="4C1B3C0A"/>
    <w:rsid w:val="4C4846F9"/>
    <w:rsid w:val="4CBC728A"/>
    <w:rsid w:val="4CFB69A6"/>
    <w:rsid w:val="4D2316EA"/>
    <w:rsid w:val="4D267491"/>
    <w:rsid w:val="4D830955"/>
    <w:rsid w:val="4E3E017D"/>
    <w:rsid w:val="4E5F59DA"/>
    <w:rsid w:val="4E6C5B26"/>
    <w:rsid w:val="4EA44C2A"/>
    <w:rsid w:val="4F2941D5"/>
    <w:rsid w:val="4F5D7263"/>
    <w:rsid w:val="4FFC0A94"/>
    <w:rsid w:val="50081059"/>
    <w:rsid w:val="5045370B"/>
    <w:rsid w:val="50F36CD9"/>
    <w:rsid w:val="512E641B"/>
    <w:rsid w:val="517D0435"/>
    <w:rsid w:val="517D059D"/>
    <w:rsid w:val="51FA56D9"/>
    <w:rsid w:val="523F7F97"/>
    <w:rsid w:val="53047529"/>
    <w:rsid w:val="54107975"/>
    <w:rsid w:val="5451551D"/>
    <w:rsid w:val="548C2C0D"/>
    <w:rsid w:val="54D6790A"/>
    <w:rsid w:val="54FE7DD7"/>
    <w:rsid w:val="553A4CBA"/>
    <w:rsid w:val="55790C1B"/>
    <w:rsid w:val="557E6857"/>
    <w:rsid w:val="55E15918"/>
    <w:rsid w:val="55E65C45"/>
    <w:rsid w:val="563A460F"/>
    <w:rsid w:val="566B6C45"/>
    <w:rsid w:val="56975E59"/>
    <w:rsid w:val="569C350B"/>
    <w:rsid w:val="56BF0EA2"/>
    <w:rsid w:val="56EA3918"/>
    <w:rsid w:val="572949D6"/>
    <w:rsid w:val="575370FA"/>
    <w:rsid w:val="57BD0A78"/>
    <w:rsid w:val="57D71193"/>
    <w:rsid w:val="57DC6FDD"/>
    <w:rsid w:val="57FB5F50"/>
    <w:rsid w:val="58984B29"/>
    <w:rsid w:val="58B03A4A"/>
    <w:rsid w:val="590D48B8"/>
    <w:rsid w:val="590D5DDF"/>
    <w:rsid w:val="596F34AA"/>
    <w:rsid w:val="59C407FC"/>
    <w:rsid w:val="59C754AB"/>
    <w:rsid w:val="59E079AB"/>
    <w:rsid w:val="5A375749"/>
    <w:rsid w:val="5A726BA0"/>
    <w:rsid w:val="5AD3204F"/>
    <w:rsid w:val="5B071BBA"/>
    <w:rsid w:val="5B30110A"/>
    <w:rsid w:val="5B3C55BF"/>
    <w:rsid w:val="5B63756F"/>
    <w:rsid w:val="5B725B6B"/>
    <w:rsid w:val="5BBE026D"/>
    <w:rsid w:val="5BD439A7"/>
    <w:rsid w:val="5BDF3319"/>
    <w:rsid w:val="5C991133"/>
    <w:rsid w:val="5C995E25"/>
    <w:rsid w:val="5CBF1007"/>
    <w:rsid w:val="5D5144C0"/>
    <w:rsid w:val="5E2A7858"/>
    <w:rsid w:val="5E790BE8"/>
    <w:rsid w:val="5E973039"/>
    <w:rsid w:val="5EA87B0A"/>
    <w:rsid w:val="5EB119EE"/>
    <w:rsid w:val="5EC7673E"/>
    <w:rsid w:val="5EEF7AA9"/>
    <w:rsid w:val="5F3E2940"/>
    <w:rsid w:val="5F4945D9"/>
    <w:rsid w:val="5F4E4F30"/>
    <w:rsid w:val="5F825446"/>
    <w:rsid w:val="5FAE4FA2"/>
    <w:rsid w:val="5FBE69BB"/>
    <w:rsid w:val="5FCB4192"/>
    <w:rsid w:val="601A7A49"/>
    <w:rsid w:val="602F4794"/>
    <w:rsid w:val="607F4912"/>
    <w:rsid w:val="60881A7C"/>
    <w:rsid w:val="609751E5"/>
    <w:rsid w:val="60C10976"/>
    <w:rsid w:val="61C16E82"/>
    <w:rsid w:val="61D67888"/>
    <w:rsid w:val="61D81A5C"/>
    <w:rsid w:val="61DB30DC"/>
    <w:rsid w:val="620D1678"/>
    <w:rsid w:val="62B8321C"/>
    <w:rsid w:val="630962B4"/>
    <w:rsid w:val="637579AD"/>
    <w:rsid w:val="63766DF5"/>
    <w:rsid w:val="637A010A"/>
    <w:rsid w:val="63BE6B4B"/>
    <w:rsid w:val="63E41E32"/>
    <w:rsid w:val="643636FB"/>
    <w:rsid w:val="64522BD2"/>
    <w:rsid w:val="646766DC"/>
    <w:rsid w:val="64E010F2"/>
    <w:rsid w:val="6503009D"/>
    <w:rsid w:val="651A4E9C"/>
    <w:rsid w:val="651E5E20"/>
    <w:rsid w:val="65535A1B"/>
    <w:rsid w:val="657E2D0B"/>
    <w:rsid w:val="65817DB1"/>
    <w:rsid w:val="65FE510C"/>
    <w:rsid w:val="660E507B"/>
    <w:rsid w:val="66373410"/>
    <w:rsid w:val="66576902"/>
    <w:rsid w:val="669369C9"/>
    <w:rsid w:val="66943B2D"/>
    <w:rsid w:val="675A1CF7"/>
    <w:rsid w:val="6761194F"/>
    <w:rsid w:val="677F7400"/>
    <w:rsid w:val="67A01566"/>
    <w:rsid w:val="67A63D55"/>
    <w:rsid w:val="67A84465"/>
    <w:rsid w:val="67AB3B49"/>
    <w:rsid w:val="68384317"/>
    <w:rsid w:val="685F312A"/>
    <w:rsid w:val="68603781"/>
    <w:rsid w:val="68CC70D7"/>
    <w:rsid w:val="69291ACC"/>
    <w:rsid w:val="693F57CE"/>
    <w:rsid w:val="696B32FD"/>
    <w:rsid w:val="69797C2C"/>
    <w:rsid w:val="69AB78DD"/>
    <w:rsid w:val="69D74CDC"/>
    <w:rsid w:val="6A2F1F48"/>
    <w:rsid w:val="6A9B47A1"/>
    <w:rsid w:val="6AF66992"/>
    <w:rsid w:val="6AFF14C0"/>
    <w:rsid w:val="6B0E13E7"/>
    <w:rsid w:val="6B1301B0"/>
    <w:rsid w:val="6B29781B"/>
    <w:rsid w:val="6B5068BA"/>
    <w:rsid w:val="6BFF0085"/>
    <w:rsid w:val="6CED3374"/>
    <w:rsid w:val="6D17028B"/>
    <w:rsid w:val="6D2552D8"/>
    <w:rsid w:val="6D302D5D"/>
    <w:rsid w:val="6D3C235D"/>
    <w:rsid w:val="6D6A2457"/>
    <w:rsid w:val="6D935AB0"/>
    <w:rsid w:val="6DA62403"/>
    <w:rsid w:val="6E087119"/>
    <w:rsid w:val="6E0A3A07"/>
    <w:rsid w:val="6E372360"/>
    <w:rsid w:val="6E4F724A"/>
    <w:rsid w:val="6E60770D"/>
    <w:rsid w:val="6F037853"/>
    <w:rsid w:val="6F7B3028"/>
    <w:rsid w:val="6FA027BC"/>
    <w:rsid w:val="6FC40065"/>
    <w:rsid w:val="6FC55DFE"/>
    <w:rsid w:val="70020A66"/>
    <w:rsid w:val="701A03F2"/>
    <w:rsid w:val="701B6FD8"/>
    <w:rsid w:val="704266E6"/>
    <w:rsid w:val="70475750"/>
    <w:rsid w:val="706A7B0F"/>
    <w:rsid w:val="7080412D"/>
    <w:rsid w:val="7127456D"/>
    <w:rsid w:val="712914EF"/>
    <w:rsid w:val="717C199B"/>
    <w:rsid w:val="71EF2FA5"/>
    <w:rsid w:val="7210341D"/>
    <w:rsid w:val="73624F26"/>
    <w:rsid w:val="736C6888"/>
    <w:rsid w:val="739B1EBD"/>
    <w:rsid w:val="73AF18CB"/>
    <w:rsid w:val="73B9425D"/>
    <w:rsid w:val="73ED4A58"/>
    <w:rsid w:val="73F12374"/>
    <w:rsid w:val="740422B3"/>
    <w:rsid w:val="744D0362"/>
    <w:rsid w:val="74796ABE"/>
    <w:rsid w:val="74A87093"/>
    <w:rsid w:val="74C80433"/>
    <w:rsid w:val="74E229B4"/>
    <w:rsid w:val="74E9694C"/>
    <w:rsid w:val="74EC26A7"/>
    <w:rsid w:val="75034CF7"/>
    <w:rsid w:val="75DF32A0"/>
    <w:rsid w:val="760A43BF"/>
    <w:rsid w:val="761321E0"/>
    <w:rsid w:val="761450E8"/>
    <w:rsid w:val="76210F20"/>
    <w:rsid w:val="765D589D"/>
    <w:rsid w:val="76A133C0"/>
    <w:rsid w:val="76D36025"/>
    <w:rsid w:val="772F2936"/>
    <w:rsid w:val="776B6DA8"/>
    <w:rsid w:val="77B21E06"/>
    <w:rsid w:val="780F0912"/>
    <w:rsid w:val="784F6AB7"/>
    <w:rsid w:val="78D61CB2"/>
    <w:rsid w:val="78F104FB"/>
    <w:rsid w:val="79493EB1"/>
    <w:rsid w:val="797C66CF"/>
    <w:rsid w:val="7A7550A6"/>
    <w:rsid w:val="7AAF3771"/>
    <w:rsid w:val="7AEC001A"/>
    <w:rsid w:val="7B475761"/>
    <w:rsid w:val="7B49298E"/>
    <w:rsid w:val="7B7B57F5"/>
    <w:rsid w:val="7B7D3C44"/>
    <w:rsid w:val="7BE208A5"/>
    <w:rsid w:val="7BE3068E"/>
    <w:rsid w:val="7C150EF5"/>
    <w:rsid w:val="7C465BE7"/>
    <w:rsid w:val="7CAF51D0"/>
    <w:rsid w:val="7CAF6655"/>
    <w:rsid w:val="7D2A73BF"/>
    <w:rsid w:val="7D6E224F"/>
    <w:rsid w:val="7D87285F"/>
    <w:rsid w:val="7D9B3B81"/>
    <w:rsid w:val="7DA87B6D"/>
    <w:rsid w:val="7DA957CB"/>
    <w:rsid w:val="7DF366F8"/>
    <w:rsid w:val="7E0F7674"/>
    <w:rsid w:val="7E1F6225"/>
    <w:rsid w:val="7E5940F2"/>
    <w:rsid w:val="7E5B35FF"/>
    <w:rsid w:val="7E620ACE"/>
    <w:rsid w:val="7E6916D3"/>
    <w:rsid w:val="7EA33491"/>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32"/>
      <w:szCs w:val="32"/>
    </w:rPr>
  </w:style>
  <w:style w:type="paragraph" w:styleId="4">
    <w:name w:val="heading 3"/>
    <w:basedOn w:val="3"/>
    <w:next w:val="1"/>
    <w:link w:val="71"/>
    <w:qFormat/>
    <w:uiPriority w:val="0"/>
    <w:pPr>
      <w:numPr>
        <w:ilvl w:val="2"/>
        <w:numId w:val="1"/>
      </w:numPr>
      <w:spacing w:before="260" w:after="260" w:line="416" w:lineRule="auto"/>
      <w:outlineLvl w:val="2"/>
    </w:pPr>
    <w:rPr>
      <w:b/>
      <w:bCs/>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32"/>
      <w:szCs w:val="32"/>
      <w:lang w:val="en-GB"/>
    </w:rPr>
  </w:style>
  <w:style w:type="character" w:customStyle="1" w:styleId="71">
    <w:name w:val="标题 3 Char"/>
    <w:basedOn w:val="58"/>
    <w:link w:val="4"/>
    <w:qFormat/>
    <w:uiPriority w:val="0"/>
    <w:rPr>
      <w:b/>
      <w:bCs/>
      <w:kern w:val="2"/>
      <w:sz w:val="32"/>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7"/>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7"/>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4BECB0-574F-4425-95C4-8E30CBEFA81B}">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845</Words>
  <Characters>4821</Characters>
  <Lines>40</Lines>
  <Paragraphs>11</Paragraphs>
  <TotalTime>1</TotalTime>
  <ScaleCrop>false</ScaleCrop>
  <LinksUpToDate>false</LinksUpToDate>
  <CharactersWithSpaces>5655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2020-10-22T07:54:00Z</dcterms:created>
  <dc:creator>10033860</dc:creator>
  <cp:lastModifiedBy>ZTE_Liu Yansheng</cp:lastModifiedBy>
  <cp:lastPrinted>2113-01-01T00:00:00Z</cp:lastPrinted>
  <dcterms:modified xsi:type="dcterms:W3CDTF">2021-01-15T06:43:11Z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