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C8C" w:rsidRDefault="00A15ED7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</w:t>
      </w:r>
      <w:r>
        <w:rPr>
          <w:rFonts w:eastAsia="宋体" w:hint="eastAsia"/>
          <w:b/>
          <w:sz w:val="24"/>
          <w:lang w:val="en-US" w:eastAsia="zh-CN"/>
        </w:rPr>
        <w:t>13-e</w:t>
      </w:r>
      <w:r>
        <w:rPr>
          <w:b/>
          <w:sz w:val="24"/>
        </w:rPr>
        <w:tab/>
      </w:r>
      <w:r>
        <w:rPr>
          <w:rFonts w:eastAsia="宋体" w:hint="eastAsia"/>
          <w:b/>
          <w:sz w:val="24"/>
          <w:lang w:val="en-US" w:eastAsia="zh-CN"/>
        </w:rPr>
        <w:t xml:space="preserve">   </w:t>
      </w:r>
      <w:r>
        <w:rPr>
          <w:b/>
          <w:i/>
          <w:sz w:val="28"/>
        </w:rPr>
        <w:t>R2-</w:t>
      </w:r>
      <w:r>
        <w:rPr>
          <w:rFonts w:eastAsia="宋体" w:hint="eastAsia"/>
          <w:b/>
          <w:i/>
          <w:sz w:val="28"/>
          <w:lang w:val="en-US" w:eastAsia="zh-CN"/>
        </w:rPr>
        <w:t>2101561</w:t>
      </w:r>
    </w:p>
    <w:p w:rsidR="005A2C8C" w:rsidRDefault="00A15ED7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Jan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25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Feb 5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p w:rsidR="005A2C8C" w:rsidRDefault="005A2C8C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5A2C8C" w:rsidRDefault="00A15ED7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 Sanechips</w:t>
      </w:r>
    </w:p>
    <w:p w:rsidR="005A2C8C" w:rsidRDefault="00A15ED7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Clarification on the </w:t>
      </w:r>
      <w:bookmarkStart w:id="0" w:name="_GoBack"/>
      <w:r w:rsidRPr="002C16C3">
        <w:rPr>
          <w:rFonts w:ascii="Arial" w:hAnsi="Arial" w:cs="Arial" w:hint="eastAsia"/>
          <w:b/>
          <w:bCs/>
          <w:i/>
          <w:snapToGrid w:val="0"/>
          <w:kern w:val="0"/>
          <w:sz w:val="24"/>
        </w:rPr>
        <w:t>SingleUL-Transmission</w:t>
      </w:r>
      <w:bookmarkEnd w:id="0"/>
    </w:p>
    <w:p w:rsidR="005A2C8C" w:rsidRDefault="00A15ED7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5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.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4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.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3</w:t>
      </w:r>
    </w:p>
    <w:p w:rsidR="005A2C8C" w:rsidRDefault="00A15ED7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5A2C8C" w:rsidRDefault="00A15ED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5A2C8C" w:rsidRDefault="00A15ED7">
      <w:pPr>
        <w:rPr>
          <w:szCs w:val="21"/>
        </w:rPr>
      </w:pPr>
      <w:r>
        <w:rPr>
          <w:rFonts w:hint="eastAsia"/>
          <w:szCs w:val="21"/>
        </w:rPr>
        <w:t xml:space="preserve">In [1], an LS </w:t>
      </w:r>
      <w:r>
        <w:rPr>
          <w:rFonts w:hint="eastAsia"/>
          <w:szCs w:val="21"/>
        </w:rPr>
        <w:t xml:space="preserve">on </w:t>
      </w:r>
      <w:r w:rsidR="002C16C3" w:rsidRPr="002C16C3">
        <w:rPr>
          <w:i/>
        </w:rPr>
        <w:t>singleUL-Transmission</w:t>
      </w:r>
      <w:r>
        <w:rPr>
          <w:rFonts w:hint="eastAsia"/>
          <w:szCs w:val="21"/>
        </w:rPr>
        <w:t xml:space="preserve"> was received from the plenary meeting. In this paper, we give our understanding on this capability.</w:t>
      </w:r>
    </w:p>
    <w:p w:rsidR="005A2C8C" w:rsidRDefault="00A15ED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5A2C8C" w:rsidRDefault="00A15ED7">
      <w:pPr>
        <w:rPr>
          <w:szCs w:val="21"/>
        </w:rPr>
      </w:pPr>
      <w:r>
        <w:rPr>
          <w:rFonts w:hint="eastAsia"/>
          <w:szCs w:val="21"/>
        </w:rPr>
        <w:t>According to the plenary discussion in [1], for the EN-DC band combinations that include the intra-band component inclu</w:t>
      </w:r>
      <w:r>
        <w:rPr>
          <w:rFonts w:hint="eastAsia"/>
          <w:szCs w:val="21"/>
        </w:rPr>
        <w:t>ding the following 3 types:</w:t>
      </w:r>
    </w:p>
    <w:p w:rsidR="005A2C8C" w:rsidRDefault="00A15ED7">
      <w:pPr>
        <w:numPr>
          <w:ilvl w:val="0"/>
          <w:numId w:val="5"/>
        </w:numPr>
      </w:pPr>
      <w:r>
        <w:t xml:space="preserve">Case 1: the UE reports </w:t>
      </w:r>
      <w:r>
        <w:rPr>
          <w:i/>
          <w:iCs/>
          <w:lang w:eastAsia="ko-KR"/>
        </w:rPr>
        <w:t>DC_</w:t>
      </w:r>
      <w:r>
        <w:rPr>
          <w:b/>
          <w:bCs/>
          <w:i/>
          <w:iCs/>
          <w:lang w:eastAsia="ko-KR"/>
        </w:rPr>
        <w:t>2A</w:t>
      </w:r>
      <w:r>
        <w:rPr>
          <w:i/>
          <w:iCs/>
          <w:lang w:eastAsia="ko-KR"/>
        </w:rPr>
        <w:t>_7A_66A_</w:t>
      </w:r>
      <w:r>
        <w:rPr>
          <w:b/>
          <w:bCs/>
          <w:i/>
          <w:iCs/>
          <w:lang w:eastAsia="ko-KR"/>
        </w:rPr>
        <w:t>n66A</w:t>
      </w:r>
      <w:r>
        <w:rPr>
          <w:b/>
          <w:bCs/>
          <w:i/>
          <w:iCs/>
        </w:rPr>
        <w:t xml:space="preserve"> </w:t>
      </w:r>
      <w:r>
        <w:t xml:space="preserve">(i.e. UL allowed in 2A and n66A), </w:t>
      </w:r>
      <w:r w:rsidRPr="002C16C3">
        <w:rPr>
          <w:i/>
        </w:rPr>
        <w:t>singleUL-Transmission</w:t>
      </w:r>
      <w:r>
        <w:t xml:space="preserve"> is not required to be reported</w:t>
      </w:r>
    </w:p>
    <w:p w:rsidR="005A2C8C" w:rsidRDefault="00A15ED7">
      <w:pPr>
        <w:numPr>
          <w:ilvl w:val="0"/>
          <w:numId w:val="5"/>
        </w:numPr>
      </w:pPr>
      <w:r>
        <w:t xml:space="preserve">Case 2: the UE reports </w:t>
      </w:r>
      <w:r>
        <w:rPr>
          <w:i/>
          <w:iCs/>
          <w:lang w:eastAsia="ko-KR"/>
        </w:rPr>
        <w:t>DC_2A_7A_</w:t>
      </w:r>
      <w:r>
        <w:rPr>
          <w:b/>
          <w:bCs/>
          <w:i/>
          <w:iCs/>
          <w:lang w:eastAsia="ko-KR"/>
        </w:rPr>
        <w:t>66A</w:t>
      </w:r>
      <w:r>
        <w:rPr>
          <w:i/>
          <w:iCs/>
          <w:lang w:eastAsia="ko-KR"/>
        </w:rPr>
        <w:t>_</w:t>
      </w:r>
      <w:r>
        <w:rPr>
          <w:b/>
          <w:bCs/>
          <w:i/>
          <w:iCs/>
          <w:lang w:eastAsia="ko-KR"/>
        </w:rPr>
        <w:t>n66A</w:t>
      </w:r>
      <w:r>
        <w:rPr>
          <w:b/>
          <w:bCs/>
          <w:i/>
          <w:iCs/>
        </w:rPr>
        <w:t xml:space="preserve"> </w:t>
      </w:r>
      <w:r>
        <w:t xml:space="preserve">(i.e. UL allowed in 66A and n66A), </w:t>
      </w:r>
      <w:r w:rsidRPr="002C16C3">
        <w:rPr>
          <w:i/>
        </w:rPr>
        <w:t>singleUL-Transmission</w:t>
      </w:r>
      <w:r>
        <w:t xml:space="preserve"> is</w:t>
      </w:r>
      <w:r>
        <w:t xml:space="preserve"> required to be reported</w:t>
      </w:r>
    </w:p>
    <w:p w:rsidR="005A2C8C" w:rsidRDefault="00A15ED7">
      <w:pPr>
        <w:numPr>
          <w:ilvl w:val="0"/>
          <w:numId w:val="5"/>
        </w:numPr>
      </w:pPr>
      <w:r>
        <w:t xml:space="preserve">Case 3: the UE reports DC </w:t>
      </w:r>
      <w:r>
        <w:rPr>
          <w:b/>
          <w:bCs/>
        </w:rPr>
        <w:t>66A_n66A</w:t>
      </w:r>
      <w:r>
        <w:t xml:space="preserve">, </w:t>
      </w:r>
      <w:r w:rsidRPr="002C16C3">
        <w:rPr>
          <w:i/>
        </w:rPr>
        <w:t>singleUL-Transmission</w:t>
      </w:r>
      <w:r>
        <w:t xml:space="preserve"> is required to be reported</w:t>
      </w:r>
    </w:p>
    <w:p w:rsidR="005A2C8C" w:rsidRDefault="00A15ED7">
      <w:r>
        <w:rPr>
          <w:rFonts w:hint="eastAsia"/>
        </w:rPr>
        <w:t>According to the discu</w:t>
      </w:r>
      <w:r w:rsidR="002C16C3">
        <w:rPr>
          <w:rFonts w:hint="eastAsia"/>
        </w:rPr>
        <w:t>ssion, there were two options for the network</w:t>
      </w:r>
      <w:r w:rsidR="002C16C3">
        <w:t xml:space="preserve"> to</w:t>
      </w:r>
      <w:r w:rsidR="002C16C3">
        <w:rPr>
          <w:rFonts w:hint="eastAsia"/>
        </w:rPr>
        <w:t xml:space="preserve"> processing </w:t>
      </w:r>
      <w:r>
        <w:rPr>
          <w:rFonts w:hint="eastAsia"/>
        </w:rPr>
        <w:t xml:space="preserve">the </w:t>
      </w:r>
      <w:r w:rsidRPr="002C16C3">
        <w:rPr>
          <w:i/>
        </w:rPr>
        <w:t>singleUL-Transmission</w:t>
      </w:r>
      <w:r w:rsidRPr="002C16C3">
        <w:rPr>
          <w:rFonts w:hint="eastAsia"/>
          <w:i/>
        </w:rPr>
        <w:t xml:space="preserve"> </w:t>
      </w:r>
      <w:r>
        <w:rPr>
          <w:rFonts w:hint="eastAsia"/>
        </w:rPr>
        <w:t>capability:</w:t>
      </w:r>
    </w:p>
    <w:p w:rsidR="005A2C8C" w:rsidRDefault="00A15ED7">
      <w:pPr>
        <w:numPr>
          <w:ilvl w:val="0"/>
          <w:numId w:val="6"/>
        </w:numPr>
      </w:pPr>
      <w:r>
        <w:rPr>
          <w:rFonts w:hint="eastAsia"/>
        </w:rPr>
        <w:t>Option A: Refer to the RAN4 spec, which means that for the UE that not report</w:t>
      </w:r>
      <w:r w:rsidRPr="002C16C3">
        <w:rPr>
          <w:rFonts w:hint="eastAsia"/>
          <w:i/>
        </w:rPr>
        <w:t xml:space="preserve"> </w:t>
      </w:r>
      <w:r w:rsidRPr="002C16C3">
        <w:rPr>
          <w:rFonts w:hint="eastAsia"/>
          <w:i/>
        </w:rPr>
        <w:t>singleUL-Transmission</w:t>
      </w:r>
      <w:r w:rsidR="002C16C3">
        <w:t xml:space="preserve"> </w:t>
      </w:r>
      <w:r>
        <w:rPr>
          <w:rFonts w:hint="eastAsia"/>
        </w:rPr>
        <w:t>on so</w:t>
      </w:r>
      <w:r w:rsidR="002C16C3">
        <w:rPr>
          <w:rFonts w:hint="eastAsia"/>
        </w:rPr>
        <w:t xml:space="preserve">me BC but the RAN4 has defined </w:t>
      </w:r>
      <w:r>
        <w:rPr>
          <w:rFonts w:hint="eastAsia"/>
        </w:rPr>
        <w:t xml:space="preserve">it as Single UL only, the UE would be scheduled </w:t>
      </w:r>
      <w:r w:rsidR="002C16C3">
        <w:t xml:space="preserve">with single </w:t>
      </w:r>
      <w:r w:rsidRPr="002C16C3">
        <w:t>uplink</w:t>
      </w:r>
      <w:r>
        <w:rPr>
          <w:rFonts w:hint="eastAsia"/>
        </w:rPr>
        <w:t>.</w:t>
      </w:r>
    </w:p>
    <w:p w:rsidR="005A2C8C" w:rsidRDefault="00A15ED7">
      <w:pPr>
        <w:numPr>
          <w:ilvl w:val="0"/>
          <w:numId w:val="6"/>
        </w:numPr>
      </w:pPr>
      <w:r>
        <w:rPr>
          <w:rFonts w:hint="eastAsia"/>
        </w:rPr>
        <w:t xml:space="preserve">Option B: Based on the UE </w:t>
      </w:r>
      <w:r w:rsidRPr="002C16C3">
        <w:rPr>
          <w:i/>
        </w:rPr>
        <w:t>singleUL-Transmission</w:t>
      </w:r>
      <w:r>
        <w:rPr>
          <w:rFonts w:hint="eastAsia"/>
        </w:rPr>
        <w:t xml:space="preserve"> cap</w:t>
      </w:r>
      <w:r>
        <w:rPr>
          <w:rFonts w:hint="eastAsia"/>
        </w:rPr>
        <w:t xml:space="preserve">ability </w:t>
      </w:r>
      <w:r>
        <w:rPr>
          <w:rFonts w:hint="eastAsia"/>
        </w:rPr>
        <w:t>reporting.</w:t>
      </w:r>
    </w:p>
    <w:p w:rsidR="005A2C8C" w:rsidRDefault="00A15ED7">
      <w:r>
        <w:rPr>
          <w:rFonts w:hint="eastAsia"/>
        </w:rPr>
        <w:t xml:space="preserve">Before we </w:t>
      </w:r>
      <w:r>
        <w:rPr>
          <w:rFonts w:hint="eastAsia"/>
        </w:rPr>
        <w:t>discuss these two options, we need to clarify</w:t>
      </w:r>
      <w:r>
        <w:rPr>
          <w:rFonts w:hint="eastAsia"/>
        </w:rPr>
        <w:t xml:space="preserve"> whether the BC in the case 1 and the case 2 can be reported with a super BC first. For that if they can be report in a super BC, the Network side still need to distinguish out which fallback BCs shall refer to the capability bit </w:t>
      </w:r>
      <w:r w:rsidRPr="002C16C3">
        <w:rPr>
          <w:rFonts w:hint="eastAsia"/>
          <w:i/>
        </w:rPr>
        <w:t>singleUL-Transmission</w:t>
      </w:r>
      <w:r w:rsidR="002C16C3">
        <w:t xml:space="preserve"> and which fallback BCs shall not</w:t>
      </w:r>
      <w:r>
        <w:rPr>
          <w:rFonts w:hint="eastAsia"/>
        </w:rPr>
        <w:t>. H</w:t>
      </w:r>
      <w:r>
        <w:rPr>
          <w:rFonts w:hint="eastAsia"/>
        </w:rPr>
        <w:t>owever, about the super BC reporting, in the RAN2 #110 meeting, based on [2] it has been confirmed that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5A2C8C">
        <w:tc>
          <w:tcPr>
            <w:tcW w:w="9997" w:type="dxa"/>
          </w:tcPr>
          <w:p w:rsidR="005A2C8C" w:rsidRDefault="00A15ED7">
            <w:r>
              <w:rPr>
                <w:rFonts w:hint="eastAsia"/>
              </w:rPr>
              <w:t>Ran2 confirm</w:t>
            </w:r>
            <w:r>
              <w:t>s</w:t>
            </w:r>
            <w:r>
              <w:rPr>
                <w:rFonts w:hint="eastAsia"/>
              </w:rPr>
              <w:t xml:space="preserve"> that t</w:t>
            </w:r>
            <w:r>
              <w:rPr>
                <w:rFonts w:hint="eastAsia"/>
              </w:rPr>
              <w:t xml:space="preserve">he UE can report a super BC (e.g. BC A+B+C) even the UE only supports </w:t>
            </w:r>
            <w:r>
              <w:rPr>
                <w:rFonts w:hint="eastAsia"/>
              </w:rPr>
              <w:t xml:space="preserve">the </w:t>
            </w:r>
            <w:r>
              <w:rPr>
                <w:rFonts w:hint="eastAsia"/>
              </w:rPr>
              <w:t xml:space="preserve">fallback </w:t>
            </w:r>
            <w:r>
              <w:rPr>
                <w:rFonts w:hint="eastAsia"/>
              </w:rPr>
              <w:t>BCs</w:t>
            </w:r>
            <w:r>
              <w:rPr>
                <w:rFonts w:hint="eastAsia"/>
              </w:rPr>
              <w:t>(e.g. BC A+B, BC A+C and BC B+C</w:t>
            </w:r>
            <w:r>
              <w:rPr>
                <w:rFonts w:hint="eastAsia"/>
              </w:rPr>
              <w:t>), t</w:t>
            </w:r>
            <w:r>
              <w:rPr>
                <w:rFonts w:eastAsia="宋体" w:hint="eastAsia"/>
              </w:rPr>
              <w:t>he UE can u</w:t>
            </w:r>
            <w:r>
              <w:rPr>
                <w:rFonts w:eastAsia="宋体" w:hint="eastAsia"/>
              </w:rPr>
              <w:t xml:space="preserve">se this method only when </w:t>
            </w:r>
            <w:r>
              <w:rPr>
                <w:rFonts w:hint="eastAsia"/>
              </w:rPr>
              <w:t xml:space="preserve">the </w:t>
            </w:r>
            <w:r>
              <w:rPr>
                <w:rFonts w:hint="eastAsia"/>
              </w:rPr>
              <w:t>super BC (e.g. BC A+B+C)</w:t>
            </w:r>
            <w:r>
              <w:rPr>
                <w:rFonts w:eastAsia="宋体" w:hint="eastAsia"/>
              </w:rPr>
              <w:t xml:space="preserve"> is defined in RAN4</w:t>
            </w:r>
            <w:r>
              <w:rPr>
                <w:rFonts w:hint="eastAsia"/>
              </w:rPr>
              <w:t>.</w:t>
            </w:r>
          </w:p>
        </w:tc>
      </w:tr>
    </w:tbl>
    <w:p w:rsidR="005A2C8C" w:rsidRDefault="00A15ED7">
      <w:r>
        <w:rPr>
          <w:rFonts w:hint="eastAsia"/>
        </w:rPr>
        <w:lastRenderedPageBreak/>
        <w:t xml:space="preserve">For that the </w:t>
      </w:r>
      <w:r>
        <w:rPr>
          <w:i/>
          <w:iCs/>
          <w:lang w:eastAsia="ko-KR"/>
        </w:rPr>
        <w:t>DC_</w:t>
      </w:r>
      <w:r>
        <w:rPr>
          <w:b/>
          <w:bCs/>
          <w:i/>
          <w:iCs/>
          <w:lang w:eastAsia="ko-KR"/>
        </w:rPr>
        <w:t>2A_</w:t>
      </w:r>
      <w:r>
        <w:rPr>
          <w:i/>
          <w:iCs/>
          <w:lang w:eastAsia="ko-KR"/>
        </w:rPr>
        <w:t>7A_</w:t>
      </w:r>
      <w:r>
        <w:rPr>
          <w:b/>
          <w:bCs/>
          <w:i/>
          <w:iCs/>
          <w:lang w:eastAsia="ko-KR"/>
        </w:rPr>
        <w:t>66A</w:t>
      </w:r>
      <w:r>
        <w:rPr>
          <w:i/>
          <w:iCs/>
          <w:lang w:eastAsia="ko-KR"/>
        </w:rPr>
        <w:t>_</w:t>
      </w:r>
      <w:r>
        <w:rPr>
          <w:b/>
          <w:bCs/>
          <w:i/>
          <w:iCs/>
          <w:lang w:eastAsia="ko-KR"/>
        </w:rPr>
        <w:t>n66A</w:t>
      </w:r>
      <w:r>
        <w:rPr>
          <w:rFonts w:hint="eastAsia"/>
        </w:rPr>
        <w:t xml:space="preserve"> (with 3 UL) were not supported in RAN4, thus the case 1 and 2 shall not be reported in a super BC.</w:t>
      </w:r>
    </w:p>
    <w:p w:rsidR="005A2C8C" w:rsidRDefault="00A15ED7">
      <w:pPr>
        <w:rPr>
          <w:b/>
          <w:bCs/>
        </w:rPr>
      </w:pPr>
      <w:r>
        <w:rPr>
          <w:rFonts w:hint="eastAsia"/>
          <w:b/>
          <w:bCs/>
        </w:rPr>
        <w:t xml:space="preserve">Observation 1: The BCs that with different UL band </w:t>
      </w:r>
      <w:r>
        <w:rPr>
          <w:rFonts w:hint="eastAsia"/>
          <w:b/>
          <w:bCs/>
        </w:rPr>
        <w:t xml:space="preserve">component shall not be reported in a super BC if the corresponding super BC are not defined in RAN4. </w:t>
      </w:r>
    </w:p>
    <w:p w:rsidR="005A2C8C" w:rsidRDefault="00A15ED7">
      <w:r>
        <w:rPr>
          <w:rFonts w:hint="eastAsia"/>
        </w:rPr>
        <w:t>Furthermore, during the BC reporting discussion, there is a common understanding that only the BCs that share the same BC level capabilities can be includ</w:t>
      </w:r>
      <w:r>
        <w:rPr>
          <w:rFonts w:hint="eastAsia"/>
        </w:rPr>
        <w:t>ed into a super BC. Thus for the BCs with different</w:t>
      </w:r>
      <w:r w:rsidRPr="002C16C3">
        <w:rPr>
          <w:rFonts w:hint="eastAsia"/>
          <w:i/>
        </w:rPr>
        <w:t xml:space="preserve"> singleUL-Transmission</w:t>
      </w:r>
      <w:r>
        <w:rPr>
          <w:rFonts w:hint="eastAsia"/>
        </w:rPr>
        <w:t xml:space="preserve"> capability shall be reported in different BCs.</w:t>
      </w:r>
    </w:p>
    <w:p w:rsidR="005A2C8C" w:rsidRDefault="00A15ED7">
      <w:pPr>
        <w:rPr>
          <w:b/>
          <w:bCs/>
        </w:rPr>
      </w:pPr>
      <w:r>
        <w:rPr>
          <w:rFonts w:hint="eastAsia"/>
          <w:b/>
          <w:bCs/>
        </w:rPr>
        <w:t>Proposal 1: The BCs that have different</w:t>
      </w:r>
      <w:r w:rsidRPr="002C16C3">
        <w:rPr>
          <w:rFonts w:hint="eastAsia"/>
          <w:b/>
          <w:bCs/>
          <w:i/>
        </w:rPr>
        <w:t xml:space="preserve"> </w:t>
      </w:r>
      <w:r w:rsidR="002C16C3" w:rsidRPr="002C16C3">
        <w:rPr>
          <w:rFonts w:hint="eastAsia"/>
          <w:b/>
          <w:bCs/>
          <w:i/>
        </w:rPr>
        <w:t>singleUL-Transmission</w:t>
      </w:r>
      <w:r w:rsidR="002C16C3">
        <w:rPr>
          <w:rFonts w:hint="eastAsia"/>
          <w:b/>
          <w:bCs/>
        </w:rPr>
        <w:t xml:space="preserve"> capabilities</w:t>
      </w:r>
      <w:r>
        <w:rPr>
          <w:rFonts w:hint="eastAsia"/>
          <w:b/>
          <w:bCs/>
        </w:rPr>
        <w:t xml:space="preserve"> shall be reported in different BCs.</w:t>
      </w:r>
    </w:p>
    <w:p w:rsidR="005A2C8C" w:rsidRDefault="00A15ED7">
      <w:r>
        <w:rPr>
          <w:rFonts w:hint="eastAsia"/>
        </w:rPr>
        <w:t>Then let</w:t>
      </w:r>
      <w:r>
        <w:t>’</w:t>
      </w:r>
      <w:r>
        <w:rPr>
          <w:rFonts w:hint="eastAsia"/>
        </w:rPr>
        <w:t xml:space="preserve">s back the </w:t>
      </w:r>
      <w:r>
        <w:rPr>
          <w:rFonts w:hint="eastAsia"/>
        </w:rPr>
        <w:t>ab</w:t>
      </w:r>
      <w:r>
        <w:rPr>
          <w:rFonts w:hint="eastAsia"/>
        </w:rPr>
        <w:t>ove option A and B. Though the option B may cause network scheduling problem for the legacy problematic UE, it can avoid the complexity of the network side. For the option A, it means that the network can</w:t>
      </w:r>
      <w:r>
        <w:t>’</w:t>
      </w:r>
      <w:r>
        <w:rPr>
          <w:rFonts w:hint="eastAsia"/>
        </w:rPr>
        <w:t>t fully rely on the UE capability reporting, the ne</w:t>
      </w:r>
      <w:r>
        <w:rPr>
          <w:rFonts w:hint="eastAsia"/>
        </w:rPr>
        <w:t xml:space="preserve">twork has to check the RAN4 spec of each version including the sub-versions, obviously it will increase the Network implementation complexity significantly. Considering that </w:t>
      </w:r>
      <w:r>
        <w:rPr>
          <w:rFonts w:hint="eastAsia"/>
        </w:rPr>
        <w:t xml:space="preserve">there are few UEs that support intra-band EN-DC, the option B is preferred. </w:t>
      </w:r>
    </w:p>
    <w:p w:rsidR="005A2C8C" w:rsidRDefault="00A15ED7">
      <w:r>
        <w:rPr>
          <w:rFonts w:hint="eastAsia"/>
          <w:b/>
          <w:bCs/>
        </w:rPr>
        <w:t>P</w:t>
      </w:r>
      <w:r>
        <w:rPr>
          <w:rFonts w:hint="eastAsia"/>
          <w:b/>
          <w:bCs/>
        </w:rPr>
        <w:t xml:space="preserve">roposal 2: The network process the single UL transmission based on UE capability reporting of </w:t>
      </w:r>
      <w:r>
        <w:rPr>
          <w:rFonts w:hint="eastAsia"/>
          <w:b/>
          <w:bCs/>
          <w:i/>
          <w:iCs/>
        </w:rPr>
        <w:t>singleUL-Transmission</w:t>
      </w:r>
      <w:r>
        <w:rPr>
          <w:rFonts w:hint="eastAsia"/>
          <w:b/>
          <w:bCs/>
        </w:rPr>
        <w:t xml:space="preserve">, which means that the UE may be scheduled with dual uplink if it supports only single UL transmission but not reports </w:t>
      </w:r>
      <w:r>
        <w:rPr>
          <w:rFonts w:hint="eastAsia"/>
          <w:b/>
          <w:bCs/>
          <w:i/>
          <w:iCs/>
        </w:rPr>
        <w:t>singleUL-Transmission</w:t>
      </w:r>
      <w:r>
        <w:rPr>
          <w:rFonts w:hint="eastAsia"/>
          <w:b/>
          <w:bCs/>
        </w:rPr>
        <w:t>.</w:t>
      </w:r>
      <w:r>
        <w:rPr>
          <w:rFonts w:hint="eastAsia"/>
        </w:rPr>
        <w:t xml:space="preserve">    </w:t>
      </w:r>
    </w:p>
    <w:p w:rsidR="005A2C8C" w:rsidRDefault="00A15ED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5A2C8C" w:rsidRDefault="00A15ED7">
      <w:pPr>
        <w:spacing w:beforeLines="50" w:before="156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:rsidR="005A2C8C" w:rsidRDefault="00A15ED7">
      <w:pPr>
        <w:rPr>
          <w:b/>
          <w:bCs/>
        </w:rPr>
      </w:pPr>
      <w:r>
        <w:rPr>
          <w:rFonts w:hint="eastAsia"/>
          <w:b/>
          <w:bCs/>
        </w:rPr>
        <w:t>Observation 1: The BCs that with different UL band component shall not be reported in a super BC if the corresponding super BC are not defined in</w:t>
      </w:r>
      <w:r>
        <w:rPr>
          <w:rFonts w:hint="eastAsia"/>
          <w:b/>
          <w:bCs/>
        </w:rPr>
        <w:t xml:space="preserve"> RAN4. </w:t>
      </w:r>
    </w:p>
    <w:p w:rsidR="002C16C3" w:rsidRDefault="002C16C3" w:rsidP="002C16C3">
      <w:pPr>
        <w:rPr>
          <w:b/>
          <w:bCs/>
        </w:rPr>
      </w:pPr>
      <w:r>
        <w:rPr>
          <w:rFonts w:hint="eastAsia"/>
          <w:b/>
          <w:bCs/>
        </w:rPr>
        <w:t>Proposal 1: The BCs that have different</w:t>
      </w:r>
      <w:r w:rsidRPr="002C16C3">
        <w:rPr>
          <w:rFonts w:hint="eastAsia"/>
          <w:b/>
          <w:bCs/>
          <w:i/>
        </w:rPr>
        <w:t xml:space="preserve"> singleUL-Transmission</w:t>
      </w:r>
      <w:r>
        <w:rPr>
          <w:rFonts w:hint="eastAsia"/>
          <w:b/>
          <w:bCs/>
        </w:rPr>
        <w:t xml:space="preserve"> capabilities shall be reported in different BCs.</w:t>
      </w:r>
    </w:p>
    <w:p w:rsidR="002C16C3" w:rsidRDefault="002C16C3" w:rsidP="002C16C3">
      <w:r w:rsidRPr="002C16C3">
        <w:rPr>
          <w:rFonts w:hint="eastAsia"/>
          <w:b/>
          <w:bCs/>
        </w:rPr>
        <w:t xml:space="preserve">Proposal 2: The network process the single UL transmission based on UE capability reporting of </w:t>
      </w:r>
      <w:r w:rsidRPr="002C16C3">
        <w:rPr>
          <w:rFonts w:hint="eastAsia"/>
          <w:b/>
          <w:bCs/>
          <w:i/>
          <w:iCs/>
        </w:rPr>
        <w:t>singleUL-Transmission</w:t>
      </w:r>
      <w:r w:rsidRPr="002C16C3">
        <w:rPr>
          <w:rFonts w:hint="eastAsia"/>
          <w:b/>
          <w:bCs/>
        </w:rPr>
        <w:t xml:space="preserve">, which means that the UE may be scheduled with dual uplink if it supports only single UL transmission but not reports </w:t>
      </w:r>
      <w:r w:rsidRPr="002C16C3">
        <w:rPr>
          <w:rFonts w:hint="eastAsia"/>
          <w:b/>
          <w:bCs/>
          <w:i/>
          <w:iCs/>
        </w:rPr>
        <w:t>singleUL-Transmission</w:t>
      </w:r>
      <w:r w:rsidRPr="002C16C3">
        <w:rPr>
          <w:rFonts w:hint="eastAsia"/>
          <w:b/>
          <w:bCs/>
        </w:rPr>
        <w:t>.</w:t>
      </w:r>
      <w:r>
        <w:rPr>
          <w:rFonts w:hint="eastAsia"/>
        </w:rPr>
        <w:t xml:space="preserve">    </w:t>
      </w:r>
    </w:p>
    <w:p w:rsidR="005A2C8C" w:rsidRDefault="00A15ED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eference</w:t>
      </w:r>
    </w:p>
    <w:p w:rsidR="005A2C8C" w:rsidRDefault="00A15ED7">
      <w:pPr>
        <w:numPr>
          <w:ilvl w:val="0"/>
          <w:numId w:val="7"/>
        </w:numPr>
      </w:pPr>
      <w:r>
        <w:t>RP-202932</w:t>
      </w:r>
      <w:r>
        <w:rPr>
          <w:rFonts w:hint="eastAsia"/>
        </w:rPr>
        <w:t xml:space="preserve">    </w:t>
      </w:r>
      <w:r>
        <w:t>LS on single UL operation</w:t>
      </w:r>
      <w:r>
        <w:rPr>
          <w:rFonts w:hint="eastAsia"/>
        </w:rPr>
        <w:t xml:space="preserve">   3GPP Ran</w:t>
      </w:r>
    </w:p>
    <w:p w:rsidR="005A2C8C" w:rsidRDefault="00A15ED7">
      <w:pPr>
        <w:numPr>
          <w:ilvl w:val="0"/>
          <w:numId w:val="7"/>
        </w:numPr>
      </w:pPr>
      <w:hyperlink r:id="rId9" w:history="1">
        <w:r>
          <w:t>R2-2004972</w:t>
        </w:r>
      </w:hyperlink>
      <w:r>
        <w:tab/>
        <w:t>Further consideration on the Notes to the FeatureSetCombination</w:t>
      </w:r>
      <w:r>
        <w:tab/>
        <w:t>ZTE Corporation, Sanechips</w:t>
      </w:r>
      <w:r>
        <w:tab/>
        <w:t>discussion</w:t>
      </w:r>
      <w:r>
        <w:tab/>
        <w:t>Rel-15</w:t>
      </w:r>
      <w:r>
        <w:tab/>
        <w:t>NR_newRAT-Core</w:t>
      </w:r>
    </w:p>
    <w:p w:rsidR="005A2C8C" w:rsidRDefault="005A2C8C">
      <w:pPr>
        <w:rPr>
          <w:rFonts w:ascii="Arial" w:eastAsia="宋体" w:hAnsi="Arial" w:cs="Arial"/>
          <w:color w:val="0000FF"/>
          <w:szCs w:val="21"/>
          <w:shd w:val="clear" w:color="auto" w:fill="FFFFFF"/>
        </w:rPr>
      </w:pPr>
    </w:p>
    <w:sectPr w:rsidR="005A2C8C">
      <w:headerReference w:type="default" r:id="rId10"/>
      <w:footerReference w:type="even" r:id="rId11"/>
      <w:footerReference w:type="default" r:id="rId12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ED7" w:rsidRDefault="00A15ED7">
      <w:pPr>
        <w:spacing w:after="0" w:line="240" w:lineRule="auto"/>
      </w:pPr>
      <w:r>
        <w:separator/>
      </w:r>
    </w:p>
  </w:endnote>
  <w:endnote w:type="continuationSeparator" w:id="0">
    <w:p w:rsidR="00A15ED7" w:rsidRDefault="00A15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C8C" w:rsidRDefault="00A15ED7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5A2C8C" w:rsidRDefault="005A2C8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C8C" w:rsidRDefault="005A2C8C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ED7" w:rsidRDefault="00A15ED7">
      <w:pPr>
        <w:spacing w:after="0" w:line="240" w:lineRule="auto"/>
      </w:pPr>
      <w:r>
        <w:separator/>
      </w:r>
    </w:p>
  </w:footnote>
  <w:footnote w:type="continuationSeparator" w:id="0">
    <w:p w:rsidR="00A15ED7" w:rsidRDefault="00A15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C8C" w:rsidRDefault="005A2C8C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47D61EA"/>
    <w:multiLevelType w:val="singleLevel"/>
    <w:tmpl w:val="C47D61EA"/>
    <w:lvl w:ilvl="0">
      <w:start w:val="1"/>
      <w:numFmt w:val="decimal"/>
      <w:suff w:val="space"/>
      <w:lvlText w:val="[%1]"/>
      <w:lvlJc w:val="left"/>
    </w:lvl>
  </w:abstractNum>
  <w:abstractNum w:abstractNumId="1">
    <w:nsid w:val="E48DE4B5"/>
    <w:multiLevelType w:val="singleLevel"/>
    <w:tmpl w:val="E48DE4B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17FEDFC6"/>
    <w:multiLevelType w:val="singleLevel"/>
    <w:tmpl w:val="17FEDFC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780E"/>
    <w:rsid w:val="000C0CBC"/>
    <w:rsid w:val="000C1DE5"/>
    <w:rsid w:val="000C236D"/>
    <w:rsid w:val="000C2690"/>
    <w:rsid w:val="000C364E"/>
    <w:rsid w:val="000C5D4C"/>
    <w:rsid w:val="000C6273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2393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16C3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B02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E62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2C8C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15ED7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42B8"/>
    <w:rsid w:val="00A54719"/>
    <w:rsid w:val="00A56DFF"/>
    <w:rsid w:val="00A5709E"/>
    <w:rsid w:val="00A60AB0"/>
    <w:rsid w:val="00A612B9"/>
    <w:rsid w:val="00A66B14"/>
    <w:rsid w:val="00A66CF8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7247"/>
    <w:rsid w:val="00CB1749"/>
    <w:rsid w:val="00CB3A9F"/>
    <w:rsid w:val="00CB5048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797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920B9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8521B8"/>
    <w:rsid w:val="16A43C8F"/>
    <w:rsid w:val="16A5270A"/>
    <w:rsid w:val="16BD1812"/>
    <w:rsid w:val="16BE464B"/>
    <w:rsid w:val="16D61CD9"/>
    <w:rsid w:val="16E74CBD"/>
    <w:rsid w:val="1705748E"/>
    <w:rsid w:val="170A4371"/>
    <w:rsid w:val="17300AA3"/>
    <w:rsid w:val="174B31A0"/>
    <w:rsid w:val="175B1D16"/>
    <w:rsid w:val="17793E43"/>
    <w:rsid w:val="1793303A"/>
    <w:rsid w:val="179C79A4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AF8154A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8556DE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2D2036"/>
    <w:rsid w:val="233272DB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C2F09"/>
    <w:rsid w:val="26533224"/>
    <w:rsid w:val="26541061"/>
    <w:rsid w:val="26553200"/>
    <w:rsid w:val="26895BB9"/>
    <w:rsid w:val="26A171B5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B04B6F"/>
    <w:rsid w:val="27BC433E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A843B1"/>
    <w:rsid w:val="28EB1022"/>
    <w:rsid w:val="28EB7BAC"/>
    <w:rsid w:val="28FD1DA9"/>
    <w:rsid w:val="29146D0D"/>
    <w:rsid w:val="29242A7C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D2F95"/>
    <w:rsid w:val="2AC43F9F"/>
    <w:rsid w:val="2AEA6E89"/>
    <w:rsid w:val="2AEF61FA"/>
    <w:rsid w:val="2B0738F0"/>
    <w:rsid w:val="2B0E0F65"/>
    <w:rsid w:val="2B374C7F"/>
    <w:rsid w:val="2B3F420A"/>
    <w:rsid w:val="2B420A18"/>
    <w:rsid w:val="2B510311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EC572A"/>
    <w:rsid w:val="30F25889"/>
    <w:rsid w:val="30FD79BE"/>
    <w:rsid w:val="3100405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9F336A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487758"/>
    <w:rsid w:val="364936C7"/>
    <w:rsid w:val="3654745F"/>
    <w:rsid w:val="36582751"/>
    <w:rsid w:val="36645310"/>
    <w:rsid w:val="366C263F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2631F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856CB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6706D7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525E89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6C2610"/>
    <w:rsid w:val="50731582"/>
    <w:rsid w:val="509A2E3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E31D1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EA776F"/>
    <w:rsid w:val="55F064F6"/>
    <w:rsid w:val="55F82D46"/>
    <w:rsid w:val="56343A2B"/>
    <w:rsid w:val="56362315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671789"/>
    <w:rsid w:val="5E6A2D60"/>
    <w:rsid w:val="5E7D69ED"/>
    <w:rsid w:val="5E7F6E97"/>
    <w:rsid w:val="5E856E6F"/>
    <w:rsid w:val="5E9B6F9B"/>
    <w:rsid w:val="5EAC18A7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D61EC"/>
    <w:rsid w:val="62B6094A"/>
    <w:rsid w:val="62D00E03"/>
    <w:rsid w:val="62D31364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41F45B5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518394C"/>
    <w:rsid w:val="751850DE"/>
    <w:rsid w:val="75193DA9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93928"/>
    <w:rsid w:val="7AAA668A"/>
    <w:rsid w:val="7AC42EFD"/>
    <w:rsid w:val="7ACC0EA4"/>
    <w:rsid w:val="7AD51A8A"/>
    <w:rsid w:val="7AF3075E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728A2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19E07C-52D0-4267-AE47-30319F6FA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TANChar">
    <w:name w:val="TAN Char"/>
    <w:link w:val="TAN"/>
    <w:qFormat/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tsg_ran/WG2_RL2/TSGR2_110-e/Docs/R2-2004972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825493-A485-4ADA-B62A-D6E5FA7A4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641</Words>
  <Characters>3655</Characters>
  <Application>Microsoft Office Word</Application>
  <DocSecurity>0</DocSecurity>
  <Lines>30</Lines>
  <Paragraphs>8</Paragraphs>
  <ScaleCrop>false</ScaleCrop>
  <Company>www.zte.com.cn</Company>
  <LinksUpToDate>false</LinksUpToDate>
  <CharactersWithSpaces>4288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ZTE(Wenting)</cp:lastModifiedBy>
  <cp:revision>15</cp:revision>
  <cp:lastPrinted>2113-01-01T00:00:00Z</cp:lastPrinted>
  <dcterms:created xsi:type="dcterms:W3CDTF">2020-02-14T02:22:00Z</dcterms:created>
  <dcterms:modified xsi:type="dcterms:W3CDTF">2021-01-15T02:11:00Z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