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1ED4A" w14:textId="078EE2FD" w:rsidR="006312AA" w:rsidRPr="006312AA" w:rsidRDefault="006312AA" w:rsidP="006312AA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en-GB" w:eastAsia="en-GB"/>
        </w:rPr>
      </w:pPr>
      <w:r w:rsidRPr="006312AA">
        <w:rPr>
          <w:rFonts w:eastAsia="MS Mincho"/>
          <w:b/>
          <w:sz w:val="24"/>
          <w:szCs w:val="24"/>
          <w:lang w:val="en-GB" w:eastAsia="en-GB"/>
        </w:rPr>
        <w:t>3GPP TSG-RAN WG2 Meeting #11</w:t>
      </w:r>
      <w:r w:rsidR="00D34984">
        <w:rPr>
          <w:rFonts w:eastAsia="MS Mincho"/>
          <w:b/>
          <w:sz w:val="24"/>
          <w:szCs w:val="24"/>
          <w:lang w:val="en-GB" w:eastAsia="en-GB"/>
        </w:rPr>
        <w:t>3</w:t>
      </w:r>
      <w:r w:rsidRPr="006312AA">
        <w:rPr>
          <w:rFonts w:eastAsia="MS Mincho"/>
          <w:b/>
          <w:sz w:val="24"/>
          <w:szCs w:val="24"/>
          <w:lang w:val="en-GB" w:eastAsia="en-GB"/>
        </w:rPr>
        <w:t xml:space="preserve"> electronic</w:t>
      </w:r>
      <w:r w:rsidRPr="006312AA">
        <w:rPr>
          <w:rFonts w:eastAsia="MS Mincho"/>
          <w:b/>
          <w:sz w:val="24"/>
          <w:szCs w:val="24"/>
          <w:lang w:val="en-GB" w:eastAsia="en-GB"/>
        </w:rPr>
        <w:tab/>
        <w:t>R2-2</w:t>
      </w:r>
      <w:r w:rsidR="00A074B7">
        <w:rPr>
          <w:rFonts w:eastAsia="MS Mincho"/>
          <w:b/>
          <w:sz w:val="24"/>
          <w:szCs w:val="24"/>
          <w:lang w:val="en-GB" w:eastAsia="en-GB"/>
        </w:rPr>
        <w:t>10126</w:t>
      </w:r>
      <w:r w:rsidR="00715D4B">
        <w:rPr>
          <w:rFonts w:eastAsia="MS Mincho"/>
          <w:b/>
          <w:sz w:val="24"/>
          <w:szCs w:val="24"/>
          <w:lang w:val="en-GB" w:eastAsia="en-GB"/>
        </w:rPr>
        <w:t>1</w:t>
      </w:r>
    </w:p>
    <w:p w14:paraId="3BFE0060" w14:textId="77777777" w:rsidR="00D15AAC" w:rsidRPr="001065F9" w:rsidRDefault="00D15AAC" w:rsidP="00D15AAC">
      <w:pPr>
        <w:widowControl w:val="0"/>
        <w:tabs>
          <w:tab w:val="left" w:pos="1701"/>
          <w:tab w:val="right" w:pos="9923"/>
        </w:tabs>
        <w:spacing w:before="120"/>
        <w:rPr>
          <w:b/>
          <w:sz w:val="24"/>
        </w:rPr>
      </w:pPr>
      <w:r>
        <w:rPr>
          <w:rFonts w:eastAsia="SimSun" w:cs="Arial"/>
          <w:b/>
          <w:sz w:val="24"/>
          <w:lang w:val="de-DE" w:eastAsia="zh-CN"/>
        </w:rPr>
        <w:t>Online, Jan 25 – Feb 5, 2021</w:t>
      </w:r>
    </w:p>
    <w:p w14:paraId="36DE4D72" w14:textId="77777777" w:rsidR="006312AA" w:rsidRPr="006312AA" w:rsidRDefault="006312AA" w:rsidP="006312AA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en-GB" w:eastAsia="en-GB"/>
        </w:rPr>
      </w:pPr>
    </w:p>
    <w:p w14:paraId="5852342B" w14:textId="07B11B57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417F07">
        <w:rPr>
          <w:b/>
          <w:sz w:val="24"/>
          <w:szCs w:val="24"/>
        </w:rPr>
        <w:t>8</w:t>
      </w:r>
      <w:r w:rsidR="00E06B55">
        <w:rPr>
          <w:b/>
          <w:sz w:val="24"/>
          <w:szCs w:val="24"/>
        </w:rPr>
        <w:t>.</w:t>
      </w:r>
      <w:r w:rsidR="006A04B2">
        <w:rPr>
          <w:b/>
          <w:sz w:val="24"/>
          <w:szCs w:val="24"/>
        </w:rPr>
        <w:t>4</w:t>
      </w:r>
      <w:r w:rsidR="003822CC">
        <w:rPr>
          <w:b/>
          <w:sz w:val="24"/>
          <w:szCs w:val="24"/>
        </w:rPr>
        <w:t>.</w:t>
      </w:r>
      <w:r w:rsidR="00715D4B">
        <w:rPr>
          <w:b/>
          <w:sz w:val="24"/>
          <w:szCs w:val="24"/>
        </w:rPr>
        <w:t>3</w:t>
      </w:r>
    </w:p>
    <w:p w14:paraId="64A845F0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68FECBE" w14:textId="0CBEFCD1" w:rsidR="00745452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5F705D">
        <w:rPr>
          <w:b/>
          <w:sz w:val="24"/>
          <w:szCs w:val="24"/>
        </w:rPr>
        <w:tab/>
      </w:r>
      <w:r w:rsidR="00715D4B">
        <w:rPr>
          <w:b/>
          <w:sz w:val="24"/>
          <w:szCs w:val="24"/>
        </w:rPr>
        <w:t>Topology adaptation enhancements for IAB</w:t>
      </w:r>
    </w:p>
    <w:p w14:paraId="7A7A05B8" w14:textId="77777777" w:rsidR="00A64CF7" w:rsidRPr="00A11840" w:rsidRDefault="0060603E" w:rsidP="004131D6">
      <w:pPr>
        <w:ind w:left="1800" w:hanging="1800"/>
        <w:rPr>
          <w:sz w:val="16"/>
          <w:szCs w:val="16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363A55BC" w14:textId="77777777" w:rsidR="004A7002" w:rsidRDefault="004A7002" w:rsidP="004A7002">
      <w:pPr>
        <w:pStyle w:val="Heading1"/>
        <w:keepLines/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183CB7">
        <w:t>Introduction</w:t>
      </w:r>
    </w:p>
    <w:p w14:paraId="0B5FDADF" w14:textId="77777777" w:rsidR="00200FAB" w:rsidRPr="004131D6" w:rsidRDefault="00200FAB" w:rsidP="00200FAB">
      <w:pPr>
        <w:rPr>
          <w:rFonts w:ascii="Calibri" w:eastAsia="Malgun Gothic" w:hAnsi="Calibri" w:cs="Batang"/>
          <w:lang w:val="en-GB" w:eastAsia="ko-KR"/>
        </w:rPr>
      </w:pPr>
      <w:r w:rsidRPr="004131D6">
        <w:rPr>
          <w:rFonts w:ascii="Calibri" w:eastAsia="Malgun Gothic" w:hAnsi="Calibri" w:cs="Batang"/>
          <w:lang w:val="en-GB" w:eastAsia="ko-KR"/>
        </w:rPr>
        <w:t xml:space="preserve">As part of the Work Item on </w:t>
      </w:r>
      <w:r>
        <w:rPr>
          <w:rFonts w:ascii="Calibri" w:eastAsia="Malgun Gothic" w:hAnsi="Calibri" w:cs="Batang"/>
          <w:lang w:val="en-GB" w:eastAsia="ko-KR"/>
        </w:rPr>
        <w:t xml:space="preserve">Enhancements for </w:t>
      </w:r>
      <w:r w:rsidRPr="004131D6">
        <w:rPr>
          <w:rFonts w:ascii="Calibri" w:eastAsia="Malgun Gothic" w:hAnsi="Calibri" w:cs="Batang"/>
          <w:lang w:val="en-GB" w:eastAsia="ko-KR"/>
        </w:rPr>
        <w:t xml:space="preserve">Integrated Access and Backhaul for NR [1], 3GPP has agreed to support </w:t>
      </w:r>
      <w:r>
        <w:rPr>
          <w:rFonts w:ascii="Calibri" w:eastAsia="Malgun Gothic" w:hAnsi="Calibri" w:cs="Batang"/>
          <w:lang w:val="en-GB" w:eastAsia="ko-KR"/>
        </w:rPr>
        <w:t>topology adaptation enhancements</w:t>
      </w:r>
      <w:r w:rsidRPr="004131D6">
        <w:rPr>
          <w:rFonts w:ascii="Calibri" w:eastAsia="Malgun Gothic" w:hAnsi="Calibri" w:cs="Batang"/>
          <w:lang w:val="en-GB" w:eastAsia="ko-KR"/>
        </w:rPr>
        <w:t>:</w:t>
      </w:r>
    </w:p>
    <w:p w14:paraId="775C66AA" w14:textId="77777777" w:rsidR="00200FAB" w:rsidRPr="00D54EF9" w:rsidRDefault="00200FAB" w:rsidP="00200FAB">
      <w:pPr>
        <w:rPr>
          <w:bCs/>
          <w:sz w:val="18"/>
          <w:szCs w:val="18"/>
        </w:rPr>
      </w:pPr>
      <w:r w:rsidRPr="00D54EF9">
        <w:rPr>
          <w:bCs/>
          <w:sz w:val="18"/>
          <w:szCs w:val="18"/>
        </w:rPr>
        <w:t>Topology adaptation enhancements [RAN3-led, RAN2]:</w:t>
      </w:r>
    </w:p>
    <w:p w14:paraId="2EDB76CE" w14:textId="77777777" w:rsidR="00200FAB" w:rsidRPr="00D54EF9" w:rsidRDefault="00200FAB" w:rsidP="00200FAB">
      <w:pPr>
        <w:numPr>
          <w:ilvl w:val="0"/>
          <w:numId w:val="21"/>
        </w:numPr>
        <w:spacing w:before="0" w:after="60"/>
        <w:jc w:val="left"/>
        <w:rPr>
          <w:sz w:val="18"/>
          <w:szCs w:val="18"/>
        </w:rPr>
      </w:pPr>
      <w:r w:rsidRPr="00D54EF9">
        <w:rPr>
          <w:sz w:val="18"/>
          <w:szCs w:val="18"/>
        </w:rPr>
        <w:t xml:space="preserve">Specification of procedures for inter-donor IAB-node migration to enhance robustness and load-balancing, including enhancements to reduce </w:t>
      </w:r>
      <w:proofErr w:type="spellStart"/>
      <w:r w:rsidRPr="00D54EF9">
        <w:rPr>
          <w:sz w:val="18"/>
          <w:szCs w:val="18"/>
        </w:rPr>
        <w:t>signalling</w:t>
      </w:r>
      <w:proofErr w:type="spellEnd"/>
      <w:r w:rsidRPr="00D54EF9">
        <w:rPr>
          <w:sz w:val="18"/>
          <w:szCs w:val="18"/>
        </w:rPr>
        <w:t xml:space="preserve"> load.   </w:t>
      </w:r>
    </w:p>
    <w:p w14:paraId="346977CE" w14:textId="77777777" w:rsidR="00200FAB" w:rsidRPr="00D54EF9" w:rsidRDefault="00200FAB" w:rsidP="00200FAB">
      <w:pPr>
        <w:numPr>
          <w:ilvl w:val="0"/>
          <w:numId w:val="21"/>
        </w:numPr>
        <w:spacing w:before="0" w:after="60"/>
        <w:jc w:val="left"/>
        <w:rPr>
          <w:sz w:val="18"/>
          <w:szCs w:val="18"/>
        </w:rPr>
      </w:pPr>
      <w:r w:rsidRPr="00D54EF9">
        <w:rPr>
          <w:sz w:val="18"/>
          <w:szCs w:val="18"/>
        </w:rPr>
        <w:t>Specification of enhancements to reduce service interruption due to IAB-node migration and BH RLF recovery.</w:t>
      </w:r>
    </w:p>
    <w:p w14:paraId="4D25F1CD" w14:textId="77777777" w:rsidR="00200FAB" w:rsidRPr="00D54EF9" w:rsidRDefault="00200FAB" w:rsidP="00200FAB">
      <w:pPr>
        <w:numPr>
          <w:ilvl w:val="0"/>
          <w:numId w:val="21"/>
        </w:numPr>
        <w:spacing w:before="0" w:after="60"/>
        <w:jc w:val="left"/>
        <w:rPr>
          <w:sz w:val="18"/>
          <w:szCs w:val="18"/>
        </w:rPr>
      </w:pPr>
      <w:r w:rsidRPr="00D54EF9">
        <w:rPr>
          <w:sz w:val="18"/>
          <w:szCs w:val="18"/>
        </w:rPr>
        <w:t>Specification of enhancements to topological redundancy, including support of CP/UP separation.</w:t>
      </w:r>
    </w:p>
    <w:p w14:paraId="43BA28C1" w14:textId="77777777" w:rsidR="00200FAB" w:rsidRDefault="00200FAB" w:rsidP="00200FAB">
      <w:pPr>
        <w:rPr>
          <w:rFonts w:ascii="Calibri" w:eastAsia="Malgun Gothic" w:hAnsi="Calibri" w:cs="Batang"/>
          <w:lang w:val="en-GB" w:eastAsia="ko-KR"/>
        </w:rPr>
      </w:pPr>
    </w:p>
    <w:p w14:paraId="57BA4170" w14:textId="77777777" w:rsidR="00200FAB" w:rsidRPr="004131D6" w:rsidRDefault="00200FAB" w:rsidP="00200FAB">
      <w:pPr>
        <w:rPr>
          <w:rFonts w:ascii="Calibri" w:eastAsia="Malgun Gothic" w:hAnsi="Calibri" w:cs="Batang"/>
          <w:lang w:val="en-GB" w:eastAsia="ko-KR"/>
        </w:rPr>
      </w:pPr>
      <w:r w:rsidRPr="004131D6">
        <w:rPr>
          <w:rFonts w:ascii="Calibri" w:eastAsia="Malgun Gothic" w:hAnsi="Calibri" w:cs="Batang"/>
          <w:lang w:val="en-GB" w:eastAsia="ko-KR"/>
        </w:rPr>
        <w:t>In order to support efficient</w:t>
      </w:r>
      <w:r>
        <w:rPr>
          <w:rFonts w:ascii="Calibri" w:eastAsia="Malgun Gothic" w:hAnsi="Calibri" w:cs="Batang"/>
          <w:lang w:val="en-GB" w:eastAsia="ko-KR"/>
        </w:rPr>
        <w:t xml:space="preserve"> </w:t>
      </w:r>
      <w:r w:rsidRPr="004131D6">
        <w:rPr>
          <w:rFonts w:ascii="Calibri" w:eastAsia="Malgun Gothic" w:hAnsi="Calibri" w:cs="Batang"/>
          <w:lang w:val="en-GB" w:eastAsia="ko-KR"/>
        </w:rPr>
        <w:t>and optimized operation</w:t>
      </w:r>
      <w:r>
        <w:rPr>
          <w:rFonts w:ascii="Calibri" w:eastAsia="Malgun Gothic" w:hAnsi="Calibri" w:cs="Batang"/>
          <w:lang w:val="en-GB" w:eastAsia="ko-KR"/>
        </w:rPr>
        <w:t xml:space="preserve"> during migration events</w:t>
      </w:r>
      <w:r w:rsidRPr="004131D6">
        <w:rPr>
          <w:rFonts w:ascii="Calibri" w:eastAsia="Malgun Gothic" w:hAnsi="Calibri" w:cs="Batang"/>
          <w:lang w:val="en-GB" w:eastAsia="ko-KR"/>
        </w:rPr>
        <w:t xml:space="preserve">, </w:t>
      </w:r>
      <w:r>
        <w:rPr>
          <w:rFonts w:ascii="Calibri" w:eastAsia="Malgun Gothic" w:hAnsi="Calibri" w:cs="Batang"/>
          <w:lang w:val="en-GB" w:eastAsia="ko-KR"/>
        </w:rPr>
        <w:t>group mobility and user association enhancements may be beneficial features to introduce for IAB in Rel-17 and are discussed in the following sections</w:t>
      </w:r>
      <w:r w:rsidRPr="004131D6">
        <w:rPr>
          <w:rFonts w:ascii="Calibri" w:eastAsia="Malgun Gothic" w:hAnsi="Calibri" w:cs="Batang"/>
          <w:lang w:val="en-GB" w:eastAsia="ko-KR"/>
        </w:rPr>
        <w:t>.</w:t>
      </w:r>
    </w:p>
    <w:p w14:paraId="44DCACF4" w14:textId="16B05549" w:rsidR="004A7002" w:rsidRDefault="00200FAB" w:rsidP="004A7002">
      <w:pPr>
        <w:pStyle w:val="Heading1"/>
        <w:keepLines/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>IAB topology adaptation and multi-parent scenarios</w:t>
      </w:r>
    </w:p>
    <w:p w14:paraId="23CA159B" w14:textId="23DE0251" w:rsidR="00200FAB" w:rsidRDefault="00200FAB" w:rsidP="00200FAB">
      <w:pPr>
        <w:spacing w:before="0" w:after="0" w:line="288" w:lineRule="auto"/>
        <w:rPr>
          <w:rFonts w:ascii="Calibri" w:hAnsi="Calibri"/>
          <w:color w:val="000000"/>
          <w:kern w:val="24"/>
        </w:rPr>
      </w:pPr>
      <w:r>
        <w:rPr>
          <w:rFonts w:ascii="Calibri" w:hAnsi="Calibri"/>
          <w:color w:val="000000"/>
          <w:kern w:val="24"/>
        </w:rPr>
        <w:t>In</w:t>
      </w:r>
      <w:r>
        <w:rPr>
          <w:rFonts w:ascii="Calibri" w:hAnsi="Calibri"/>
          <w:color w:val="000000"/>
          <w:kern w:val="24"/>
        </w:rPr>
        <w:t xml:space="preserve"> Rel-16, the resource allocation and multiplexing framework </w:t>
      </w:r>
      <w:r>
        <w:rPr>
          <w:rFonts w:ascii="Calibri" w:hAnsi="Calibri"/>
          <w:color w:val="000000"/>
          <w:kern w:val="24"/>
        </w:rPr>
        <w:t>prioritized</w:t>
      </w:r>
      <w:r>
        <w:rPr>
          <w:rFonts w:ascii="Calibri" w:hAnsi="Calibri"/>
          <w:color w:val="000000"/>
          <w:kern w:val="24"/>
        </w:rPr>
        <w:t xml:space="preserve"> single-parent scenarios for a given IAB-node</w:t>
      </w:r>
      <w:r>
        <w:rPr>
          <w:rFonts w:ascii="Calibri" w:hAnsi="Calibri"/>
          <w:color w:val="000000"/>
          <w:kern w:val="24"/>
        </w:rPr>
        <w:t>.</w:t>
      </w:r>
      <w:r>
        <w:rPr>
          <w:rFonts w:ascii="Calibri" w:hAnsi="Calibri"/>
          <w:color w:val="000000"/>
          <w:kern w:val="24"/>
        </w:rPr>
        <w:t xml:space="preserve"> However, to support redundancy and load-balancing, multi-parent scenarios are also possible as shown in Figure </w:t>
      </w:r>
      <w:r>
        <w:rPr>
          <w:rFonts w:ascii="Calibri" w:hAnsi="Calibri"/>
          <w:color w:val="000000"/>
          <w:kern w:val="24"/>
        </w:rPr>
        <w:t>1</w:t>
      </w:r>
      <w:r>
        <w:rPr>
          <w:rFonts w:ascii="Calibri" w:hAnsi="Calibri"/>
          <w:color w:val="000000"/>
          <w:kern w:val="24"/>
        </w:rPr>
        <w:t>.</w:t>
      </w:r>
    </w:p>
    <w:p w14:paraId="1AAB9395" w14:textId="77777777" w:rsidR="00200FAB" w:rsidRDefault="00200FAB" w:rsidP="00200FAB">
      <w:pPr>
        <w:spacing w:before="0" w:after="0" w:line="288" w:lineRule="auto"/>
        <w:rPr>
          <w:rFonts w:ascii="Calibri" w:hAnsi="Calibri"/>
          <w:color w:val="000000"/>
          <w:kern w:val="24"/>
        </w:rPr>
      </w:pPr>
    </w:p>
    <w:p w14:paraId="43497E6A" w14:textId="77777777" w:rsidR="00200FAB" w:rsidRDefault="00200FAB" w:rsidP="00200FAB">
      <w:pPr>
        <w:jc w:val="center"/>
      </w:pPr>
      <w:r>
        <w:rPr>
          <w:noProof/>
        </w:rPr>
        <w:drawing>
          <wp:inline distT="0" distB="0" distL="0" distR="0" wp14:anchorId="51D31A81" wp14:editId="2AAC976A">
            <wp:extent cx="6154829" cy="1833277"/>
            <wp:effectExtent l="0" t="0" r="0" b="0"/>
            <wp:docPr id="4" name="Picture 4" descr="A picture containing gauge,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gauge, cloc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0534" cy="18439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8386B1" w14:textId="77777777" w:rsidR="00200FAB" w:rsidRPr="006010E0" w:rsidRDefault="00200FAB" w:rsidP="00200FAB">
      <w:pPr>
        <w:spacing w:after="240" w:line="360" w:lineRule="auto"/>
        <w:ind w:left="720"/>
        <w:jc w:val="center"/>
        <w:rPr>
          <w:rFonts w:ascii="Calibri" w:hAnsi="Calibri"/>
          <w:b/>
          <w:bCs/>
          <w:sz w:val="22"/>
          <w:lang w:val="en-GB" w:eastAsia="zh-CN"/>
        </w:rPr>
      </w:pPr>
      <w:r w:rsidRPr="006010E0">
        <w:rPr>
          <w:rFonts w:ascii="Calibri" w:hAnsi="Calibri"/>
          <w:b/>
          <w:bCs/>
          <w:sz w:val="22"/>
          <w:lang w:val="en-GB" w:eastAsia="zh-CN"/>
        </w:rPr>
        <w:t xml:space="preserve">Figure </w:t>
      </w:r>
      <w:r>
        <w:rPr>
          <w:rFonts w:ascii="Calibri" w:hAnsi="Calibri"/>
          <w:b/>
          <w:bCs/>
          <w:sz w:val="22"/>
          <w:lang w:val="en-GB" w:eastAsia="zh-CN"/>
        </w:rPr>
        <w:t>3</w:t>
      </w:r>
      <w:r w:rsidRPr="006010E0">
        <w:rPr>
          <w:rFonts w:ascii="Calibri" w:hAnsi="Calibri"/>
          <w:b/>
          <w:bCs/>
          <w:sz w:val="22"/>
          <w:lang w:val="en-GB" w:eastAsia="zh-CN"/>
        </w:rPr>
        <w:t xml:space="preserve">: </w:t>
      </w:r>
      <w:r>
        <w:rPr>
          <w:rFonts w:ascii="Calibri" w:hAnsi="Calibri"/>
          <w:b/>
          <w:bCs/>
          <w:sz w:val="22"/>
          <w:lang w:val="en-GB" w:eastAsia="zh-CN"/>
        </w:rPr>
        <w:t>Example m</w:t>
      </w:r>
      <w:r w:rsidRPr="006010E0">
        <w:rPr>
          <w:rFonts w:ascii="Calibri" w:hAnsi="Calibri"/>
          <w:b/>
          <w:bCs/>
          <w:sz w:val="22"/>
          <w:lang w:val="en-GB" w:eastAsia="zh-CN"/>
        </w:rPr>
        <w:t>ulti-</w:t>
      </w:r>
      <w:r>
        <w:rPr>
          <w:rFonts w:ascii="Calibri" w:hAnsi="Calibri"/>
          <w:b/>
          <w:bCs/>
          <w:sz w:val="22"/>
          <w:lang w:val="en-GB" w:eastAsia="zh-CN"/>
        </w:rPr>
        <w:t>parent</w:t>
      </w:r>
      <w:r w:rsidRPr="006010E0">
        <w:rPr>
          <w:rFonts w:ascii="Calibri" w:hAnsi="Calibri"/>
          <w:b/>
          <w:bCs/>
          <w:sz w:val="22"/>
          <w:lang w:val="en-GB" w:eastAsia="zh-CN"/>
        </w:rPr>
        <w:t xml:space="preserve"> IAB </w:t>
      </w:r>
      <w:r>
        <w:rPr>
          <w:rFonts w:ascii="Calibri" w:hAnsi="Calibri"/>
          <w:b/>
          <w:bCs/>
          <w:sz w:val="22"/>
          <w:lang w:val="en-GB" w:eastAsia="zh-CN"/>
        </w:rPr>
        <w:t>scenario</w:t>
      </w:r>
    </w:p>
    <w:p w14:paraId="14604345" w14:textId="136E04B4" w:rsidR="00082D3A" w:rsidRDefault="00200FAB" w:rsidP="0077119F">
      <w:pPr>
        <w:pStyle w:val="B1"/>
        <w:spacing w:line="276" w:lineRule="auto"/>
        <w:ind w:left="0" w:firstLine="0"/>
        <w:rPr>
          <w:rFonts w:ascii="Calibri" w:hAnsi="Calibri"/>
          <w:color w:val="000000"/>
          <w:kern w:val="24"/>
          <w:lang w:val="en-US" w:eastAsia="en-US"/>
        </w:rPr>
      </w:pPr>
      <w:r>
        <w:rPr>
          <w:rFonts w:ascii="Calibri" w:hAnsi="Calibri"/>
          <w:color w:val="000000"/>
          <w:kern w:val="24"/>
          <w:lang w:val="en-US" w:eastAsia="en-US"/>
        </w:rPr>
        <w:t xml:space="preserve">Depending on the </w:t>
      </w:r>
      <w:r w:rsidR="0077119F">
        <w:rPr>
          <w:rFonts w:ascii="Calibri" w:hAnsi="Calibri"/>
          <w:color w:val="000000"/>
          <w:kern w:val="24"/>
          <w:lang w:val="en-US" w:eastAsia="en-US"/>
        </w:rPr>
        <w:t>candidate solution</w:t>
      </w:r>
      <w:r>
        <w:rPr>
          <w:rFonts w:ascii="Calibri" w:hAnsi="Calibri"/>
          <w:color w:val="000000"/>
          <w:kern w:val="24"/>
          <w:lang w:val="en-US" w:eastAsia="en-US"/>
        </w:rPr>
        <w:t xml:space="preserve"> the connectivity between the IAB node and the multiple parents may be temporary during a topology adaptation or RLF event (e.g. CHO, DAPS) or may be sustained on a long-term basis (e.g. dual-connectivity or multi-MT). </w:t>
      </w:r>
      <w:r w:rsidR="0077119F">
        <w:rPr>
          <w:rFonts w:ascii="Calibri" w:hAnsi="Calibri"/>
          <w:color w:val="000000"/>
          <w:kern w:val="24"/>
          <w:lang w:val="en-US" w:eastAsia="en-US"/>
        </w:rPr>
        <w:t>The tradeoffs between different solutions can vary based on factors such as signaling load to setup or maintain the multi-parent connectivity, latency of the overall procedure (including potential impact on descendent IAB nodes and access UEs), and applicability over a broad range of deployments and use cases.</w:t>
      </w:r>
    </w:p>
    <w:p w14:paraId="35EA4FBD" w14:textId="18FF56DB" w:rsidR="00200FAB" w:rsidRPr="00170781" w:rsidRDefault="0077119F" w:rsidP="00170781">
      <w:pPr>
        <w:pStyle w:val="B1"/>
        <w:spacing w:line="276" w:lineRule="auto"/>
        <w:ind w:left="0" w:firstLine="0"/>
        <w:rPr>
          <w:rFonts w:ascii="Calibri" w:hAnsi="Calibri"/>
          <w:color w:val="000000"/>
          <w:kern w:val="24"/>
          <w:lang w:val="en-US" w:eastAsia="en-US"/>
        </w:rPr>
      </w:pPr>
      <w:r>
        <w:rPr>
          <w:rFonts w:ascii="Calibri" w:hAnsi="Calibri"/>
          <w:color w:val="000000"/>
          <w:kern w:val="24"/>
          <w:lang w:val="en-US" w:eastAsia="en-US"/>
        </w:rPr>
        <w:lastRenderedPageBreak/>
        <w:t>It is the last factor in particular that we believe should be further discussed in RAN WGs before agreeing to specify and even optimize a feature in Rel-17. It is expected that a single feature or solution will not be optimal for all topology adaptation use cases in Rel-17, while also considering forward compatibility to future enhancements. At the same time, developing multiple solutions which are optimized for a particular use case may not be beneficial when it comes to implementation complexity and network operation</w:t>
      </w:r>
      <w:r w:rsidR="00170781">
        <w:rPr>
          <w:rFonts w:ascii="Calibri" w:hAnsi="Calibri"/>
          <w:color w:val="000000"/>
          <w:kern w:val="24"/>
          <w:lang w:val="en-US" w:eastAsia="en-US"/>
        </w:rPr>
        <w:t xml:space="preserve"> (especially if there is overlapping scope)</w:t>
      </w:r>
      <w:r>
        <w:rPr>
          <w:rFonts w:ascii="Calibri" w:hAnsi="Calibri"/>
          <w:color w:val="000000"/>
          <w:kern w:val="24"/>
          <w:lang w:val="en-US" w:eastAsia="en-US"/>
        </w:rPr>
        <w:t xml:space="preserve">. For example, while applying DAPS to IAB in order to reduce service interruption during a topology adaptation event may be mostly straightforward from a specification point of view, it is limited to not be able to additionally provide load-balancing and redundancy benefits which are realized with dual-connectivity or multi-MT solutions. Additionally CHO may reduce latency in case of link interruptions due to blockage/RLF-like events, </w:t>
      </w:r>
      <w:r w:rsidR="00170781">
        <w:rPr>
          <w:rFonts w:ascii="Calibri" w:hAnsi="Calibri"/>
          <w:color w:val="000000"/>
          <w:kern w:val="24"/>
          <w:lang w:val="en-US" w:eastAsia="en-US"/>
        </w:rPr>
        <w:t xml:space="preserve">for static networks, the overhead in establishing the alternate links may not be justified compared to a dual-connectivity or multi-MT solution which also has a similar signaling </w:t>
      </w:r>
      <w:proofErr w:type="gramStart"/>
      <w:r w:rsidR="00170781">
        <w:rPr>
          <w:rFonts w:ascii="Calibri" w:hAnsi="Calibri"/>
          <w:color w:val="000000"/>
          <w:kern w:val="24"/>
          <w:lang w:val="en-US" w:eastAsia="en-US"/>
        </w:rPr>
        <w:t>load, but</w:t>
      </w:r>
      <w:proofErr w:type="gramEnd"/>
      <w:r w:rsidR="00170781">
        <w:rPr>
          <w:rFonts w:ascii="Calibri" w:hAnsi="Calibri"/>
          <w:color w:val="000000"/>
          <w:kern w:val="24"/>
          <w:lang w:val="en-US" w:eastAsia="en-US"/>
        </w:rPr>
        <w:t xml:space="preserve"> gives the network more flexibility to utilize both parent links concurrently and also has additional robustness compared to a single-parent backhaul connectivity baseline.</w:t>
      </w:r>
    </w:p>
    <w:p w14:paraId="624CE1B0" w14:textId="3D2B8B52" w:rsidR="00BD2886" w:rsidRDefault="00042177" w:rsidP="004A7002">
      <w:pPr>
        <w:rPr>
          <w:rFonts w:ascii="Calibri" w:eastAsia="Malgun Gothic" w:hAnsi="Calibri" w:cs="Batang"/>
          <w:b/>
          <w:lang w:val="en-GB" w:eastAsia="ko-KR"/>
        </w:rPr>
      </w:pPr>
      <w:r>
        <w:rPr>
          <w:rFonts w:ascii="Calibri" w:eastAsia="Malgun Gothic" w:hAnsi="Calibri" w:cs="Batang"/>
          <w:b/>
          <w:lang w:val="en-GB" w:eastAsia="ko-KR"/>
        </w:rPr>
        <w:t xml:space="preserve">Proposal </w:t>
      </w:r>
      <w:r w:rsidR="00BD2886">
        <w:rPr>
          <w:rFonts w:ascii="Calibri" w:eastAsia="Malgun Gothic" w:hAnsi="Calibri" w:cs="Batang"/>
          <w:b/>
          <w:lang w:val="en-GB" w:eastAsia="ko-KR"/>
        </w:rPr>
        <w:t>1</w:t>
      </w:r>
      <w:r w:rsidR="004A7002" w:rsidRPr="004131D6">
        <w:rPr>
          <w:rFonts w:ascii="Calibri" w:eastAsia="Malgun Gothic" w:hAnsi="Calibri" w:cs="Batang"/>
          <w:b/>
          <w:lang w:val="en-GB" w:eastAsia="ko-KR"/>
        </w:rPr>
        <w:t xml:space="preserve">: </w:t>
      </w:r>
      <w:r w:rsidR="00170781">
        <w:rPr>
          <w:rFonts w:ascii="Calibri" w:eastAsia="Malgun Gothic" w:hAnsi="Calibri" w:cs="Batang"/>
          <w:b/>
          <w:lang w:val="en-GB" w:eastAsia="ko-KR"/>
        </w:rPr>
        <w:t>RAN2 should prioritize topology adaptation solutions and enhancements which support multiple use cases and deployment scenarios.</w:t>
      </w:r>
    </w:p>
    <w:p w14:paraId="7B45638B" w14:textId="16B3D612" w:rsidR="006B7B96" w:rsidRDefault="006B7B96" w:rsidP="004A7002">
      <w:pPr>
        <w:rPr>
          <w:rFonts w:ascii="Calibri" w:eastAsia="Malgun Gothic" w:hAnsi="Calibri" w:cs="Batang"/>
          <w:b/>
          <w:lang w:val="en-GB" w:eastAsia="ko-KR"/>
        </w:rPr>
      </w:pPr>
    </w:p>
    <w:p w14:paraId="0C282119" w14:textId="053B6AC1" w:rsidR="00170781" w:rsidRDefault="00170781" w:rsidP="007D1952">
      <w:pPr>
        <w:spacing w:line="276" w:lineRule="auto"/>
        <w:rPr>
          <w:rFonts w:ascii="Calibri" w:eastAsia="Malgun Gothic" w:hAnsi="Calibri" w:cs="Batang"/>
          <w:bCs/>
          <w:lang w:val="en-GB" w:eastAsia="ko-KR"/>
        </w:rPr>
      </w:pPr>
      <w:r>
        <w:rPr>
          <w:rFonts w:ascii="Calibri" w:eastAsia="Malgun Gothic" w:hAnsi="Calibri" w:cs="Batang"/>
          <w:bCs/>
          <w:lang w:val="en-GB" w:eastAsia="ko-KR"/>
        </w:rPr>
        <w:t>In addition, it is important to understand which solutions may have an impact on physical layer resource configuration and multiplexing operation</w:t>
      </w:r>
      <w:r w:rsidR="007D1952">
        <w:rPr>
          <w:rFonts w:ascii="Calibri" w:eastAsia="Malgun Gothic" w:hAnsi="Calibri" w:cs="Batang"/>
          <w:bCs/>
          <w:lang w:val="en-GB" w:eastAsia="ko-KR"/>
        </w:rPr>
        <w:t xml:space="preserve"> as this may influence which solutions are specified or prioritized based on their suitability for the most practical IAB deployment scenarios</w:t>
      </w:r>
      <w:r>
        <w:rPr>
          <w:rFonts w:ascii="Calibri" w:eastAsia="Malgun Gothic" w:hAnsi="Calibri" w:cs="Batang"/>
          <w:bCs/>
          <w:lang w:val="en-GB" w:eastAsia="ko-KR"/>
        </w:rPr>
        <w:t>. Since the evaluation of such impact</w:t>
      </w:r>
      <w:r w:rsidR="007D1952">
        <w:rPr>
          <w:rFonts w:ascii="Calibri" w:eastAsia="Malgun Gothic" w:hAnsi="Calibri" w:cs="Batang"/>
          <w:bCs/>
          <w:lang w:val="en-GB" w:eastAsia="ko-KR"/>
        </w:rPr>
        <w:t>s</w:t>
      </w:r>
      <w:r>
        <w:rPr>
          <w:rFonts w:ascii="Calibri" w:eastAsia="Malgun Gothic" w:hAnsi="Calibri" w:cs="Batang"/>
          <w:bCs/>
          <w:lang w:val="en-GB" w:eastAsia="ko-KR"/>
        </w:rPr>
        <w:t xml:space="preserve"> is done in RAN1, it would be beneficial for RAN2 to consult RAN1 as early in the WI phase as possible once candidates for Rel-17 solutions are selected in order to get feedback </w:t>
      </w:r>
      <w:r w:rsidR="007D1952">
        <w:rPr>
          <w:rFonts w:ascii="Calibri" w:eastAsia="Malgun Gothic" w:hAnsi="Calibri" w:cs="Batang"/>
          <w:bCs/>
          <w:lang w:val="en-GB" w:eastAsia="ko-KR"/>
        </w:rPr>
        <w:t xml:space="preserve">for example </w:t>
      </w:r>
      <w:r>
        <w:rPr>
          <w:rFonts w:ascii="Calibri" w:eastAsia="Malgun Gothic" w:hAnsi="Calibri" w:cs="Batang"/>
          <w:bCs/>
          <w:lang w:val="en-GB" w:eastAsia="ko-KR"/>
        </w:rPr>
        <w:t xml:space="preserve">on potential impact of the solutions in terms of restrictions on </w:t>
      </w:r>
      <w:r w:rsidR="007D1952">
        <w:rPr>
          <w:rFonts w:ascii="Calibri" w:eastAsia="Malgun Gothic" w:hAnsi="Calibri" w:cs="Batang"/>
          <w:bCs/>
          <w:lang w:val="en-GB" w:eastAsia="ko-KR"/>
        </w:rPr>
        <w:t xml:space="preserve">the usage of </w:t>
      </w:r>
      <w:r>
        <w:rPr>
          <w:rFonts w:ascii="Calibri" w:eastAsia="Malgun Gothic" w:hAnsi="Calibri" w:cs="Batang"/>
          <w:bCs/>
          <w:lang w:val="en-GB" w:eastAsia="ko-KR"/>
        </w:rPr>
        <w:t>time or frequency resources by the parent nodes during topology adaptation</w:t>
      </w:r>
      <w:r w:rsidR="007D1952">
        <w:rPr>
          <w:rFonts w:ascii="Calibri" w:eastAsia="Malgun Gothic" w:hAnsi="Calibri" w:cs="Batang"/>
          <w:bCs/>
          <w:lang w:val="en-GB" w:eastAsia="ko-KR"/>
        </w:rPr>
        <w:t>, including impact on the multiplexing capability within the IAB node and between parent nodes,</w:t>
      </w:r>
      <w:r>
        <w:rPr>
          <w:rFonts w:ascii="Calibri" w:eastAsia="Malgun Gothic" w:hAnsi="Calibri" w:cs="Batang"/>
          <w:bCs/>
          <w:lang w:val="en-GB" w:eastAsia="ko-KR"/>
        </w:rPr>
        <w:t xml:space="preserve"> and the need for signalling enhancements (if any). </w:t>
      </w:r>
    </w:p>
    <w:p w14:paraId="51177ABA" w14:textId="434841E1" w:rsidR="007D1952" w:rsidRDefault="007D1952" w:rsidP="007D1952">
      <w:pPr>
        <w:rPr>
          <w:rFonts w:ascii="Calibri" w:eastAsia="Malgun Gothic" w:hAnsi="Calibri" w:cs="Batang"/>
          <w:b/>
          <w:lang w:val="en-GB" w:eastAsia="ko-KR"/>
        </w:rPr>
      </w:pPr>
      <w:r>
        <w:rPr>
          <w:rFonts w:ascii="Calibri" w:eastAsia="Malgun Gothic" w:hAnsi="Calibri" w:cs="Batang"/>
          <w:b/>
          <w:lang w:val="en-GB" w:eastAsia="ko-KR"/>
        </w:rPr>
        <w:t xml:space="preserve">Proposal </w:t>
      </w:r>
      <w:r>
        <w:rPr>
          <w:rFonts w:ascii="Calibri" w:eastAsia="Malgun Gothic" w:hAnsi="Calibri" w:cs="Batang"/>
          <w:b/>
          <w:lang w:val="en-GB" w:eastAsia="ko-KR"/>
        </w:rPr>
        <w:t>2</w:t>
      </w:r>
      <w:r w:rsidRPr="004131D6">
        <w:rPr>
          <w:rFonts w:ascii="Calibri" w:eastAsia="Malgun Gothic" w:hAnsi="Calibri" w:cs="Batang"/>
          <w:b/>
          <w:lang w:val="en-GB" w:eastAsia="ko-KR"/>
        </w:rPr>
        <w:t xml:space="preserve">: </w:t>
      </w:r>
      <w:r>
        <w:rPr>
          <w:rFonts w:ascii="Calibri" w:eastAsia="Malgun Gothic" w:hAnsi="Calibri" w:cs="Batang"/>
          <w:b/>
          <w:lang w:val="en-GB" w:eastAsia="ko-KR"/>
        </w:rPr>
        <w:t xml:space="preserve">RAN2 should </w:t>
      </w:r>
      <w:r>
        <w:rPr>
          <w:rFonts w:ascii="Calibri" w:eastAsia="Malgun Gothic" w:hAnsi="Calibri" w:cs="Batang"/>
          <w:b/>
          <w:lang w:val="en-GB" w:eastAsia="ko-KR"/>
        </w:rPr>
        <w:t>send a LS to RAN1 seeking feedback on the potential impact of restrictions on resource multiplexing required for different candidate Rel-17 topology adaptation solutions/enhancements.</w:t>
      </w:r>
    </w:p>
    <w:p w14:paraId="4C2C0DBA" w14:textId="77777777" w:rsidR="007D1952" w:rsidRPr="00170781" w:rsidRDefault="007D1952" w:rsidP="007D1952">
      <w:pPr>
        <w:spacing w:line="276" w:lineRule="auto"/>
        <w:rPr>
          <w:rFonts w:ascii="Calibri" w:eastAsia="Malgun Gothic" w:hAnsi="Calibri" w:cs="Batang"/>
          <w:bCs/>
          <w:lang w:val="en-GB" w:eastAsia="ko-KR"/>
        </w:rPr>
      </w:pPr>
    </w:p>
    <w:p w14:paraId="1CB886AE" w14:textId="77777777" w:rsidR="004A7002" w:rsidRDefault="004A7002" w:rsidP="004A7002">
      <w:pPr>
        <w:pStyle w:val="Heading1"/>
        <w:keepLines/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>Conclusion</w:t>
      </w:r>
    </w:p>
    <w:p w14:paraId="0CFE98AB" w14:textId="210FDFEB" w:rsidR="00D624C1" w:rsidRPr="00D624C1" w:rsidRDefault="004A7002" w:rsidP="00D624C1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This contribution discussed requirements and solutions for </w:t>
      </w:r>
      <w:r w:rsidR="00BD2886">
        <w:rPr>
          <w:rFonts w:ascii="Calibri" w:hAnsi="Calibri"/>
        </w:rPr>
        <w:t xml:space="preserve">IAB </w:t>
      </w:r>
      <w:r w:rsidR="007D1952">
        <w:rPr>
          <w:rFonts w:ascii="Calibri" w:hAnsi="Calibri"/>
        </w:rPr>
        <w:t>topology adaptation</w:t>
      </w:r>
      <w:r>
        <w:rPr>
          <w:rFonts w:ascii="Calibri" w:hAnsi="Calibri"/>
        </w:rPr>
        <w:t xml:space="preserve">. </w:t>
      </w:r>
      <w:r w:rsidR="00BB02D4">
        <w:rPr>
          <w:rFonts w:ascii="Calibri" w:hAnsi="Calibri"/>
        </w:rPr>
        <w:t>The following proposal</w:t>
      </w:r>
      <w:r w:rsidR="00D624C1">
        <w:rPr>
          <w:rFonts w:ascii="Calibri" w:hAnsi="Calibri"/>
        </w:rPr>
        <w:t>s</w:t>
      </w:r>
      <w:r w:rsidR="00BB02D4">
        <w:rPr>
          <w:rFonts w:ascii="Calibri" w:hAnsi="Calibri"/>
        </w:rPr>
        <w:t xml:space="preserve"> w</w:t>
      </w:r>
      <w:r w:rsidR="00D624C1">
        <w:rPr>
          <w:rFonts w:ascii="Calibri" w:hAnsi="Calibri"/>
        </w:rPr>
        <w:t>ere</w:t>
      </w:r>
      <w:r w:rsidR="00BB02D4">
        <w:rPr>
          <w:rFonts w:ascii="Calibri" w:hAnsi="Calibri"/>
        </w:rPr>
        <w:t xml:space="preserve"> made:</w:t>
      </w:r>
      <w:r>
        <w:rPr>
          <w:rFonts w:ascii="Calibri" w:hAnsi="Calibri"/>
        </w:rPr>
        <w:t xml:space="preserve"> </w:t>
      </w:r>
    </w:p>
    <w:p w14:paraId="492BA1FB" w14:textId="14A65EC3" w:rsidR="007D1952" w:rsidRDefault="007D1952" w:rsidP="007D1952">
      <w:pPr>
        <w:rPr>
          <w:rFonts w:ascii="Calibri" w:eastAsia="Malgun Gothic" w:hAnsi="Calibri" w:cs="Batang"/>
          <w:b/>
          <w:lang w:val="en-GB" w:eastAsia="ko-KR"/>
        </w:rPr>
      </w:pPr>
      <w:r>
        <w:rPr>
          <w:rFonts w:ascii="Calibri" w:eastAsia="Malgun Gothic" w:hAnsi="Calibri" w:cs="Batang"/>
          <w:b/>
          <w:lang w:val="en-GB" w:eastAsia="ko-KR"/>
        </w:rPr>
        <w:t>Proposal 1</w:t>
      </w:r>
      <w:r w:rsidRPr="004131D6">
        <w:rPr>
          <w:rFonts w:ascii="Calibri" w:eastAsia="Malgun Gothic" w:hAnsi="Calibri" w:cs="Batang"/>
          <w:b/>
          <w:lang w:val="en-GB" w:eastAsia="ko-KR"/>
        </w:rPr>
        <w:t xml:space="preserve">: </w:t>
      </w:r>
      <w:r>
        <w:rPr>
          <w:rFonts w:ascii="Calibri" w:eastAsia="Malgun Gothic" w:hAnsi="Calibri" w:cs="Batang"/>
          <w:b/>
          <w:lang w:val="en-GB" w:eastAsia="ko-KR"/>
        </w:rPr>
        <w:t>RAN2 should prioritize topology adaptation solutions and enhancements which support multiple use cases and deployment scenarios.</w:t>
      </w:r>
    </w:p>
    <w:p w14:paraId="604FE8DA" w14:textId="77777777" w:rsidR="007D1952" w:rsidRDefault="007D1952" w:rsidP="007D1952">
      <w:pPr>
        <w:rPr>
          <w:rFonts w:ascii="Calibri" w:eastAsia="Malgun Gothic" w:hAnsi="Calibri" w:cs="Batang"/>
          <w:b/>
          <w:lang w:val="en-GB" w:eastAsia="ko-KR"/>
        </w:rPr>
      </w:pPr>
      <w:r>
        <w:rPr>
          <w:rFonts w:ascii="Calibri" w:eastAsia="Malgun Gothic" w:hAnsi="Calibri" w:cs="Batang"/>
          <w:b/>
          <w:lang w:val="en-GB" w:eastAsia="ko-KR"/>
        </w:rPr>
        <w:t>Proposal 2</w:t>
      </w:r>
      <w:r w:rsidRPr="004131D6">
        <w:rPr>
          <w:rFonts w:ascii="Calibri" w:eastAsia="Malgun Gothic" w:hAnsi="Calibri" w:cs="Batang"/>
          <w:b/>
          <w:lang w:val="en-GB" w:eastAsia="ko-KR"/>
        </w:rPr>
        <w:t xml:space="preserve">: </w:t>
      </w:r>
      <w:r>
        <w:rPr>
          <w:rFonts w:ascii="Calibri" w:eastAsia="Malgun Gothic" w:hAnsi="Calibri" w:cs="Batang"/>
          <w:b/>
          <w:lang w:val="en-GB" w:eastAsia="ko-KR"/>
        </w:rPr>
        <w:t>RAN2 should send a LS to RAN1 seeking feedback on the potential impact of restrictions on resource multiplexing required for different candidate Rel-17 topology adaptation solutions/enhancements.</w:t>
      </w:r>
    </w:p>
    <w:p w14:paraId="4D8E1F34" w14:textId="77777777" w:rsidR="007D1952" w:rsidRDefault="007D1952" w:rsidP="007D1952">
      <w:pPr>
        <w:rPr>
          <w:rFonts w:ascii="Calibri" w:eastAsia="Malgun Gothic" w:hAnsi="Calibri" w:cs="Batang"/>
          <w:b/>
          <w:lang w:val="en-GB" w:eastAsia="ko-KR"/>
        </w:rPr>
      </w:pPr>
    </w:p>
    <w:p w14:paraId="3CFA9471" w14:textId="256634A9" w:rsidR="004A7002" w:rsidRPr="006B13A0" w:rsidRDefault="004A7002" w:rsidP="004A7002">
      <w:pPr>
        <w:pStyle w:val="Heading1"/>
        <w:keepLines/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>Reference</w:t>
      </w:r>
      <w:r w:rsidR="00D624C1">
        <w:t>s</w:t>
      </w:r>
    </w:p>
    <w:p w14:paraId="741D7C07" w14:textId="323C0014" w:rsidR="004A7002" w:rsidRDefault="004131D6" w:rsidP="004131D6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[1] </w:t>
      </w:r>
      <w:r w:rsidR="004A7002">
        <w:rPr>
          <w:rFonts w:cs="Times New Roman"/>
          <w:lang w:eastAsia="ko-KR"/>
        </w:rPr>
        <w:t>RP-</w:t>
      </w:r>
      <w:r w:rsidR="00AF2F00">
        <w:rPr>
          <w:rFonts w:cs="Times New Roman"/>
          <w:lang w:eastAsia="ko-KR"/>
        </w:rPr>
        <w:t>201293 New</w:t>
      </w:r>
      <w:r w:rsidRPr="004131D6">
        <w:rPr>
          <w:rFonts w:cs="Times New Roman"/>
          <w:lang w:eastAsia="ko-KR"/>
        </w:rPr>
        <w:t xml:space="preserve"> WID</w:t>
      </w:r>
      <w:r w:rsidR="00AF2F00">
        <w:rPr>
          <w:rFonts w:cs="Times New Roman"/>
          <w:lang w:eastAsia="ko-KR"/>
        </w:rPr>
        <w:t xml:space="preserve"> on Enhancements to</w:t>
      </w:r>
      <w:r w:rsidRPr="004131D6">
        <w:rPr>
          <w:rFonts w:cs="Times New Roman"/>
          <w:lang w:eastAsia="ko-KR"/>
        </w:rPr>
        <w:t xml:space="preserve"> Integrated Access and Backhau</w:t>
      </w:r>
      <w:r w:rsidR="00AF2F00">
        <w:rPr>
          <w:rFonts w:cs="Times New Roman"/>
          <w:lang w:eastAsia="ko-KR"/>
        </w:rPr>
        <w:t>l</w:t>
      </w:r>
      <w:r>
        <w:rPr>
          <w:rFonts w:cs="Times New Roman"/>
          <w:lang w:eastAsia="ko-KR"/>
        </w:rPr>
        <w:t>, Qualcomm</w:t>
      </w:r>
    </w:p>
    <w:p w14:paraId="2A2C159A" w14:textId="57AF5620" w:rsidR="00FE6C15" w:rsidRDefault="00BB6E66" w:rsidP="00BD2886">
      <w:pPr>
        <w:pStyle w:val="2222"/>
        <w:spacing w:after="120" w:line="288" w:lineRule="auto"/>
        <w:ind w:firstLineChars="0" w:firstLine="0"/>
        <w:jc w:val="left"/>
        <w:rPr>
          <w:rFonts w:cs="Arial"/>
        </w:rPr>
      </w:pPr>
      <w:r>
        <w:rPr>
          <w:rFonts w:cs="Times New Roman"/>
          <w:lang w:eastAsia="ko-KR"/>
        </w:rPr>
        <w:t xml:space="preserve">[2] TR 38.874 1.0.0, </w:t>
      </w:r>
      <w:r>
        <w:rPr>
          <w:rFonts w:cs="Arial"/>
        </w:rPr>
        <w:t>Study on Integrated Access and Backhaul</w:t>
      </w:r>
    </w:p>
    <w:sectPr w:rsidR="00FE6C15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F27069" w14:textId="77777777" w:rsidR="00BF2B6A" w:rsidRDefault="00BF2B6A" w:rsidP="00424124">
      <w:pPr>
        <w:spacing w:before="0" w:after="0"/>
      </w:pPr>
      <w:r>
        <w:separator/>
      </w:r>
    </w:p>
  </w:endnote>
  <w:endnote w:type="continuationSeparator" w:id="0">
    <w:p w14:paraId="401C5B80" w14:textId="77777777" w:rsidR="00BF2B6A" w:rsidRDefault="00BF2B6A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B095F1" w14:textId="77777777" w:rsidR="00BF2B6A" w:rsidRDefault="00BF2B6A" w:rsidP="00424124">
      <w:pPr>
        <w:spacing w:before="0" w:after="0"/>
      </w:pPr>
      <w:r>
        <w:separator/>
      </w:r>
    </w:p>
  </w:footnote>
  <w:footnote w:type="continuationSeparator" w:id="0">
    <w:p w14:paraId="0266BAD3" w14:textId="77777777" w:rsidR="00BF2B6A" w:rsidRDefault="00BF2B6A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23A96"/>
    <w:multiLevelType w:val="hybridMultilevel"/>
    <w:tmpl w:val="81307AE6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3" w15:restartNumberingAfterBreak="0">
    <w:nsid w:val="08DB63DD"/>
    <w:multiLevelType w:val="hybridMultilevel"/>
    <w:tmpl w:val="CB3A0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C5DF1"/>
    <w:multiLevelType w:val="hybridMultilevel"/>
    <w:tmpl w:val="6DB884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554FFD"/>
    <w:multiLevelType w:val="hybridMultilevel"/>
    <w:tmpl w:val="DFAC5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03957"/>
    <w:multiLevelType w:val="hybridMultilevel"/>
    <w:tmpl w:val="12081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406853"/>
    <w:multiLevelType w:val="hybridMultilevel"/>
    <w:tmpl w:val="2710E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881470"/>
    <w:multiLevelType w:val="hybridMultilevel"/>
    <w:tmpl w:val="908E0520"/>
    <w:lvl w:ilvl="0" w:tplc="893C6BF8">
      <w:start w:val="55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61430757"/>
    <w:multiLevelType w:val="hybridMultilevel"/>
    <w:tmpl w:val="2AA8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F85588"/>
    <w:multiLevelType w:val="hybridMultilevel"/>
    <w:tmpl w:val="225CA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02259"/>
    <w:multiLevelType w:val="hybridMultilevel"/>
    <w:tmpl w:val="C8726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440A"/>
    <w:multiLevelType w:val="hybridMultilevel"/>
    <w:tmpl w:val="0BBEE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5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6"/>
  </w:num>
  <w:num w:numId="8">
    <w:abstractNumId w:val="13"/>
  </w:num>
  <w:num w:numId="9">
    <w:abstractNumId w:val="2"/>
  </w:num>
  <w:num w:numId="10">
    <w:abstractNumId w:val="3"/>
  </w:num>
  <w:num w:numId="11">
    <w:abstractNumId w:val="16"/>
  </w:num>
  <w:num w:numId="12">
    <w:abstractNumId w:val="9"/>
  </w:num>
  <w:num w:numId="13">
    <w:abstractNumId w:val="10"/>
  </w:num>
  <w:num w:numId="14">
    <w:abstractNumId w:val="21"/>
  </w:num>
  <w:num w:numId="15">
    <w:abstractNumId w:val="1"/>
  </w:num>
  <w:num w:numId="16">
    <w:abstractNumId w:val="19"/>
  </w:num>
  <w:num w:numId="17">
    <w:abstractNumId w:val="14"/>
  </w:num>
  <w:num w:numId="18">
    <w:abstractNumId w:val="11"/>
  </w:num>
  <w:num w:numId="19">
    <w:abstractNumId w:val="5"/>
  </w:num>
  <w:num w:numId="20">
    <w:abstractNumId w:val="20"/>
  </w:num>
  <w:num w:numId="21">
    <w:abstractNumId w:val="8"/>
  </w:num>
  <w:num w:numId="22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49CA"/>
    <w:rsid w:val="000052FF"/>
    <w:rsid w:val="00005D82"/>
    <w:rsid w:val="0001485D"/>
    <w:rsid w:val="000149EC"/>
    <w:rsid w:val="00020F1A"/>
    <w:rsid w:val="00032D47"/>
    <w:rsid w:val="000337FC"/>
    <w:rsid w:val="00042177"/>
    <w:rsid w:val="000440EF"/>
    <w:rsid w:val="00044947"/>
    <w:rsid w:val="000463E4"/>
    <w:rsid w:val="00051B4B"/>
    <w:rsid w:val="00051EBB"/>
    <w:rsid w:val="0005289E"/>
    <w:rsid w:val="000550BC"/>
    <w:rsid w:val="00057E9B"/>
    <w:rsid w:val="000643FA"/>
    <w:rsid w:val="00070728"/>
    <w:rsid w:val="000730C9"/>
    <w:rsid w:val="0007575F"/>
    <w:rsid w:val="00075B2C"/>
    <w:rsid w:val="00075FD1"/>
    <w:rsid w:val="00077712"/>
    <w:rsid w:val="00082D3A"/>
    <w:rsid w:val="00085800"/>
    <w:rsid w:val="000865E3"/>
    <w:rsid w:val="000917C5"/>
    <w:rsid w:val="00092E30"/>
    <w:rsid w:val="00097DC6"/>
    <w:rsid w:val="000A36A9"/>
    <w:rsid w:val="000B0720"/>
    <w:rsid w:val="000B1B73"/>
    <w:rsid w:val="000B58AF"/>
    <w:rsid w:val="000B6D99"/>
    <w:rsid w:val="000C05C0"/>
    <w:rsid w:val="000C21D0"/>
    <w:rsid w:val="000C57B9"/>
    <w:rsid w:val="000D38DC"/>
    <w:rsid w:val="000E2283"/>
    <w:rsid w:val="000E29D8"/>
    <w:rsid w:val="000F259D"/>
    <w:rsid w:val="000F6CCA"/>
    <w:rsid w:val="0010303E"/>
    <w:rsid w:val="0011327D"/>
    <w:rsid w:val="0011588C"/>
    <w:rsid w:val="00116DA6"/>
    <w:rsid w:val="001279BC"/>
    <w:rsid w:val="00131029"/>
    <w:rsid w:val="00137E15"/>
    <w:rsid w:val="001417A8"/>
    <w:rsid w:val="00145C4F"/>
    <w:rsid w:val="00153793"/>
    <w:rsid w:val="00164A98"/>
    <w:rsid w:val="00170781"/>
    <w:rsid w:val="00172743"/>
    <w:rsid w:val="00175301"/>
    <w:rsid w:val="00182657"/>
    <w:rsid w:val="001A2D03"/>
    <w:rsid w:val="001A5A68"/>
    <w:rsid w:val="001A6212"/>
    <w:rsid w:val="001A75E0"/>
    <w:rsid w:val="001B7305"/>
    <w:rsid w:val="001B731B"/>
    <w:rsid w:val="001C4ACE"/>
    <w:rsid w:val="001C699C"/>
    <w:rsid w:val="001E02F3"/>
    <w:rsid w:val="001E0CE1"/>
    <w:rsid w:val="001E58CC"/>
    <w:rsid w:val="001F02DD"/>
    <w:rsid w:val="001F2A01"/>
    <w:rsid w:val="001F59ED"/>
    <w:rsid w:val="00200FAB"/>
    <w:rsid w:val="002013B3"/>
    <w:rsid w:val="00201870"/>
    <w:rsid w:val="00211D37"/>
    <w:rsid w:val="00212204"/>
    <w:rsid w:val="0021262A"/>
    <w:rsid w:val="00216763"/>
    <w:rsid w:val="00222269"/>
    <w:rsid w:val="00222811"/>
    <w:rsid w:val="00222D3A"/>
    <w:rsid w:val="00225464"/>
    <w:rsid w:val="00233D70"/>
    <w:rsid w:val="00234AF1"/>
    <w:rsid w:val="00235373"/>
    <w:rsid w:val="00240145"/>
    <w:rsid w:val="00240506"/>
    <w:rsid w:val="00242080"/>
    <w:rsid w:val="00246D61"/>
    <w:rsid w:val="0024786A"/>
    <w:rsid w:val="0025058B"/>
    <w:rsid w:val="00262116"/>
    <w:rsid w:val="002641FE"/>
    <w:rsid w:val="00265254"/>
    <w:rsid w:val="00267362"/>
    <w:rsid w:val="002725E8"/>
    <w:rsid w:val="00272EC2"/>
    <w:rsid w:val="00273B2A"/>
    <w:rsid w:val="00274677"/>
    <w:rsid w:val="00276785"/>
    <w:rsid w:val="00277973"/>
    <w:rsid w:val="00287D4D"/>
    <w:rsid w:val="0029112F"/>
    <w:rsid w:val="0029147A"/>
    <w:rsid w:val="00297225"/>
    <w:rsid w:val="002A005E"/>
    <w:rsid w:val="002A0270"/>
    <w:rsid w:val="002A66E2"/>
    <w:rsid w:val="002B2664"/>
    <w:rsid w:val="002B6E52"/>
    <w:rsid w:val="002C0488"/>
    <w:rsid w:val="002C4097"/>
    <w:rsid w:val="002C594E"/>
    <w:rsid w:val="002D3D42"/>
    <w:rsid w:val="002D479B"/>
    <w:rsid w:val="002D6EC9"/>
    <w:rsid w:val="002D787B"/>
    <w:rsid w:val="002E188B"/>
    <w:rsid w:val="002E65B5"/>
    <w:rsid w:val="002F05F3"/>
    <w:rsid w:val="002F2F26"/>
    <w:rsid w:val="002F4C25"/>
    <w:rsid w:val="003141F5"/>
    <w:rsid w:val="00315DC4"/>
    <w:rsid w:val="00317020"/>
    <w:rsid w:val="00320B4D"/>
    <w:rsid w:val="00326FF6"/>
    <w:rsid w:val="00327A22"/>
    <w:rsid w:val="00332BB8"/>
    <w:rsid w:val="0033513A"/>
    <w:rsid w:val="00342130"/>
    <w:rsid w:val="00346605"/>
    <w:rsid w:val="00347824"/>
    <w:rsid w:val="00351A03"/>
    <w:rsid w:val="0035318F"/>
    <w:rsid w:val="00354C01"/>
    <w:rsid w:val="0036306A"/>
    <w:rsid w:val="00365A78"/>
    <w:rsid w:val="003727DB"/>
    <w:rsid w:val="003822CC"/>
    <w:rsid w:val="00385177"/>
    <w:rsid w:val="00385F27"/>
    <w:rsid w:val="00386642"/>
    <w:rsid w:val="00386CF0"/>
    <w:rsid w:val="00392176"/>
    <w:rsid w:val="003921D6"/>
    <w:rsid w:val="00396F9F"/>
    <w:rsid w:val="003A0594"/>
    <w:rsid w:val="003A298A"/>
    <w:rsid w:val="003A553B"/>
    <w:rsid w:val="003A566A"/>
    <w:rsid w:val="003B1EC9"/>
    <w:rsid w:val="003B5456"/>
    <w:rsid w:val="003C2392"/>
    <w:rsid w:val="003C2E75"/>
    <w:rsid w:val="003E1304"/>
    <w:rsid w:val="003E35D4"/>
    <w:rsid w:val="003E7121"/>
    <w:rsid w:val="003F0731"/>
    <w:rsid w:val="003F33B4"/>
    <w:rsid w:val="004011AC"/>
    <w:rsid w:val="00405F6D"/>
    <w:rsid w:val="00411BB1"/>
    <w:rsid w:val="004131D6"/>
    <w:rsid w:val="00417F07"/>
    <w:rsid w:val="00424124"/>
    <w:rsid w:val="00434212"/>
    <w:rsid w:val="00440F6E"/>
    <w:rsid w:val="00443645"/>
    <w:rsid w:val="00443CD6"/>
    <w:rsid w:val="004552C9"/>
    <w:rsid w:val="0045674C"/>
    <w:rsid w:val="004607AC"/>
    <w:rsid w:val="0046127E"/>
    <w:rsid w:val="00466E46"/>
    <w:rsid w:val="004678E1"/>
    <w:rsid w:val="004709B7"/>
    <w:rsid w:val="00473281"/>
    <w:rsid w:val="00473B68"/>
    <w:rsid w:val="00481A47"/>
    <w:rsid w:val="0048301B"/>
    <w:rsid w:val="00494D73"/>
    <w:rsid w:val="004A5ABE"/>
    <w:rsid w:val="004A6424"/>
    <w:rsid w:val="004A69D0"/>
    <w:rsid w:val="004A6A82"/>
    <w:rsid w:val="004A7002"/>
    <w:rsid w:val="004B6AA8"/>
    <w:rsid w:val="004B6E00"/>
    <w:rsid w:val="004C130E"/>
    <w:rsid w:val="004C186B"/>
    <w:rsid w:val="004C38DD"/>
    <w:rsid w:val="004C3F2E"/>
    <w:rsid w:val="004C4856"/>
    <w:rsid w:val="004C6DC3"/>
    <w:rsid w:val="004C6ED8"/>
    <w:rsid w:val="004C7784"/>
    <w:rsid w:val="004D453B"/>
    <w:rsid w:val="004D780D"/>
    <w:rsid w:val="004D7CF8"/>
    <w:rsid w:val="004E16A5"/>
    <w:rsid w:val="004E6BC0"/>
    <w:rsid w:val="004E6D3B"/>
    <w:rsid w:val="005007E9"/>
    <w:rsid w:val="00504C05"/>
    <w:rsid w:val="00504E5F"/>
    <w:rsid w:val="005055A6"/>
    <w:rsid w:val="00507060"/>
    <w:rsid w:val="0051179B"/>
    <w:rsid w:val="00512838"/>
    <w:rsid w:val="005131F9"/>
    <w:rsid w:val="0051424F"/>
    <w:rsid w:val="00523623"/>
    <w:rsid w:val="005300F0"/>
    <w:rsid w:val="005363F5"/>
    <w:rsid w:val="00541819"/>
    <w:rsid w:val="0054560C"/>
    <w:rsid w:val="00545FD3"/>
    <w:rsid w:val="0055464C"/>
    <w:rsid w:val="00561A8A"/>
    <w:rsid w:val="0056238B"/>
    <w:rsid w:val="00565BDB"/>
    <w:rsid w:val="005666A4"/>
    <w:rsid w:val="0057145F"/>
    <w:rsid w:val="00575859"/>
    <w:rsid w:val="005758E7"/>
    <w:rsid w:val="005778C8"/>
    <w:rsid w:val="0058120D"/>
    <w:rsid w:val="00591190"/>
    <w:rsid w:val="005A18B4"/>
    <w:rsid w:val="005A60B4"/>
    <w:rsid w:val="005B47BD"/>
    <w:rsid w:val="005B69C2"/>
    <w:rsid w:val="005B6FA6"/>
    <w:rsid w:val="005D2C51"/>
    <w:rsid w:val="005F21BF"/>
    <w:rsid w:val="005F613D"/>
    <w:rsid w:val="005F705D"/>
    <w:rsid w:val="00600F57"/>
    <w:rsid w:val="00603015"/>
    <w:rsid w:val="0060603E"/>
    <w:rsid w:val="006312AA"/>
    <w:rsid w:val="00632789"/>
    <w:rsid w:val="00633934"/>
    <w:rsid w:val="00634707"/>
    <w:rsid w:val="00636F9E"/>
    <w:rsid w:val="006439F2"/>
    <w:rsid w:val="00644034"/>
    <w:rsid w:val="006477B7"/>
    <w:rsid w:val="00652AC8"/>
    <w:rsid w:val="0065437E"/>
    <w:rsid w:val="00654510"/>
    <w:rsid w:val="00654588"/>
    <w:rsid w:val="0066157D"/>
    <w:rsid w:val="00665936"/>
    <w:rsid w:val="006703A8"/>
    <w:rsid w:val="0067125A"/>
    <w:rsid w:val="00671E30"/>
    <w:rsid w:val="006756FB"/>
    <w:rsid w:val="00677BD0"/>
    <w:rsid w:val="00685B82"/>
    <w:rsid w:val="00685E11"/>
    <w:rsid w:val="0069705B"/>
    <w:rsid w:val="006A04B2"/>
    <w:rsid w:val="006A0EDC"/>
    <w:rsid w:val="006A18DB"/>
    <w:rsid w:val="006A2D2E"/>
    <w:rsid w:val="006B67B9"/>
    <w:rsid w:val="006B7B96"/>
    <w:rsid w:val="006C0BAC"/>
    <w:rsid w:val="006C452E"/>
    <w:rsid w:val="006C7692"/>
    <w:rsid w:val="006D2F17"/>
    <w:rsid w:val="006D6ABC"/>
    <w:rsid w:val="006E790B"/>
    <w:rsid w:val="006F055C"/>
    <w:rsid w:val="006F52D9"/>
    <w:rsid w:val="00702C40"/>
    <w:rsid w:val="00707438"/>
    <w:rsid w:val="00707D20"/>
    <w:rsid w:val="00710F58"/>
    <w:rsid w:val="00713175"/>
    <w:rsid w:val="00713382"/>
    <w:rsid w:val="00714B77"/>
    <w:rsid w:val="00714CA5"/>
    <w:rsid w:val="00715D4B"/>
    <w:rsid w:val="00721AD7"/>
    <w:rsid w:val="007225EF"/>
    <w:rsid w:val="00722BA6"/>
    <w:rsid w:val="00723DC5"/>
    <w:rsid w:val="00726B84"/>
    <w:rsid w:val="00727595"/>
    <w:rsid w:val="00727952"/>
    <w:rsid w:val="007316AF"/>
    <w:rsid w:val="007338D6"/>
    <w:rsid w:val="00740B36"/>
    <w:rsid w:val="00745452"/>
    <w:rsid w:val="00747A6F"/>
    <w:rsid w:val="0075622F"/>
    <w:rsid w:val="0076067D"/>
    <w:rsid w:val="0077119F"/>
    <w:rsid w:val="00782CDC"/>
    <w:rsid w:val="007839F9"/>
    <w:rsid w:val="00784132"/>
    <w:rsid w:val="00786229"/>
    <w:rsid w:val="0078708D"/>
    <w:rsid w:val="00787145"/>
    <w:rsid w:val="00791D57"/>
    <w:rsid w:val="007A2765"/>
    <w:rsid w:val="007A3734"/>
    <w:rsid w:val="007B13E5"/>
    <w:rsid w:val="007B2F6B"/>
    <w:rsid w:val="007B473A"/>
    <w:rsid w:val="007C4B85"/>
    <w:rsid w:val="007D0BB2"/>
    <w:rsid w:val="007D1952"/>
    <w:rsid w:val="007D2C48"/>
    <w:rsid w:val="007E52F3"/>
    <w:rsid w:val="007E546F"/>
    <w:rsid w:val="007F0AF3"/>
    <w:rsid w:val="007F1928"/>
    <w:rsid w:val="007F392E"/>
    <w:rsid w:val="00800F70"/>
    <w:rsid w:val="00811A1B"/>
    <w:rsid w:val="00814815"/>
    <w:rsid w:val="00824DED"/>
    <w:rsid w:val="00826E5A"/>
    <w:rsid w:val="0083713D"/>
    <w:rsid w:val="008437B2"/>
    <w:rsid w:val="00843F1C"/>
    <w:rsid w:val="00850DCE"/>
    <w:rsid w:val="00853591"/>
    <w:rsid w:val="00854FBB"/>
    <w:rsid w:val="0086373E"/>
    <w:rsid w:val="008661BA"/>
    <w:rsid w:val="008671A6"/>
    <w:rsid w:val="00871024"/>
    <w:rsid w:val="0087144B"/>
    <w:rsid w:val="00871CA8"/>
    <w:rsid w:val="00872D80"/>
    <w:rsid w:val="00872E80"/>
    <w:rsid w:val="008747AA"/>
    <w:rsid w:val="00885004"/>
    <w:rsid w:val="00886940"/>
    <w:rsid w:val="00886B7B"/>
    <w:rsid w:val="00887AB4"/>
    <w:rsid w:val="00894290"/>
    <w:rsid w:val="008A25A1"/>
    <w:rsid w:val="008A6FC8"/>
    <w:rsid w:val="008B39B6"/>
    <w:rsid w:val="008C1AFD"/>
    <w:rsid w:val="008C4B67"/>
    <w:rsid w:val="008D1AEF"/>
    <w:rsid w:val="008E48C2"/>
    <w:rsid w:val="008F0D8C"/>
    <w:rsid w:val="008F1BD1"/>
    <w:rsid w:val="008F2160"/>
    <w:rsid w:val="00901B67"/>
    <w:rsid w:val="00905E86"/>
    <w:rsid w:val="009124E4"/>
    <w:rsid w:val="00917D0F"/>
    <w:rsid w:val="00924EA9"/>
    <w:rsid w:val="00925FA2"/>
    <w:rsid w:val="00926A9C"/>
    <w:rsid w:val="00927803"/>
    <w:rsid w:val="00933AFB"/>
    <w:rsid w:val="00940101"/>
    <w:rsid w:val="00940DAB"/>
    <w:rsid w:val="009453B3"/>
    <w:rsid w:val="009550DA"/>
    <w:rsid w:val="00957CD1"/>
    <w:rsid w:val="00961DB2"/>
    <w:rsid w:val="0097292F"/>
    <w:rsid w:val="009741D9"/>
    <w:rsid w:val="009750CC"/>
    <w:rsid w:val="00980746"/>
    <w:rsid w:val="00982CA4"/>
    <w:rsid w:val="00984235"/>
    <w:rsid w:val="00992432"/>
    <w:rsid w:val="00993D92"/>
    <w:rsid w:val="00993E67"/>
    <w:rsid w:val="00997E4E"/>
    <w:rsid w:val="009A4D63"/>
    <w:rsid w:val="009A54FC"/>
    <w:rsid w:val="009B08C5"/>
    <w:rsid w:val="009B52C0"/>
    <w:rsid w:val="009B75E8"/>
    <w:rsid w:val="009C2167"/>
    <w:rsid w:val="009D46C1"/>
    <w:rsid w:val="009E0D02"/>
    <w:rsid w:val="009E4418"/>
    <w:rsid w:val="009E5838"/>
    <w:rsid w:val="009F4EF4"/>
    <w:rsid w:val="009F667C"/>
    <w:rsid w:val="00A0235E"/>
    <w:rsid w:val="00A04526"/>
    <w:rsid w:val="00A074B7"/>
    <w:rsid w:val="00A11704"/>
    <w:rsid w:val="00A11840"/>
    <w:rsid w:val="00A14282"/>
    <w:rsid w:val="00A21D13"/>
    <w:rsid w:val="00A22671"/>
    <w:rsid w:val="00A22C61"/>
    <w:rsid w:val="00A262E4"/>
    <w:rsid w:val="00A26EC3"/>
    <w:rsid w:val="00A300E0"/>
    <w:rsid w:val="00A34F57"/>
    <w:rsid w:val="00A359C7"/>
    <w:rsid w:val="00A41CF3"/>
    <w:rsid w:val="00A456B1"/>
    <w:rsid w:val="00A4674D"/>
    <w:rsid w:val="00A547CE"/>
    <w:rsid w:val="00A55FF3"/>
    <w:rsid w:val="00A603CE"/>
    <w:rsid w:val="00A605F1"/>
    <w:rsid w:val="00A62B28"/>
    <w:rsid w:val="00A64CF7"/>
    <w:rsid w:val="00A72B33"/>
    <w:rsid w:val="00A73122"/>
    <w:rsid w:val="00A821EA"/>
    <w:rsid w:val="00A8721E"/>
    <w:rsid w:val="00A92495"/>
    <w:rsid w:val="00AA3BE3"/>
    <w:rsid w:val="00AA5160"/>
    <w:rsid w:val="00AA5899"/>
    <w:rsid w:val="00AB0589"/>
    <w:rsid w:val="00AB723F"/>
    <w:rsid w:val="00AB75A3"/>
    <w:rsid w:val="00AB7FC6"/>
    <w:rsid w:val="00AC05AE"/>
    <w:rsid w:val="00AD115D"/>
    <w:rsid w:val="00AD16AE"/>
    <w:rsid w:val="00AD6C53"/>
    <w:rsid w:val="00AD7BCD"/>
    <w:rsid w:val="00AE72F4"/>
    <w:rsid w:val="00AF0A4B"/>
    <w:rsid w:val="00AF2F00"/>
    <w:rsid w:val="00AF4BBC"/>
    <w:rsid w:val="00AF5875"/>
    <w:rsid w:val="00AF65DE"/>
    <w:rsid w:val="00B029FE"/>
    <w:rsid w:val="00B04278"/>
    <w:rsid w:val="00B12672"/>
    <w:rsid w:val="00B2434D"/>
    <w:rsid w:val="00B24D29"/>
    <w:rsid w:val="00B32216"/>
    <w:rsid w:val="00B34716"/>
    <w:rsid w:val="00B3707E"/>
    <w:rsid w:val="00B40DE1"/>
    <w:rsid w:val="00B55FA2"/>
    <w:rsid w:val="00B61A13"/>
    <w:rsid w:val="00B6232D"/>
    <w:rsid w:val="00B63DB8"/>
    <w:rsid w:val="00B648CA"/>
    <w:rsid w:val="00B6614F"/>
    <w:rsid w:val="00B74894"/>
    <w:rsid w:val="00B749FB"/>
    <w:rsid w:val="00B75FF7"/>
    <w:rsid w:val="00B82B83"/>
    <w:rsid w:val="00B831C8"/>
    <w:rsid w:val="00B909F7"/>
    <w:rsid w:val="00B94DF8"/>
    <w:rsid w:val="00B96A24"/>
    <w:rsid w:val="00BA677D"/>
    <w:rsid w:val="00BA6FDB"/>
    <w:rsid w:val="00BB02D4"/>
    <w:rsid w:val="00BB02ED"/>
    <w:rsid w:val="00BB3CBF"/>
    <w:rsid w:val="00BB5132"/>
    <w:rsid w:val="00BB6E66"/>
    <w:rsid w:val="00BC31F9"/>
    <w:rsid w:val="00BC6F83"/>
    <w:rsid w:val="00BC704C"/>
    <w:rsid w:val="00BD15E1"/>
    <w:rsid w:val="00BD2886"/>
    <w:rsid w:val="00BD34B4"/>
    <w:rsid w:val="00BD43CB"/>
    <w:rsid w:val="00BD4C5B"/>
    <w:rsid w:val="00BE26B4"/>
    <w:rsid w:val="00BE3F7A"/>
    <w:rsid w:val="00BF2B6A"/>
    <w:rsid w:val="00BF2C5D"/>
    <w:rsid w:val="00BF31E3"/>
    <w:rsid w:val="00BF5F1C"/>
    <w:rsid w:val="00C07731"/>
    <w:rsid w:val="00C17E83"/>
    <w:rsid w:val="00C218A9"/>
    <w:rsid w:val="00C261F4"/>
    <w:rsid w:val="00C408C7"/>
    <w:rsid w:val="00C40BE6"/>
    <w:rsid w:val="00C47EE0"/>
    <w:rsid w:val="00C534CA"/>
    <w:rsid w:val="00C63006"/>
    <w:rsid w:val="00C67568"/>
    <w:rsid w:val="00C7007B"/>
    <w:rsid w:val="00C71871"/>
    <w:rsid w:val="00C724F1"/>
    <w:rsid w:val="00C735F1"/>
    <w:rsid w:val="00C913B6"/>
    <w:rsid w:val="00C91C5E"/>
    <w:rsid w:val="00C92E44"/>
    <w:rsid w:val="00CA6EA3"/>
    <w:rsid w:val="00CB15A7"/>
    <w:rsid w:val="00CB2DE0"/>
    <w:rsid w:val="00CB6D97"/>
    <w:rsid w:val="00CC09CE"/>
    <w:rsid w:val="00CD7B54"/>
    <w:rsid w:val="00CE0C9D"/>
    <w:rsid w:val="00CE1FF5"/>
    <w:rsid w:val="00D10682"/>
    <w:rsid w:val="00D134C5"/>
    <w:rsid w:val="00D15AAC"/>
    <w:rsid w:val="00D23CDC"/>
    <w:rsid w:val="00D26593"/>
    <w:rsid w:val="00D268EB"/>
    <w:rsid w:val="00D26CFF"/>
    <w:rsid w:val="00D274C6"/>
    <w:rsid w:val="00D27AF6"/>
    <w:rsid w:val="00D34984"/>
    <w:rsid w:val="00D353B5"/>
    <w:rsid w:val="00D37270"/>
    <w:rsid w:val="00D446F1"/>
    <w:rsid w:val="00D456D8"/>
    <w:rsid w:val="00D45A0E"/>
    <w:rsid w:val="00D4645D"/>
    <w:rsid w:val="00D4758C"/>
    <w:rsid w:val="00D50169"/>
    <w:rsid w:val="00D5391C"/>
    <w:rsid w:val="00D55FAB"/>
    <w:rsid w:val="00D56786"/>
    <w:rsid w:val="00D61EAB"/>
    <w:rsid w:val="00D624C1"/>
    <w:rsid w:val="00D701D3"/>
    <w:rsid w:val="00D724F9"/>
    <w:rsid w:val="00D7445F"/>
    <w:rsid w:val="00D91E8D"/>
    <w:rsid w:val="00D92B1D"/>
    <w:rsid w:val="00D93FEB"/>
    <w:rsid w:val="00DA5EAC"/>
    <w:rsid w:val="00DB0323"/>
    <w:rsid w:val="00DB1FA7"/>
    <w:rsid w:val="00DB3BFC"/>
    <w:rsid w:val="00DB5143"/>
    <w:rsid w:val="00DC0E31"/>
    <w:rsid w:val="00DC70D0"/>
    <w:rsid w:val="00DC7782"/>
    <w:rsid w:val="00DC7DD6"/>
    <w:rsid w:val="00DD3971"/>
    <w:rsid w:val="00DE2A3F"/>
    <w:rsid w:val="00DF5F45"/>
    <w:rsid w:val="00E03E65"/>
    <w:rsid w:val="00E06B55"/>
    <w:rsid w:val="00E13146"/>
    <w:rsid w:val="00E174FC"/>
    <w:rsid w:val="00E20070"/>
    <w:rsid w:val="00E20994"/>
    <w:rsid w:val="00E22124"/>
    <w:rsid w:val="00E261AD"/>
    <w:rsid w:val="00E324C0"/>
    <w:rsid w:val="00E40344"/>
    <w:rsid w:val="00E4377A"/>
    <w:rsid w:val="00E46D61"/>
    <w:rsid w:val="00E47A4D"/>
    <w:rsid w:val="00E545F2"/>
    <w:rsid w:val="00E56C7E"/>
    <w:rsid w:val="00E576BD"/>
    <w:rsid w:val="00E57BE9"/>
    <w:rsid w:val="00E604D6"/>
    <w:rsid w:val="00E67086"/>
    <w:rsid w:val="00E8001A"/>
    <w:rsid w:val="00E857E4"/>
    <w:rsid w:val="00E85B05"/>
    <w:rsid w:val="00E9139D"/>
    <w:rsid w:val="00E92487"/>
    <w:rsid w:val="00EA26E5"/>
    <w:rsid w:val="00EA3B02"/>
    <w:rsid w:val="00EA5A59"/>
    <w:rsid w:val="00EA6213"/>
    <w:rsid w:val="00EB0C39"/>
    <w:rsid w:val="00EB3301"/>
    <w:rsid w:val="00EB588F"/>
    <w:rsid w:val="00EE2068"/>
    <w:rsid w:val="00EE4A18"/>
    <w:rsid w:val="00EF1F69"/>
    <w:rsid w:val="00EF61D1"/>
    <w:rsid w:val="00F05333"/>
    <w:rsid w:val="00F07624"/>
    <w:rsid w:val="00F1311C"/>
    <w:rsid w:val="00F154D0"/>
    <w:rsid w:val="00F2257A"/>
    <w:rsid w:val="00F246F5"/>
    <w:rsid w:val="00F261D6"/>
    <w:rsid w:val="00F26D45"/>
    <w:rsid w:val="00F30C84"/>
    <w:rsid w:val="00F35704"/>
    <w:rsid w:val="00F35911"/>
    <w:rsid w:val="00F35DD7"/>
    <w:rsid w:val="00F42D43"/>
    <w:rsid w:val="00F463C9"/>
    <w:rsid w:val="00F57965"/>
    <w:rsid w:val="00F71810"/>
    <w:rsid w:val="00F72ABE"/>
    <w:rsid w:val="00F72B1B"/>
    <w:rsid w:val="00F7596C"/>
    <w:rsid w:val="00F75F2B"/>
    <w:rsid w:val="00F76733"/>
    <w:rsid w:val="00F76A86"/>
    <w:rsid w:val="00F77E12"/>
    <w:rsid w:val="00F814DE"/>
    <w:rsid w:val="00F86EE6"/>
    <w:rsid w:val="00F90045"/>
    <w:rsid w:val="00F925FE"/>
    <w:rsid w:val="00F959A1"/>
    <w:rsid w:val="00FA0472"/>
    <w:rsid w:val="00FA28D1"/>
    <w:rsid w:val="00FA6558"/>
    <w:rsid w:val="00FB2665"/>
    <w:rsid w:val="00FC3DE0"/>
    <w:rsid w:val="00FC61FD"/>
    <w:rsid w:val="00FD09FC"/>
    <w:rsid w:val="00FD2C8C"/>
    <w:rsid w:val="00FD489B"/>
    <w:rsid w:val="00FD530D"/>
    <w:rsid w:val="00FD6F1A"/>
    <w:rsid w:val="00FD791D"/>
    <w:rsid w:val="00FE0217"/>
    <w:rsid w:val="00FE6C15"/>
    <w:rsid w:val="00FF02B6"/>
    <w:rsid w:val="00FF1DFC"/>
    <w:rsid w:val="00FF3CC2"/>
    <w:rsid w:val="00FF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6E4BFD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paragraph" w:customStyle="1" w:styleId="3GPPHeader">
    <w:name w:val="3GPP_Header"/>
    <w:basedOn w:val="BodyText"/>
    <w:rsid w:val="001F02DD"/>
    <w:pPr>
      <w:tabs>
        <w:tab w:val="left" w:pos="1701"/>
        <w:tab w:val="right" w:pos="9639"/>
      </w:tabs>
      <w:spacing w:before="0" w:after="240" w:line="259" w:lineRule="auto"/>
    </w:pPr>
    <w:rPr>
      <w:rFonts w:eastAsiaTheme="minorHAnsi" w:cstheme="minorBidi"/>
      <w:b/>
      <w:sz w:val="24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1F02DD"/>
  </w:style>
  <w:style w:type="character" w:customStyle="1" w:styleId="BodyTextChar">
    <w:name w:val="Body Text Char"/>
    <w:basedOn w:val="DefaultParagraphFont"/>
    <w:link w:val="BodyText"/>
    <w:uiPriority w:val="99"/>
    <w:semiHidden/>
    <w:rsid w:val="001F02DD"/>
    <w:rPr>
      <w:rFonts w:ascii="Arial" w:eastAsia="Times New Roman" w:hAnsi="Arial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29112F"/>
    <w:rPr>
      <w:rFonts w:ascii="Arial" w:eastAsia="Times New Roman" w:hAnsi="Arial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1E02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3GPPNormalText">
    <w:name w:val="3GPP Normal Text"/>
    <w:basedOn w:val="BodyText"/>
    <w:link w:val="3GPPNormalTextChar"/>
    <w:qFormat/>
    <w:rsid w:val="002013B3"/>
    <w:pPr>
      <w:spacing w:before="0"/>
      <w:ind w:left="720" w:hanging="720"/>
    </w:pPr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2013B3"/>
    <w:rPr>
      <w:rFonts w:ascii="Times New Roman" w:eastAsia="MS Mincho" w:hAnsi="Times New Roman"/>
      <w:sz w:val="22"/>
      <w:szCs w:val="24"/>
      <w:lang w:val="x-none" w:eastAsia="x-none"/>
    </w:rPr>
  </w:style>
  <w:style w:type="table" w:styleId="TableGrid">
    <w:name w:val="Table Grid"/>
    <w:basedOn w:val="TableNormal"/>
    <w:uiPriority w:val="39"/>
    <w:rsid w:val="00636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rsid w:val="002F4C25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rsid w:val="002F4C25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1">
    <w:name w:val="B1"/>
    <w:basedOn w:val="List"/>
    <w:link w:val="B1Char"/>
    <w:qFormat/>
    <w:rsid w:val="00042177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x-none" w:eastAsia="x-none"/>
    </w:rPr>
  </w:style>
  <w:style w:type="character" w:customStyle="1" w:styleId="B1Char">
    <w:name w:val="B1 Char"/>
    <w:link w:val="B1"/>
    <w:rsid w:val="00042177"/>
    <w:rPr>
      <w:rFonts w:ascii="Times New Roman" w:eastAsia="Times New Roman" w:hAnsi="Times New Roman"/>
      <w:lang w:val="x-none" w:eastAsia="x-none"/>
    </w:rPr>
  </w:style>
  <w:style w:type="paragraph" w:customStyle="1" w:styleId="B2">
    <w:name w:val="B2"/>
    <w:basedOn w:val="List2"/>
    <w:link w:val="B2Char"/>
    <w:rsid w:val="00042177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hAnsi="Times New Roman"/>
      <w:lang w:val="x-none" w:eastAsia="x-none"/>
    </w:rPr>
  </w:style>
  <w:style w:type="character" w:customStyle="1" w:styleId="B2Char">
    <w:name w:val="B2 Char"/>
    <w:link w:val="B2"/>
    <w:qFormat/>
    <w:rsid w:val="0004217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042177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FD09FC"/>
    <w:rPr>
      <w:color w:val="808080"/>
    </w:rPr>
  </w:style>
  <w:style w:type="paragraph" w:customStyle="1" w:styleId="Agreement">
    <w:name w:val="Agreement"/>
    <w:basedOn w:val="Normal"/>
    <w:next w:val="Doc-text2"/>
    <w:qFormat/>
    <w:rsid w:val="006B7B96"/>
    <w:pPr>
      <w:numPr>
        <w:numId w:val="22"/>
      </w:numPr>
      <w:spacing w:after="0"/>
      <w:jc w:val="left"/>
    </w:pPr>
    <w:rPr>
      <w:rFonts w:eastAsia="MS Mincho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76055-9C3E-49B9-B143-0CE94F081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5059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Thomas Novlan (AT&amp;T Labs)</cp:lastModifiedBy>
  <cp:revision>4</cp:revision>
  <cp:lastPrinted>2018-09-28T20:14:00Z</cp:lastPrinted>
  <dcterms:created xsi:type="dcterms:W3CDTF">2021-01-14T19:32:00Z</dcterms:created>
  <dcterms:modified xsi:type="dcterms:W3CDTF">2021-01-15T04:04:00Z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