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1ED4A" w14:textId="32EF8644" w:rsidR="006312AA" w:rsidRPr="006312AA" w:rsidRDefault="006312AA" w:rsidP="006312AA">
      <w:pPr>
        <w:widowControl w:val="0"/>
        <w:tabs>
          <w:tab w:val="left" w:pos="1701"/>
          <w:tab w:val="right" w:pos="9923"/>
        </w:tabs>
        <w:spacing w:before="120" w:after="0"/>
        <w:jc w:val="left"/>
        <w:rPr>
          <w:rFonts w:eastAsia="MS Mincho"/>
          <w:b/>
          <w:sz w:val="24"/>
          <w:szCs w:val="24"/>
          <w:lang w:val="en-GB" w:eastAsia="en-GB"/>
        </w:rPr>
      </w:pPr>
      <w:r w:rsidRPr="006312AA">
        <w:rPr>
          <w:rFonts w:eastAsia="MS Mincho"/>
          <w:b/>
          <w:sz w:val="24"/>
          <w:szCs w:val="24"/>
          <w:lang w:val="en-GB" w:eastAsia="en-GB"/>
        </w:rPr>
        <w:t>3GPP TSG-RAN WG2 Meeting #11</w:t>
      </w:r>
      <w:r w:rsidR="00D34984">
        <w:rPr>
          <w:rFonts w:eastAsia="MS Mincho"/>
          <w:b/>
          <w:sz w:val="24"/>
          <w:szCs w:val="24"/>
          <w:lang w:val="en-GB" w:eastAsia="en-GB"/>
        </w:rPr>
        <w:t>3</w:t>
      </w:r>
      <w:r w:rsidRPr="006312AA">
        <w:rPr>
          <w:rFonts w:eastAsia="MS Mincho"/>
          <w:b/>
          <w:sz w:val="24"/>
          <w:szCs w:val="24"/>
          <w:lang w:val="en-GB" w:eastAsia="en-GB"/>
        </w:rPr>
        <w:t xml:space="preserve"> electronic</w:t>
      </w:r>
      <w:r w:rsidRPr="006312AA">
        <w:rPr>
          <w:rFonts w:eastAsia="MS Mincho"/>
          <w:b/>
          <w:sz w:val="24"/>
          <w:szCs w:val="24"/>
          <w:lang w:val="en-GB" w:eastAsia="en-GB"/>
        </w:rPr>
        <w:tab/>
        <w:t>R2-2</w:t>
      </w:r>
      <w:r w:rsidR="00A074B7">
        <w:rPr>
          <w:rFonts w:eastAsia="MS Mincho"/>
          <w:b/>
          <w:sz w:val="24"/>
          <w:szCs w:val="24"/>
          <w:lang w:val="en-GB" w:eastAsia="en-GB"/>
        </w:rPr>
        <w:t>101260</w:t>
      </w:r>
    </w:p>
    <w:p w14:paraId="198A12C6" w14:textId="77777777" w:rsidR="00124658" w:rsidRPr="001065F9" w:rsidRDefault="00124658" w:rsidP="00124658">
      <w:pPr>
        <w:widowControl w:val="0"/>
        <w:tabs>
          <w:tab w:val="left" w:pos="1701"/>
          <w:tab w:val="right" w:pos="9923"/>
        </w:tabs>
        <w:spacing w:before="120"/>
        <w:rPr>
          <w:b/>
          <w:sz w:val="24"/>
        </w:rPr>
      </w:pPr>
      <w:r>
        <w:rPr>
          <w:rFonts w:eastAsia="SimSun" w:cs="Arial"/>
          <w:b/>
          <w:sz w:val="24"/>
          <w:lang w:val="de-DE" w:eastAsia="zh-CN"/>
        </w:rPr>
        <w:t>Online, Jan 25 – Feb 5, 2021</w:t>
      </w:r>
    </w:p>
    <w:p w14:paraId="36DE4D72" w14:textId="77777777" w:rsidR="006312AA" w:rsidRPr="006312AA" w:rsidRDefault="006312AA" w:rsidP="006312AA">
      <w:pPr>
        <w:widowControl w:val="0"/>
        <w:tabs>
          <w:tab w:val="left" w:pos="1701"/>
          <w:tab w:val="right" w:pos="9923"/>
        </w:tabs>
        <w:spacing w:before="120" w:after="0"/>
        <w:jc w:val="left"/>
        <w:rPr>
          <w:rFonts w:eastAsia="MS Mincho"/>
          <w:b/>
          <w:sz w:val="24"/>
          <w:szCs w:val="24"/>
          <w:lang w:val="en-GB" w:eastAsia="en-GB"/>
        </w:rPr>
      </w:pPr>
    </w:p>
    <w:p w14:paraId="5852342B" w14:textId="547D5DB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w:t>
      </w:r>
      <w:r w:rsidR="00B63DB8">
        <w:rPr>
          <w:b/>
          <w:sz w:val="24"/>
          <w:szCs w:val="24"/>
        </w:rPr>
        <w:t>2</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6891A148"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417F07" w:rsidRPr="00417F07">
        <w:rPr>
          <w:b/>
          <w:sz w:val="24"/>
          <w:szCs w:val="24"/>
        </w:rPr>
        <w:t>Multi-hop scheduling and local routing enhancements for IAB</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5C1FDAA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w:t>
      </w:r>
      <w:r w:rsidR="00654588">
        <w:rPr>
          <w:rFonts w:ascii="Calibri" w:eastAsia="Malgun Gothic" w:hAnsi="Calibri" w:cs="Batang"/>
          <w:lang w:val="en-GB" w:eastAsia="ko-KR"/>
        </w:rPr>
        <w:t xml:space="preserve">Enhancements for </w:t>
      </w:r>
      <w:r w:rsidRPr="004131D6">
        <w:rPr>
          <w:rFonts w:ascii="Calibri" w:eastAsia="Malgun Gothic" w:hAnsi="Calibri" w:cs="Batang"/>
          <w:lang w:val="en-GB" w:eastAsia="ko-KR"/>
        </w:rPr>
        <w:t xml:space="preserve">Integrated Access and Backhaul for NR [1], 3GPP has agreed </w:t>
      </w:r>
      <w:r w:rsidR="004131D6" w:rsidRPr="004131D6">
        <w:rPr>
          <w:rFonts w:ascii="Calibri" w:eastAsia="Malgun Gothic" w:hAnsi="Calibri" w:cs="Batang"/>
          <w:lang w:val="en-GB" w:eastAsia="ko-KR"/>
        </w:rPr>
        <w:t xml:space="preserve">to support </w:t>
      </w:r>
      <w:r w:rsidR="002F05F3">
        <w:rPr>
          <w:rFonts w:ascii="Calibri" w:eastAsia="Malgun Gothic" w:hAnsi="Calibri" w:cs="Batang"/>
          <w:lang w:val="en-GB" w:eastAsia="ko-KR"/>
        </w:rPr>
        <w:t>the following enhancements:</w:t>
      </w:r>
    </w:p>
    <w:p w14:paraId="391D5B3B" w14:textId="77777777" w:rsidR="002F05F3" w:rsidRPr="00D54EF9" w:rsidRDefault="002F05F3" w:rsidP="002F05F3">
      <w:pPr>
        <w:rPr>
          <w:bCs/>
          <w:sz w:val="18"/>
          <w:szCs w:val="18"/>
        </w:rPr>
      </w:pPr>
      <w:r w:rsidRPr="00D54EF9">
        <w:rPr>
          <w:bCs/>
          <w:sz w:val="18"/>
          <w:szCs w:val="18"/>
        </w:rPr>
        <w:t>Topology, routing and transport enhancements [RAN2-led, RAN3]:</w:t>
      </w:r>
    </w:p>
    <w:p w14:paraId="3641ACCB" w14:textId="77777777" w:rsidR="002F05F3" w:rsidRPr="00D54EF9" w:rsidRDefault="002F05F3" w:rsidP="002F05F3">
      <w:pPr>
        <w:numPr>
          <w:ilvl w:val="0"/>
          <w:numId w:val="21"/>
        </w:numPr>
        <w:spacing w:before="0" w:after="60"/>
        <w:jc w:val="left"/>
        <w:rPr>
          <w:sz w:val="18"/>
          <w:szCs w:val="18"/>
        </w:rPr>
      </w:pPr>
      <w:r w:rsidRPr="00D54EF9">
        <w:rPr>
          <w:sz w:val="18"/>
          <w:szCs w:val="18"/>
        </w:rPr>
        <w:t xml:space="preserve">Specifications of enhancements to improve topology-wide fairness, multi-hop latency and congestion mitigation </w:t>
      </w:r>
    </w:p>
    <w:p w14:paraId="0AB8400B" w14:textId="77777777" w:rsidR="00C408C7" w:rsidRDefault="00C408C7" w:rsidP="004A7002">
      <w:pPr>
        <w:rPr>
          <w:rFonts w:ascii="Calibri" w:eastAsia="Malgun Gothic" w:hAnsi="Calibri" w:cs="Batang"/>
          <w:lang w:val="en-GB" w:eastAsia="ko-KR"/>
        </w:rPr>
      </w:pPr>
    </w:p>
    <w:p w14:paraId="597DA981" w14:textId="7EF5D7D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00DA5EAC">
        <w:rPr>
          <w:rFonts w:ascii="Calibri" w:eastAsia="Malgun Gothic" w:hAnsi="Calibri" w:cs="Batang"/>
          <w:lang w:val="en-GB" w:eastAsia="ko-KR"/>
        </w:rPr>
        <w:t xml:space="preserve"> as well as</w:t>
      </w:r>
      <w:r w:rsidR="002F05F3">
        <w:rPr>
          <w:rFonts w:ascii="Calibri" w:eastAsia="Malgun Gothic" w:hAnsi="Calibri" w:cs="Batang"/>
          <w:lang w:val="en-GB" w:eastAsia="ko-KR"/>
        </w:rPr>
        <w:t xml:space="preserve"> local routing decisions beyond what is allowed in Rel-16</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002F05F3">
        <w:rPr>
          <w:rFonts w:ascii="Calibri" w:eastAsia="Malgun Gothic" w:hAnsi="Calibri" w:cs="Batang"/>
          <w:lang w:val="en-GB" w:eastAsia="ko-KR"/>
        </w:rPr>
        <w:t xml:space="preserve"> and local routing enhancements for IAB</w:t>
      </w:r>
      <w:r w:rsidRPr="004131D6">
        <w:rPr>
          <w:rFonts w:ascii="Calibri" w:eastAsia="Malgun Gothic" w:hAnsi="Calibri" w:cs="Batang"/>
          <w:lang w:val="en-GB" w:eastAsia="ko-KR"/>
        </w:rPr>
        <w:t>.</w:t>
      </w:r>
    </w:p>
    <w:p w14:paraId="44DCACF4" w14:textId="77777777"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14:paraId="60E3E67A"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14:paraId="220DCE5C" w14:textId="136C59FC"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w:t>
      </w:r>
      <w:r w:rsidR="002F05F3">
        <w:rPr>
          <w:rFonts w:ascii="Calibri" w:eastAsia="Malgun Gothic" w:hAnsi="Calibri" w:cs="Batang"/>
          <w:lang w:val="en-GB" w:eastAsia="ko-KR"/>
        </w:rPr>
        <w:t>T</w:t>
      </w:r>
      <w:r w:rsidRPr="004131D6">
        <w:rPr>
          <w:rFonts w:ascii="Calibri" w:eastAsia="Malgun Gothic" w:hAnsi="Calibri" w:cs="Batang"/>
          <w:lang w:val="en-GB" w:eastAsia="ko-KR"/>
        </w:rPr>
        <w: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tion layer provide</w:t>
      </w:r>
      <w:r w:rsidR="002F05F3">
        <w:rPr>
          <w:rFonts w:ascii="Calibri" w:eastAsia="Malgun Gothic" w:hAnsi="Calibri" w:cs="Batang"/>
          <w:lang w:val="en-GB" w:eastAsia="ko-KR"/>
        </w:rPr>
        <w:t>s</w:t>
      </w:r>
      <w:r w:rsidRPr="004131D6">
        <w:rPr>
          <w:rFonts w:ascii="Calibri" w:eastAsia="Malgun Gothic" w:hAnsi="Calibri" w:cs="Batang"/>
          <w:lang w:val="en-GB" w:eastAsia="ko-KR"/>
        </w:rPr>
        <w:t xml:space="preserve"> QoS-enforcement by the scheduler on DL and UL on the wireless backhaul link [2]. In a multi-hop IAB-network, there is a scheduler in the DU for each IAB-node. </w:t>
      </w:r>
    </w:p>
    <w:p w14:paraId="06B25274" w14:textId="77777777" w:rsidR="004A7002" w:rsidRDefault="00BD2886" w:rsidP="004A7002">
      <w:r w:rsidRPr="004131D6">
        <w:rPr>
          <w:rFonts w:ascii="Calibri" w:hAnsi="Calibri"/>
          <w:b/>
        </w:rPr>
        <w:t>Observation 1: Successful propagation of UE UP data relies on multiple scheduler decisions.</w:t>
      </w:r>
    </w:p>
    <w:p w14:paraId="0211D402" w14:textId="77777777" w:rsidR="004A7002" w:rsidRDefault="00563B2C" w:rsidP="004A7002">
      <w:pPr>
        <w:keepNext/>
        <w:jc w:val="center"/>
      </w:pPr>
      <w:r>
        <w:rPr>
          <w:noProof/>
        </w:rPr>
        <w:object w:dxaOrig="8256" w:dyaOrig="8615" w14:anchorId="7845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85pt;height:314.25pt;mso-width-percent:0;mso-height-percent:0;mso-width-percent:0;mso-height-percent:0" o:ole="">
            <v:imagedata r:id="rId8" o:title=""/>
          </v:shape>
          <o:OLEObject Type="Embed" ProgID="Visio.Drawing.11" ShapeID="_x0000_i1025" DrawAspect="Content" ObjectID="_1672167023" r:id="rId9"/>
        </w:object>
      </w:r>
    </w:p>
    <w:p w14:paraId="00FEF61F" w14:textId="77777777"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14:paraId="5034A8E1" w14:textId="77777777"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14:paraId="0F3F9142" w14:textId="77777777"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14:paraId="14B44953" w14:textId="77777777"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14:paraId="636DBF68" w14:textId="77777777" w:rsidR="005F705D" w:rsidRDefault="005F705D" w:rsidP="004131D6">
      <w:pPr>
        <w:pStyle w:val="maintext"/>
        <w:ind w:firstLineChars="0" w:firstLine="0"/>
        <w:rPr>
          <w:rFonts w:ascii="Calibri" w:hAnsi="Calibri"/>
        </w:rPr>
      </w:pPr>
    </w:p>
    <w:p w14:paraId="0454D2D9" w14:textId="77777777"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598D30B4" wp14:editId="18925657">
            <wp:extent cx="4696355" cy="3522700"/>
            <wp:effectExtent l="0" t="0" r="0" b="0"/>
            <wp:docPr id="7" name="Picture 6">
              <a:extLst xmlns:a="http://schemas.openxmlformats.org/drawingml/2006/main">
                <a:ext uri="{FF2B5EF4-FFF2-40B4-BE49-F238E27FC236}">
                  <a16:creationId xmlns:a16="http://schemas.microsoft.com/office/drawing/2014/main"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14:paraId="45298F0C" w14:textId="77777777"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14:paraId="66618C62" w14:textId="77777777" w:rsidR="00BD2886" w:rsidRPr="005F705D" w:rsidRDefault="00BD2886" w:rsidP="005F705D">
      <w:pPr>
        <w:pStyle w:val="maintext"/>
        <w:ind w:firstLineChars="0" w:firstLine="0"/>
        <w:jc w:val="center"/>
        <w:rPr>
          <w:rFonts w:ascii="Calibri" w:hAnsi="Calibri"/>
          <w:b/>
        </w:rPr>
      </w:pPr>
    </w:p>
    <w:p w14:paraId="47538150" w14:textId="592A45B3" w:rsidR="00591190" w:rsidRDefault="005F705D" w:rsidP="004131D6">
      <w:pPr>
        <w:pStyle w:val="maintext"/>
        <w:ind w:firstLineChars="0" w:firstLine="0"/>
        <w:rPr>
          <w:rFonts w:ascii="Calibri" w:hAnsi="Calibri"/>
        </w:rPr>
      </w:pPr>
      <w:r>
        <w:rPr>
          <w:rFonts w:ascii="Calibri" w:hAnsi="Calibri"/>
        </w:rPr>
        <w:t>Figure 2 illustrates the benefit of providing information about the downstream access/backhaul link radio conditions at the schedulers of higher-up IAB nodes or donor nodes. System simulations based on assumptions in the IAB TR [</w:t>
      </w:r>
      <w:r w:rsidR="00AF2F00">
        <w:rPr>
          <w:rFonts w:ascii="Calibri" w:hAnsi="Calibri"/>
        </w:rPr>
        <w:t>2</w:t>
      </w:r>
      <w:r>
        <w:rPr>
          <w:rFonts w:ascii="Calibri" w:hAnsi="Calibri"/>
        </w:rPr>
        <w:t xml:space="preserve">]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14:paraId="6994C19C" w14:textId="77777777"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14:paraId="0AD47EED" w14:textId="77777777"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14:paraId="15160A3D" w14:textId="77777777" w:rsidR="00FD09FC" w:rsidRDefault="00FD09FC" w:rsidP="00FD09FC">
      <w:pPr>
        <w:pStyle w:val="maintext"/>
        <w:ind w:firstLineChars="0" w:firstLine="0"/>
        <w:rPr>
          <w:rFonts w:ascii="Calibri" w:hAnsi="Calibri"/>
        </w:rPr>
      </w:pPr>
      <w:r>
        <w:rPr>
          <w:rFonts w:ascii="Calibri" w:hAnsi="Calibri"/>
        </w:rPr>
        <w:t>where:</w:t>
      </w:r>
    </w:p>
    <w:p w14:paraId="09938C39" w14:textId="77777777"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14:paraId="7C7713CF" w14:textId="77777777"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14:paraId="7F3FF9BC" w14:textId="77777777"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14:paraId="545CA625" w14:textId="77777777" w:rsidR="00FD09FC" w:rsidRDefault="00FD09FC" w:rsidP="00FD09FC">
      <w:pPr>
        <w:pStyle w:val="maintext"/>
        <w:ind w:firstLineChars="0" w:firstLine="0"/>
        <w:rPr>
          <w:rFonts w:ascii="Calibri" w:hAnsi="Calibri"/>
        </w:rPr>
      </w:pPr>
      <w:r>
        <w:rPr>
          <w:rFonts w:ascii="Calibri" w:hAnsi="Calibri"/>
        </w:rPr>
        <w:t>Further:</w:t>
      </w:r>
    </w:p>
    <w:p w14:paraId="015EB53C" w14:textId="77777777"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14:paraId="295B5F78" w14:textId="77777777"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14:paraId="316A3991" w14:textId="77777777" w:rsidR="00FD09FC" w:rsidRDefault="00FD09FC" w:rsidP="00FD09FC">
      <w:pPr>
        <w:pStyle w:val="maintext"/>
        <w:ind w:firstLineChars="0" w:firstLine="0"/>
        <w:rPr>
          <w:rFonts w:ascii="Calibri" w:hAnsi="Calibri"/>
        </w:rPr>
      </w:pPr>
      <w:r>
        <w:rPr>
          <w:rFonts w:ascii="Calibri" w:hAnsi="Calibri"/>
        </w:rPr>
        <w:t>where:</w:t>
      </w:r>
    </w:p>
    <w:p w14:paraId="532F2CC7" w14:textId="77777777"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14:paraId="53D5C038" w14:textId="77777777"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14:paraId="4A3C187B" w14:textId="77777777" w:rsidR="00386CF0" w:rsidRDefault="00386CF0" w:rsidP="004131D6">
      <w:pPr>
        <w:pStyle w:val="maintext"/>
        <w:ind w:firstLineChars="0" w:firstLine="0"/>
        <w:rPr>
          <w:rFonts w:ascii="Calibri" w:hAnsi="Calibri"/>
        </w:rPr>
      </w:pPr>
    </w:p>
    <w:p w14:paraId="7E841559" w14:textId="2E55D336" w:rsidR="005F705D" w:rsidRDefault="00BD2886" w:rsidP="004131D6">
      <w:pPr>
        <w:pStyle w:val="maintext"/>
        <w:ind w:firstLineChars="0" w:firstLine="0"/>
        <w:rPr>
          <w:rFonts w:ascii="Calibri" w:hAnsi="Calibri"/>
        </w:rPr>
      </w:pPr>
      <w:r>
        <w:rPr>
          <w:rFonts w:ascii="Calibri" w:hAnsi="Calibri"/>
        </w:rPr>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w:t>
      </w:r>
      <w:r w:rsidR="007A3734">
        <w:rPr>
          <w:rFonts w:ascii="Calibri" w:hAnsi="Calibri"/>
        </w:rPr>
        <w:t>L2 signalling.</w:t>
      </w:r>
    </w:p>
    <w:p w14:paraId="2D948B92" w14:textId="58D783AA" w:rsidR="00D624C1" w:rsidRDefault="00D624C1" w:rsidP="004131D6">
      <w:pPr>
        <w:pStyle w:val="maintext"/>
        <w:ind w:firstLineChars="0" w:firstLine="0"/>
        <w:rPr>
          <w:rFonts w:ascii="Calibri" w:hAnsi="Calibri"/>
          <w:b/>
        </w:rPr>
      </w:pPr>
      <w:r>
        <w:rPr>
          <w:rFonts w:ascii="Calibri" w:hAnsi="Calibri"/>
          <w:b/>
          <w:bCs/>
        </w:rPr>
        <w:t xml:space="preserve">Observation 1: Compared to centralized approaches, IAB network performance can be improved by L2 signalling of a benefit </w:t>
      </w:r>
      <w:r w:rsidRPr="004131D6">
        <w:rPr>
          <w:rFonts w:ascii="Calibri" w:hAnsi="Calibri"/>
          <w:b/>
        </w:rPr>
        <w:t xml:space="preserve">metric </w:t>
      </w:r>
      <w:r>
        <w:rPr>
          <w:rFonts w:ascii="Calibri" w:hAnsi="Calibri"/>
          <w:b/>
        </w:rPr>
        <w:t xml:space="preserve">which can be used </w:t>
      </w:r>
      <w:r w:rsidRPr="004131D6">
        <w:rPr>
          <w:rFonts w:ascii="Calibri" w:hAnsi="Calibri"/>
          <w:b/>
        </w:rPr>
        <w:t>to communicate weighting of bearers</w:t>
      </w:r>
      <w:r>
        <w:rPr>
          <w:rFonts w:ascii="Calibri" w:hAnsi="Calibri"/>
          <w:b/>
        </w:rPr>
        <w:t>/RLC channels</w:t>
      </w:r>
      <w:r w:rsidRPr="004131D6">
        <w:rPr>
          <w:rFonts w:ascii="Calibri" w:hAnsi="Calibri"/>
          <w:b/>
        </w:rPr>
        <w:t xml:space="preserve"> between schedulers of different IAB-nodes</w:t>
      </w:r>
      <w:r>
        <w:rPr>
          <w:rFonts w:ascii="Calibri" w:hAnsi="Calibri"/>
          <w:b/>
        </w:rPr>
        <w:t>, e.g. taking L1/L3 link quality measurements and the topology associated with different routes into account</w:t>
      </w:r>
      <w:r w:rsidRPr="004131D6">
        <w:rPr>
          <w:rFonts w:ascii="Calibri" w:hAnsi="Calibri"/>
          <w:b/>
        </w:rPr>
        <w:t>.</w:t>
      </w:r>
    </w:p>
    <w:p w14:paraId="2329E1EB" w14:textId="77777777" w:rsidR="00D624C1" w:rsidRPr="00D624C1" w:rsidRDefault="00D624C1" w:rsidP="004131D6">
      <w:pPr>
        <w:pStyle w:val="maintext"/>
        <w:ind w:firstLineChars="0" w:firstLine="0"/>
        <w:rPr>
          <w:rFonts w:ascii="Calibri" w:hAnsi="Calibri"/>
          <w:b/>
          <w:bCs/>
        </w:rPr>
      </w:pPr>
    </w:p>
    <w:p w14:paraId="611DA1D8" w14:textId="5F70DDEE" w:rsidR="00145C4F" w:rsidRDefault="007A3734" w:rsidP="00145C4F">
      <w:pPr>
        <w:pStyle w:val="maintext"/>
        <w:ind w:firstLineChars="0" w:firstLine="0"/>
        <w:rPr>
          <w:rFonts w:ascii="Calibri" w:hAnsi="Calibri"/>
        </w:rPr>
      </w:pPr>
      <w:r>
        <w:rPr>
          <w:rFonts w:ascii="Calibri" w:hAnsi="Calibri"/>
        </w:rPr>
        <w:t>Given that the BAP sublayer already supports the exchange of control information directly between parent and child nodes, it would be straightforward to add the BH scheduling benefit metric as one of the support functions, a</w:t>
      </w:r>
      <w:r w:rsidR="00145C4F">
        <w:rPr>
          <w:rFonts w:ascii="Calibri" w:hAnsi="Calibri"/>
        </w:rPr>
        <w:t>long with the existing functions captured in 38.300 for IAB:</w:t>
      </w:r>
    </w:p>
    <w:p w14:paraId="48D6D84D" w14:textId="77777777" w:rsidR="00145C4F" w:rsidRPr="00C137F3" w:rsidRDefault="00145C4F" w:rsidP="00145C4F">
      <w:pPr>
        <w:ind w:left="284"/>
        <w:rPr>
          <w:lang w:eastAsia="x-none"/>
        </w:rPr>
      </w:pPr>
      <w:r>
        <w:rPr>
          <w:lang w:eastAsia="x-none"/>
        </w:rPr>
        <w:t>The main service and functions of the BAP sublayer include:</w:t>
      </w:r>
    </w:p>
    <w:p w14:paraId="7534CCF9" w14:textId="77777777" w:rsidR="00145C4F" w:rsidRPr="001A68BE" w:rsidRDefault="00145C4F" w:rsidP="00145C4F">
      <w:pPr>
        <w:pStyle w:val="B1"/>
        <w:ind w:left="852"/>
      </w:pPr>
      <w:r w:rsidRPr="001A68BE">
        <w:t>-</w:t>
      </w:r>
      <w:r w:rsidRPr="001A68BE">
        <w:tab/>
        <w:t>Transfer of data;</w:t>
      </w:r>
    </w:p>
    <w:p w14:paraId="05A865D8" w14:textId="77777777" w:rsidR="00145C4F" w:rsidRPr="001A68BE" w:rsidRDefault="00145C4F" w:rsidP="00145C4F">
      <w:pPr>
        <w:pStyle w:val="B1"/>
        <w:ind w:left="852"/>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14:paraId="2857CCD6"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14:paraId="4B59FE84"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14:paraId="5685E073" w14:textId="77777777" w:rsidR="00145C4F" w:rsidRDefault="00145C4F" w:rsidP="00145C4F">
      <w:pPr>
        <w:pStyle w:val="B1"/>
        <w:ind w:left="852"/>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14:paraId="69007517" w14:textId="77777777" w:rsidR="00145C4F" w:rsidRDefault="00145C4F" w:rsidP="00145C4F">
      <w:pPr>
        <w:pStyle w:val="B1"/>
        <w:ind w:left="852"/>
      </w:pPr>
      <w:r w:rsidRPr="001A68BE">
        <w:t>-</w:t>
      </w:r>
      <w:r w:rsidRPr="001A68BE">
        <w:tab/>
        <w:t>Flow control</w:t>
      </w:r>
      <w:r>
        <w:t xml:space="preserve"> feedback </w:t>
      </w:r>
      <w:proofErr w:type="spellStart"/>
      <w:r>
        <w:t>signalling</w:t>
      </w:r>
      <w:proofErr w:type="spellEnd"/>
      <w:r w:rsidRPr="001A68BE">
        <w:t>;</w:t>
      </w:r>
    </w:p>
    <w:p w14:paraId="5198E0FA" w14:textId="4BCB6F2A" w:rsidR="00145C4F" w:rsidRDefault="00145C4F" w:rsidP="00145C4F">
      <w:pPr>
        <w:pStyle w:val="B1"/>
        <w:ind w:left="852"/>
      </w:pPr>
      <w:r>
        <w:t>-</w:t>
      </w:r>
      <w:r>
        <w:tab/>
        <w:t>BH RLF notification;</w:t>
      </w:r>
    </w:p>
    <w:p w14:paraId="2E906614" w14:textId="553CB107" w:rsidR="007A3734" w:rsidRDefault="00145C4F" w:rsidP="00082D3A">
      <w:pPr>
        <w:pStyle w:val="B1"/>
        <w:ind w:left="852"/>
        <w:rPr>
          <w:color w:val="FF0000"/>
        </w:rPr>
      </w:pPr>
      <w:r w:rsidRPr="00145C4F">
        <w:rPr>
          <w:color w:val="FF0000"/>
          <w:lang w:val="en-US"/>
        </w:rPr>
        <w:t xml:space="preserve">- </w:t>
      </w:r>
      <w:r w:rsidRPr="00145C4F">
        <w:rPr>
          <w:color w:val="FF0000"/>
          <w:lang w:val="en-US"/>
        </w:rPr>
        <w:tab/>
      </w:r>
      <w:r w:rsidRPr="00145C4F">
        <w:rPr>
          <w:color w:val="FF0000"/>
        </w:rPr>
        <w:t>BH scheduling benefit metric;</w:t>
      </w:r>
    </w:p>
    <w:p w14:paraId="14604345" w14:textId="77777777" w:rsidR="00082D3A" w:rsidRPr="00082D3A" w:rsidRDefault="00082D3A" w:rsidP="00082D3A">
      <w:pPr>
        <w:pStyle w:val="B1"/>
        <w:ind w:left="852"/>
        <w:rPr>
          <w:color w:val="FF0000"/>
          <w:lang w:val="en-US"/>
        </w:rPr>
      </w:pPr>
    </w:p>
    <w:p w14:paraId="624CE1B0" w14:textId="2E8BF344"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w:t>
      </w:r>
      <w:r w:rsidR="00D624C1">
        <w:rPr>
          <w:rFonts w:ascii="Calibri" w:eastAsia="Malgun Gothic" w:hAnsi="Calibri" w:cs="Batang"/>
          <w:b/>
          <w:lang w:val="en-GB" w:eastAsia="ko-KR"/>
        </w:rPr>
        <w:t>Add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 xml:space="preserve">a </w:t>
      </w:r>
      <w:r w:rsidR="00145C4F">
        <w:rPr>
          <w:rFonts w:ascii="Calibri" w:eastAsia="Malgun Gothic" w:hAnsi="Calibri" w:cs="Batang"/>
          <w:b/>
          <w:lang w:val="en-GB" w:eastAsia="ko-KR"/>
        </w:rPr>
        <w:t xml:space="preserve">backhaul scheduling </w:t>
      </w:r>
      <w:r w:rsidR="004A7002" w:rsidRPr="004131D6">
        <w:rPr>
          <w:rFonts w:ascii="Calibri" w:eastAsia="Malgun Gothic" w:hAnsi="Calibri" w:cs="Batang"/>
          <w:b/>
          <w:lang w:val="en-GB" w:eastAsia="ko-KR"/>
        </w:rPr>
        <w:t xml:space="preserve">benefit </w:t>
      </w:r>
      <w:r w:rsidR="00D624C1">
        <w:rPr>
          <w:rFonts w:ascii="Calibri" w:eastAsia="Malgun Gothic" w:hAnsi="Calibri" w:cs="Batang"/>
          <w:b/>
          <w:lang w:val="en-GB" w:eastAsia="ko-KR"/>
        </w:rPr>
        <w:t xml:space="preserve">metric to the list of functions of the BAP sublayer in 38.300. </w:t>
      </w:r>
    </w:p>
    <w:p w14:paraId="62C6F15E" w14:textId="5E186A20" w:rsidR="00145C4F" w:rsidRDefault="002F05F3" w:rsidP="004A7002">
      <w:pPr>
        <w:rPr>
          <w:rFonts w:ascii="Calibri" w:eastAsia="Malgun Gothic" w:hAnsi="Calibri" w:cs="Batang"/>
          <w:bCs/>
          <w:lang w:val="en-GB" w:eastAsia="ko-KR"/>
        </w:rPr>
      </w:pPr>
      <w:r>
        <w:rPr>
          <w:rFonts w:ascii="Calibri" w:eastAsia="Malgun Gothic" w:hAnsi="Calibri" w:cs="Batang"/>
          <w:bCs/>
          <w:lang w:val="en-GB" w:eastAsia="ko-KR"/>
        </w:rPr>
        <w:t>As discussed previously, depending on the scenario and different IAB node capabilities/scheduler algorithms, different formulations of the benefit metric can be derived (e.g. based on L1 vs. L3 metrics). In Rel-17 R</w:t>
      </w:r>
      <w:r w:rsidR="00145C4F" w:rsidRPr="00351A03">
        <w:rPr>
          <w:rFonts w:ascii="Calibri" w:eastAsia="Malgun Gothic" w:hAnsi="Calibri" w:cs="Batang"/>
          <w:bCs/>
          <w:lang w:val="en-GB" w:eastAsia="ko-KR"/>
        </w:rPr>
        <w:t xml:space="preserve">AN2 </w:t>
      </w:r>
      <w:r>
        <w:rPr>
          <w:rFonts w:ascii="Calibri" w:eastAsia="Malgun Gothic" w:hAnsi="Calibri" w:cs="Batang"/>
          <w:bCs/>
          <w:lang w:val="en-GB" w:eastAsia="ko-KR"/>
        </w:rPr>
        <w:t>should</w:t>
      </w:r>
      <w:r w:rsidR="00145C4F" w:rsidRPr="00351A03">
        <w:rPr>
          <w:rFonts w:ascii="Calibri" w:eastAsia="Malgun Gothic" w:hAnsi="Calibri" w:cs="Batang"/>
          <w:bCs/>
          <w:lang w:val="en-GB" w:eastAsia="ko-KR"/>
        </w:rPr>
        <w:t xml:space="preserve"> </w:t>
      </w:r>
      <w:r>
        <w:rPr>
          <w:rFonts w:ascii="Calibri" w:eastAsia="Malgun Gothic" w:hAnsi="Calibri" w:cs="Batang"/>
          <w:bCs/>
          <w:lang w:val="en-GB" w:eastAsia="ko-KR"/>
        </w:rPr>
        <w:t>introduce</w:t>
      </w:r>
      <w:r w:rsidR="00145C4F" w:rsidRPr="00351A03">
        <w:rPr>
          <w:rFonts w:ascii="Calibri" w:eastAsia="Malgun Gothic" w:hAnsi="Calibri" w:cs="Batang"/>
          <w:bCs/>
          <w:lang w:val="en-GB" w:eastAsia="ko-KR"/>
        </w:rPr>
        <w:t xml:space="preserve"> BAP </w:t>
      </w:r>
      <w:r w:rsidR="00351A03">
        <w:rPr>
          <w:rFonts w:ascii="Calibri" w:eastAsia="Malgun Gothic" w:hAnsi="Calibri" w:cs="Batang"/>
          <w:bCs/>
          <w:lang w:val="en-GB" w:eastAsia="ko-KR"/>
        </w:rPr>
        <w:t>control PDU</w:t>
      </w:r>
      <w:r>
        <w:rPr>
          <w:rFonts w:ascii="Calibri" w:eastAsia="Malgun Gothic" w:hAnsi="Calibri" w:cs="Batang"/>
          <w:bCs/>
          <w:lang w:val="en-GB" w:eastAsia="ko-KR"/>
        </w:rPr>
        <w:t>s</w:t>
      </w:r>
      <w:r w:rsidR="00351A03">
        <w:rPr>
          <w:rFonts w:ascii="Calibri" w:eastAsia="Malgun Gothic" w:hAnsi="Calibri" w:cs="Batang"/>
          <w:bCs/>
          <w:lang w:val="en-GB" w:eastAsia="ko-KR"/>
        </w:rPr>
        <w:t xml:space="preserve"> </w:t>
      </w:r>
      <w:r w:rsidR="00385F27">
        <w:rPr>
          <w:rFonts w:ascii="Calibri" w:eastAsia="Malgun Gothic" w:hAnsi="Calibri" w:cs="Batang"/>
          <w:bCs/>
          <w:lang w:val="en-GB" w:eastAsia="ko-KR"/>
        </w:rPr>
        <w:t>w</w:t>
      </w:r>
      <w:r w:rsidR="00145C4F" w:rsidRPr="00351A03">
        <w:rPr>
          <w:rFonts w:ascii="Calibri" w:eastAsia="Malgun Gothic" w:hAnsi="Calibri" w:cs="Batang"/>
          <w:bCs/>
          <w:lang w:val="en-GB" w:eastAsia="ko-KR"/>
        </w:rPr>
        <w:t xml:space="preserve">ith </w:t>
      </w:r>
      <w:r>
        <w:rPr>
          <w:rFonts w:ascii="Calibri" w:eastAsia="Malgun Gothic" w:hAnsi="Calibri" w:cs="Batang"/>
          <w:bCs/>
          <w:lang w:val="en-GB" w:eastAsia="ko-KR"/>
        </w:rPr>
        <w:t xml:space="preserve">one or more </w:t>
      </w:r>
      <w:r w:rsidR="00145C4F" w:rsidRPr="00351A03">
        <w:rPr>
          <w:rFonts w:ascii="Calibri" w:eastAsia="Malgun Gothic" w:hAnsi="Calibri" w:cs="Batang"/>
          <w:bCs/>
          <w:lang w:val="en-GB" w:eastAsia="ko-KR"/>
        </w:rPr>
        <w:t xml:space="preserve">fields </w:t>
      </w:r>
      <w:r>
        <w:rPr>
          <w:rFonts w:ascii="Calibri" w:eastAsia="Malgun Gothic" w:hAnsi="Calibri" w:cs="Batang"/>
          <w:bCs/>
          <w:lang w:val="en-GB" w:eastAsia="ko-KR"/>
        </w:rPr>
        <w:t xml:space="preserve">which allow the </w:t>
      </w:r>
      <w:r w:rsidR="00351A03" w:rsidRPr="00351A03">
        <w:rPr>
          <w:rFonts w:ascii="Calibri" w:eastAsia="Malgun Gothic" w:hAnsi="Calibri" w:cs="Batang"/>
          <w:bCs/>
          <w:lang w:val="en-GB" w:eastAsia="ko-KR"/>
        </w:rPr>
        <w:t>introduc</w:t>
      </w:r>
      <w:r>
        <w:rPr>
          <w:rFonts w:ascii="Calibri" w:eastAsia="Malgun Gothic" w:hAnsi="Calibri" w:cs="Batang"/>
          <w:bCs/>
          <w:lang w:val="en-GB" w:eastAsia="ko-KR"/>
        </w:rPr>
        <w:t>tion of</w:t>
      </w:r>
      <w:r w:rsidR="00351A03" w:rsidRPr="00351A03">
        <w:rPr>
          <w:rFonts w:ascii="Calibri" w:eastAsia="Malgun Gothic" w:hAnsi="Calibri" w:cs="Batang"/>
          <w:bCs/>
          <w:lang w:val="en-GB" w:eastAsia="ko-KR"/>
        </w:rPr>
        <w:t xml:space="preserve"> different values of the scheduling metric.</w:t>
      </w:r>
    </w:p>
    <w:p w14:paraId="35E09A90" w14:textId="2807BB5C" w:rsidR="00351A03" w:rsidRDefault="00351A03" w:rsidP="004A7002">
      <w:pPr>
        <w:rPr>
          <w:rFonts w:ascii="Calibri" w:eastAsia="Malgun Gothic" w:hAnsi="Calibri" w:cs="Batang"/>
          <w:b/>
          <w:lang w:val="en-GB" w:eastAsia="ko-KR"/>
        </w:rPr>
      </w:pPr>
      <w:r>
        <w:rPr>
          <w:rFonts w:ascii="Calibri" w:eastAsia="Malgun Gothic" w:hAnsi="Calibri" w:cs="Batang"/>
          <w:b/>
          <w:lang w:val="en-GB" w:eastAsia="ko-KR"/>
        </w:rPr>
        <w:t xml:space="preserve">Proposal 2: </w:t>
      </w:r>
      <w:r w:rsidR="002F05F3">
        <w:rPr>
          <w:rFonts w:ascii="Calibri" w:eastAsia="Malgun Gothic" w:hAnsi="Calibri" w:cs="Batang"/>
          <w:b/>
          <w:lang w:val="en-GB" w:eastAsia="ko-KR"/>
        </w:rPr>
        <w:t>Field(s) in the</w:t>
      </w:r>
      <w:r>
        <w:rPr>
          <w:rFonts w:ascii="Calibri" w:eastAsia="Malgun Gothic" w:hAnsi="Calibri" w:cs="Batang"/>
          <w:b/>
          <w:lang w:val="en-GB" w:eastAsia="ko-KR"/>
        </w:rPr>
        <w:t xml:space="preserve"> BAP control PDU should be defined for carrying a backhaul scheduling benefit metric</w:t>
      </w:r>
      <w:r w:rsidR="002F05F3">
        <w:rPr>
          <w:rFonts w:ascii="Calibri" w:eastAsia="Malgun Gothic" w:hAnsi="Calibri" w:cs="Batang"/>
          <w:b/>
          <w:lang w:val="en-GB" w:eastAsia="ko-KR"/>
        </w:rPr>
        <w:t>(s)</w:t>
      </w:r>
      <w:r>
        <w:rPr>
          <w:rFonts w:ascii="Calibri" w:eastAsia="Malgun Gothic" w:hAnsi="Calibri" w:cs="Batang"/>
          <w:b/>
          <w:lang w:val="en-GB" w:eastAsia="ko-KR"/>
        </w:rPr>
        <w:t>.</w:t>
      </w:r>
    </w:p>
    <w:p w14:paraId="5CEE63D8" w14:textId="31FD383E" w:rsidR="006B7B96" w:rsidRDefault="006B7B96" w:rsidP="006B7B96">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Local routing</w:t>
      </w:r>
    </w:p>
    <w:p w14:paraId="3DAA1A79" w14:textId="04062851" w:rsidR="00D624C1" w:rsidRDefault="006B7B96" w:rsidP="004A700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 at IAB nodes. When there is a link failure at an IAB node, per agreement from RAN2#108, the IAB node performs a local path selection:</w:t>
      </w:r>
    </w:p>
    <w:p w14:paraId="3008CD93" w14:textId="77777777" w:rsidR="006B7B96" w:rsidRDefault="006B7B96" w:rsidP="006B7B96">
      <w:pPr>
        <w:pStyle w:val="Agreement"/>
      </w:pPr>
      <w:r>
        <w:t xml:space="preserve">If there is a packet with a path ID with no matching entry in the routing table, routing is done based on destination address. </w:t>
      </w:r>
    </w:p>
    <w:p w14:paraId="5CC34077" w14:textId="77777777" w:rsidR="006B7B96" w:rsidRPr="00AF40A0" w:rsidRDefault="006B7B96" w:rsidP="006B7B96">
      <w:pPr>
        <w:pStyle w:val="Agreement"/>
        <w:rPr>
          <w:lang w:val="en-US" w:eastAsia="zh-CN"/>
        </w:rPr>
      </w:pPr>
      <w:r>
        <w:rPr>
          <w:rFonts w:hint="eastAsia"/>
          <w:lang w:val="en-US" w:eastAsia="zh-CN"/>
        </w:rPr>
        <w:t xml:space="preserve">Packet re-routing </w:t>
      </w:r>
      <w:r>
        <w:rPr>
          <w:lang w:val="en-US" w:eastAsia="zh-CN"/>
        </w:rPr>
        <w:t xml:space="preserve">when there is a matching path ID in the routing table </w:t>
      </w:r>
      <w:r>
        <w:rPr>
          <w:rFonts w:hint="eastAsia"/>
          <w:lang w:val="en-US" w:eastAsia="zh-CN"/>
        </w:rPr>
        <w:t xml:space="preserve">is </w:t>
      </w:r>
      <w:r>
        <w:rPr>
          <w:lang w:val="en-US" w:eastAsia="zh-CN"/>
        </w:rPr>
        <w:t>only</w:t>
      </w:r>
      <w:r>
        <w:rPr>
          <w:rFonts w:hint="eastAsia"/>
          <w:lang w:val="en-US" w:eastAsia="zh-CN"/>
        </w:rPr>
        <w:t xml:space="preserve"> </w:t>
      </w:r>
      <w:r>
        <w:rPr>
          <w:lang w:val="en-US" w:eastAsia="zh-CN"/>
        </w:rPr>
        <w:t>supported</w:t>
      </w:r>
      <w:r>
        <w:rPr>
          <w:rFonts w:hint="eastAsia"/>
          <w:lang w:val="en-US" w:eastAsia="zh-CN"/>
        </w:rPr>
        <w:t xml:space="preserve"> in </w:t>
      </w:r>
      <w:r>
        <w:rPr>
          <w:lang w:val="en-US" w:eastAsia="zh-CN"/>
        </w:rPr>
        <w:t>egress-link-not-available (</w:t>
      </w:r>
      <w:r>
        <w:rPr>
          <w:rFonts w:hint="eastAsia"/>
          <w:lang w:val="en-US" w:eastAsia="zh-CN"/>
        </w:rPr>
        <w:t>RLF</w:t>
      </w:r>
      <w:r>
        <w:rPr>
          <w:lang w:val="en-US" w:eastAsia="zh-CN"/>
        </w:rPr>
        <w:t>)</w:t>
      </w:r>
      <w:r>
        <w:rPr>
          <w:rFonts w:hint="eastAsia"/>
          <w:lang w:val="en-US" w:eastAsia="zh-CN"/>
        </w:rPr>
        <w:t xml:space="preserve"> scenario. </w:t>
      </w:r>
    </w:p>
    <w:p w14:paraId="498CFAAF" w14:textId="77777777" w:rsidR="006B7B96" w:rsidRDefault="006B7B96" w:rsidP="006B7B96">
      <w:pPr>
        <w:pStyle w:val="Agreement"/>
      </w:pPr>
      <w:r>
        <w:lastRenderedPageBreak/>
        <w:t>We do not introduce support for path ID modification not even for re-routing (modification is not strictly forbidden but no support)</w:t>
      </w:r>
    </w:p>
    <w:p w14:paraId="6EBF5904" w14:textId="77777777" w:rsidR="006B7B96" w:rsidRDefault="006B7B96" w:rsidP="004A7002">
      <w:pPr>
        <w:rPr>
          <w:rFonts w:ascii="Calibri" w:eastAsia="Malgun Gothic" w:hAnsi="Calibri" w:cs="Batang"/>
          <w:lang w:val="en-GB" w:eastAsia="ko-KR"/>
        </w:rPr>
      </w:pPr>
    </w:p>
    <w:p w14:paraId="521003C7" w14:textId="7F4E3475" w:rsidR="00DC7782" w:rsidRDefault="006B7B96" w:rsidP="00DC778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w:t>
      </w:r>
      <w:r w:rsidR="00DC7782">
        <w:rPr>
          <w:rFonts w:ascii="Calibri" w:eastAsia="Malgun Gothic" w:hAnsi="Calibri" w:cs="Batang"/>
          <w:lang w:val="en-GB" w:eastAsia="ko-KR"/>
        </w:rPr>
        <w:t>, and even when there is no link failure, when at least two paths are configured at an IAB node for the same destination node, populating a donor-managed cost metric per path in routing tables at IAB nodes allows the donor CU to perform semi-static load balancing at any IAB node. Given that Rel-17 is considering additional scenarios for IAB deployments including scenarios where topology adaptation events are more frequent and may even span donor nodes, RAN2 should revisit the limitation on re-routing for only link failure scenarios.</w:t>
      </w:r>
    </w:p>
    <w:p w14:paraId="763F6BA7" w14:textId="40626610" w:rsidR="00DC7782" w:rsidRPr="00DC7782" w:rsidRDefault="00DC7782" w:rsidP="00DC7782">
      <w:pPr>
        <w:rPr>
          <w:rFonts w:ascii="Calibri" w:eastAsia="Malgun Gothic" w:hAnsi="Calibri" w:cs="Batang"/>
          <w:b/>
          <w:bCs/>
          <w:lang w:val="en-GB" w:eastAsia="ko-KR"/>
        </w:rPr>
      </w:pPr>
      <w:r>
        <w:rPr>
          <w:rFonts w:ascii="Calibri" w:eastAsia="Malgun Gothic" w:hAnsi="Calibri" w:cs="Batang"/>
          <w:b/>
          <w:bCs/>
          <w:lang w:val="en-GB" w:eastAsia="ko-KR"/>
        </w:rPr>
        <w:t xml:space="preserve">Proposal 3: </w:t>
      </w:r>
      <w:r w:rsidR="006312AA">
        <w:rPr>
          <w:rFonts w:ascii="Calibri" w:eastAsia="Malgun Gothic" w:hAnsi="Calibri" w:cs="Batang"/>
          <w:b/>
          <w:bCs/>
          <w:lang w:val="en-GB" w:eastAsia="ko-KR"/>
        </w:rPr>
        <w:t xml:space="preserve"> Remove the restriction that p</w:t>
      </w:r>
      <w:r w:rsidR="006312AA" w:rsidRPr="006312AA">
        <w:rPr>
          <w:rFonts w:ascii="Calibri" w:eastAsia="Malgun Gothic" w:hAnsi="Calibri" w:cs="Batang"/>
          <w:b/>
          <w:bCs/>
          <w:lang w:val="en-GB" w:eastAsia="ko-KR"/>
        </w:rPr>
        <w:t xml:space="preserve">acket re-routing when there is a matching path ID in the routing table is </w:t>
      </w:r>
      <w:r w:rsidR="006312AA">
        <w:rPr>
          <w:rFonts w:ascii="Calibri" w:eastAsia="Malgun Gothic" w:hAnsi="Calibri" w:cs="Batang"/>
          <w:b/>
          <w:bCs/>
          <w:lang w:val="en-GB" w:eastAsia="ko-KR"/>
        </w:rPr>
        <w:t xml:space="preserve">only </w:t>
      </w:r>
      <w:r w:rsidR="006312AA" w:rsidRPr="006312AA">
        <w:rPr>
          <w:rFonts w:ascii="Calibri" w:eastAsia="Malgun Gothic" w:hAnsi="Calibri" w:cs="Batang"/>
          <w:b/>
          <w:bCs/>
          <w:lang w:val="en-GB" w:eastAsia="ko-KR"/>
        </w:rPr>
        <w:t xml:space="preserve">supported </w:t>
      </w:r>
      <w:r w:rsidR="006312AA">
        <w:rPr>
          <w:rFonts w:ascii="Calibri" w:eastAsia="Malgun Gothic" w:hAnsi="Calibri" w:cs="Batang"/>
          <w:b/>
          <w:bCs/>
          <w:lang w:val="en-GB" w:eastAsia="ko-KR"/>
        </w:rPr>
        <w:t>in the</w:t>
      </w:r>
      <w:r w:rsidR="006312AA" w:rsidRPr="006312AA">
        <w:rPr>
          <w:rFonts w:ascii="Calibri" w:eastAsia="Malgun Gothic" w:hAnsi="Calibri" w:cs="Batang"/>
          <w:b/>
          <w:bCs/>
          <w:lang w:val="en-GB" w:eastAsia="ko-KR"/>
        </w:rPr>
        <w:t xml:space="preserve"> egress-link-not-available (RLF) scenario.</w:t>
      </w:r>
    </w:p>
    <w:p w14:paraId="7B45638B" w14:textId="4B6DC06F" w:rsidR="006B7B96" w:rsidRPr="00351A03" w:rsidRDefault="006B7B96" w:rsidP="004A7002">
      <w:pPr>
        <w:rPr>
          <w:rFonts w:ascii="Calibri" w:eastAsia="Malgun Gothic" w:hAnsi="Calibri" w:cs="Batang"/>
          <w:b/>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216C67E8"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w:t>
      </w:r>
      <w:r w:rsidR="002F05F3">
        <w:rPr>
          <w:rFonts w:ascii="Calibri" w:hAnsi="Calibri"/>
        </w:rPr>
        <w:t xml:space="preserve"> and local routing</w:t>
      </w:r>
      <w:r>
        <w:rPr>
          <w:rFonts w:ascii="Calibri" w:hAnsi="Calibri"/>
        </w:rPr>
        <w:t xml:space="preserve">.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7746D78F" w14:textId="77777777"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xml:space="preserve">: </w:t>
      </w:r>
      <w:r>
        <w:rPr>
          <w:rFonts w:ascii="Calibri" w:eastAsia="Malgun Gothic" w:hAnsi="Calibri" w:cs="Batang"/>
          <w:b/>
          <w:lang w:val="en-GB" w:eastAsia="ko-KR"/>
        </w:rPr>
        <w:t>Add the</w:t>
      </w:r>
      <w:r w:rsidRPr="004131D6">
        <w:rPr>
          <w:rFonts w:ascii="Calibri" w:eastAsia="Malgun Gothic" w:hAnsi="Calibri" w:cs="Batang"/>
          <w:b/>
          <w:lang w:val="en-GB" w:eastAsia="ko-KR"/>
        </w:rPr>
        <w:t xml:space="preserve"> </w:t>
      </w:r>
      <w:r>
        <w:rPr>
          <w:rFonts w:ascii="Calibri" w:eastAsia="Malgun Gothic" w:hAnsi="Calibri" w:cs="Batang"/>
          <w:b/>
          <w:lang w:val="en-GB" w:eastAsia="ko-KR"/>
        </w:rPr>
        <w:t xml:space="preserve">exchange of </w:t>
      </w:r>
      <w:r w:rsidRPr="004131D6">
        <w:rPr>
          <w:rFonts w:ascii="Calibri" w:eastAsia="Malgun Gothic" w:hAnsi="Calibri" w:cs="Batang"/>
          <w:b/>
          <w:lang w:val="en-GB" w:eastAsia="ko-KR"/>
        </w:rPr>
        <w:t xml:space="preserve">a </w:t>
      </w:r>
      <w:r>
        <w:rPr>
          <w:rFonts w:ascii="Calibri" w:eastAsia="Malgun Gothic" w:hAnsi="Calibri" w:cs="Batang"/>
          <w:b/>
          <w:lang w:val="en-GB" w:eastAsia="ko-KR"/>
        </w:rPr>
        <w:t xml:space="preserve">backhaul scheduling </w:t>
      </w:r>
      <w:r w:rsidRPr="004131D6">
        <w:rPr>
          <w:rFonts w:ascii="Calibri" w:eastAsia="Malgun Gothic" w:hAnsi="Calibri" w:cs="Batang"/>
          <w:b/>
          <w:lang w:val="en-GB" w:eastAsia="ko-KR"/>
        </w:rPr>
        <w:t xml:space="preserve">benefit </w:t>
      </w:r>
      <w:r>
        <w:rPr>
          <w:rFonts w:ascii="Calibri" w:eastAsia="Malgun Gothic" w:hAnsi="Calibri" w:cs="Batang"/>
          <w:b/>
          <w:lang w:val="en-GB" w:eastAsia="ko-KR"/>
        </w:rPr>
        <w:t xml:space="preserve">metric to the list of functions of the BAP sublayer in 38.300. </w:t>
      </w:r>
    </w:p>
    <w:p w14:paraId="6D3A2665" w14:textId="35361846"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2: Field(s) in the BAP control PDU should be defined for carrying a backhaul scheduling benefit metric(s).</w:t>
      </w:r>
    </w:p>
    <w:p w14:paraId="57C816BD" w14:textId="77777777" w:rsidR="006312AA" w:rsidRPr="00DC7782" w:rsidRDefault="006312AA" w:rsidP="006312AA">
      <w:pPr>
        <w:rPr>
          <w:rFonts w:ascii="Calibri" w:eastAsia="Malgun Gothic" w:hAnsi="Calibri" w:cs="Batang"/>
          <w:b/>
          <w:bCs/>
          <w:lang w:val="en-GB" w:eastAsia="ko-KR"/>
        </w:rPr>
      </w:pPr>
      <w:r>
        <w:rPr>
          <w:rFonts w:ascii="Calibri" w:eastAsia="Malgun Gothic" w:hAnsi="Calibri" w:cs="Batang"/>
          <w:b/>
          <w:bCs/>
          <w:lang w:val="en-GB" w:eastAsia="ko-KR"/>
        </w:rPr>
        <w:t>Proposal 3:  Remove the restriction that p</w:t>
      </w:r>
      <w:r w:rsidRPr="006312AA">
        <w:rPr>
          <w:rFonts w:ascii="Calibri" w:eastAsia="Malgun Gothic" w:hAnsi="Calibri" w:cs="Batang"/>
          <w:b/>
          <w:bCs/>
          <w:lang w:val="en-GB" w:eastAsia="ko-KR"/>
        </w:rPr>
        <w:t xml:space="preserve">acket re-routing when there is a matching path ID in the routing table is </w:t>
      </w:r>
      <w:r>
        <w:rPr>
          <w:rFonts w:ascii="Calibri" w:eastAsia="Malgun Gothic" w:hAnsi="Calibri" w:cs="Batang"/>
          <w:b/>
          <w:bCs/>
          <w:lang w:val="en-GB" w:eastAsia="ko-KR"/>
        </w:rPr>
        <w:t xml:space="preserve">only </w:t>
      </w:r>
      <w:r w:rsidRPr="006312AA">
        <w:rPr>
          <w:rFonts w:ascii="Calibri" w:eastAsia="Malgun Gothic" w:hAnsi="Calibri" w:cs="Batang"/>
          <w:b/>
          <w:bCs/>
          <w:lang w:val="en-GB" w:eastAsia="ko-KR"/>
        </w:rPr>
        <w:t xml:space="preserve">supported </w:t>
      </w:r>
      <w:r>
        <w:rPr>
          <w:rFonts w:ascii="Calibri" w:eastAsia="Malgun Gothic" w:hAnsi="Calibri" w:cs="Batang"/>
          <w:b/>
          <w:bCs/>
          <w:lang w:val="en-GB" w:eastAsia="ko-KR"/>
        </w:rPr>
        <w:t>in the</w:t>
      </w:r>
      <w:r w:rsidRPr="006312AA">
        <w:rPr>
          <w:rFonts w:ascii="Calibri" w:eastAsia="Malgun Gothic" w:hAnsi="Calibri" w:cs="Batang"/>
          <w:b/>
          <w:bCs/>
          <w:lang w:val="en-GB" w:eastAsia="ko-KR"/>
        </w:rPr>
        <w:t xml:space="preserve"> egress-link-not-available (RLF) scenario.</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741D7C07" w14:textId="323C0014"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w:t>
      </w:r>
      <w:r w:rsidR="00AF2F00">
        <w:rPr>
          <w:rFonts w:cs="Times New Roman"/>
          <w:lang w:eastAsia="ko-KR"/>
        </w:rPr>
        <w:t>201293 New</w:t>
      </w:r>
      <w:r w:rsidRPr="004131D6">
        <w:rPr>
          <w:rFonts w:cs="Times New Roman"/>
          <w:lang w:eastAsia="ko-KR"/>
        </w:rPr>
        <w:t xml:space="preserve"> WID</w:t>
      </w:r>
      <w:r w:rsidR="00AF2F00">
        <w:rPr>
          <w:rFonts w:cs="Times New Roman"/>
          <w:lang w:eastAsia="ko-KR"/>
        </w:rPr>
        <w:t xml:space="preserve"> on Enhancements to</w:t>
      </w:r>
      <w:r w:rsidRPr="004131D6">
        <w:rPr>
          <w:rFonts w:cs="Times New Roman"/>
          <w:lang w:eastAsia="ko-KR"/>
        </w:rPr>
        <w:t xml:space="preserve"> Integrated Access and Backhau</w:t>
      </w:r>
      <w:r w:rsidR="00AF2F00">
        <w:rPr>
          <w:rFonts w:cs="Times New Roman"/>
          <w:lang w:eastAsia="ko-KR"/>
        </w:rPr>
        <w:t>l</w:t>
      </w:r>
      <w:r>
        <w:rPr>
          <w:rFonts w:cs="Times New Roman"/>
          <w:lang w:eastAsia="ko-KR"/>
        </w:rPr>
        <w:t>, Qualcomm</w:t>
      </w:r>
    </w:p>
    <w:p w14:paraId="2A2C159A" w14:textId="57AF5620" w:rsidR="00FE6C15" w:rsidRDefault="00BB6E66" w:rsidP="00BD2886">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sectPr w:rsidR="00FE6C1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2C87B" w14:textId="77777777" w:rsidR="00563B2C" w:rsidRDefault="00563B2C" w:rsidP="00424124">
      <w:pPr>
        <w:spacing w:before="0" w:after="0"/>
      </w:pPr>
      <w:r>
        <w:separator/>
      </w:r>
    </w:p>
  </w:endnote>
  <w:endnote w:type="continuationSeparator" w:id="0">
    <w:p w14:paraId="5601C481" w14:textId="77777777" w:rsidR="00563B2C" w:rsidRDefault="00563B2C"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92F00" w14:textId="77777777" w:rsidR="00563B2C" w:rsidRDefault="00563B2C" w:rsidP="00424124">
      <w:pPr>
        <w:spacing w:before="0" w:after="0"/>
      </w:pPr>
      <w:r>
        <w:separator/>
      </w:r>
    </w:p>
  </w:footnote>
  <w:footnote w:type="continuationSeparator" w:id="0">
    <w:p w14:paraId="5AEBF896" w14:textId="77777777" w:rsidR="00563B2C" w:rsidRDefault="00563B2C"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1"/>
  </w:num>
  <w:num w:numId="15">
    <w:abstractNumId w:val="1"/>
  </w:num>
  <w:num w:numId="16">
    <w:abstractNumId w:val="19"/>
  </w:num>
  <w:num w:numId="17">
    <w:abstractNumId w:val="14"/>
  </w:num>
  <w:num w:numId="18">
    <w:abstractNumId w:val="11"/>
  </w:num>
  <w:num w:numId="19">
    <w:abstractNumId w:val="5"/>
  </w:num>
  <w:num w:numId="20">
    <w:abstractNumId w:val="20"/>
  </w:num>
  <w:num w:numId="21">
    <w:abstractNumId w:val="8"/>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9CA"/>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4658"/>
    <w:rsid w:val="001279BC"/>
    <w:rsid w:val="00131029"/>
    <w:rsid w:val="00137E15"/>
    <w:rsid w:val="001417A8"/>
    <w:rsid w:val="00145C4F"/>
    <w:rsid w:val="00153793"/>
    <w:rsid w:val="00164A98"/>
    <w:rsid w:val="00172743"/>
    <w:rsid w:val="00175301"/>
    <w:rsid w:val="00182657"/>
    <w:rsid w:val="001A2D03"/>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3B2C"/>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12AA"/>
    <w:rsid w:val="00632789"/>
    <w:rsid w:val="00633934"/>
    <w:rsid w:val="00634707"/>
    <w:rsid w:val="00636F9E"/>
    <w:rsid w:val="006439F2"/>
    <w:rsid w:val="00644034"/>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4F9"/>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9F667C"/>
    <w:rsid w:val="00A0235E"/>
    <w:rsid w:val="00A04526"/>
    <w:rsid w:val="00A074B7"/>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2F00"/>
    <w:rsid w:val="00AF4BBC"/>
    <w:rsid w:val="00AF5875"/>
    <w:rsid w:val="00AF65DE"/>
    <w:rsid w:val="00B029FE"/>
    <w:rsid w:val="00B04278"/>
    <w:rsid w:val="00B12672"/>
    <w:rsid w:val="00B2434D"/>
    <w:rsid w:val="00B24D29"/>
    <w:rsid w:val="00B32216"/>
    <w:rsid w:val="00B34716"/>
    <w:rsid w:val="00B3707E"/>
    <w:rsid w:val="00B40DE1"/>
    <w:rsid w:val="00B55FA2"/>
    <w:rsid w:val="00B61A13"/>
    <w:rsid w:val="00B6232D"/>
    <w:rsid w:val="00B63DB8"/>
    <w:rsid w:val="00B648CA"/>
    <w:rsid w:val="00B6614F"/>
    <w:rsid w:val="00B74894"/>
    <w:rsid w:val="00B749FB"/>
    <w:rsid w:val="00B75FF7"/>
    <w:rsid w:val="00B82B83"/>
    <w:rsid w:val="00B831C8"/>
    <w:rsid w:val="00B909F7"/>
    <w:rsid w:val="00B94DF8"/>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4984"/>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76055-9C3E-49B9-B143-0CE94F08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10231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Thomas Novlan (AT&amp;T Labs)</cp:lastModifiedBy>
  <cp:revision>4</cp:revision>
  <cp:lastPrinted>2018-09-28T20:14:00Z</cp:lastPrinted>
  <dcterms:created xsi:type="dcterms:W3CDTF">2021-01-14T19:31:00Z</dcterms:created>
  <dcterms:modified xsi:type="dcterms:W3CDTF">2021-01-15T04:04:00Z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