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EE89D" w14:textId="639F3A9D" w:rsidR="00446965" w:rsidRDefault="0062356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CC1CA4">
        <w:rPr>
          <w:rFonts w:eastAsia="SimSun" w:cs="Arial"/>
          <w:b/>
          <w:kern w:val="0"/>
          <w:sz w:val="28"/>
          <w:szCs w:val="28"/>
          <w:lang w:val="en-US" w:eastAsia="en-US"/>
        </w:rPr>
        <w:t>3</w:t>
      </w:r>
      <w:r w:rsidR="00E35D73">
        <w:rPr>
          <w:rFonts w:eastAsia="SimSun" w:cs="Arial"/>
          <w:b/>
          <w:kern w:val="0"/>
          <w:sz w:val="28"/>
          <w:szCs w:val="28"/>
          <w:lang w:val="en-US" w:eastAsia="en-US"/>
        </w:rPr>
        <w:t>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sidR="002843CF">
        <w:rPr>
          <w:rFonts w:eastAsia="SimSun" w:cs="Arial"/>
          <w:b/>
          <w:kern w:val="0"/>
          <w:sz w:val="28"/>
          <w:szCs w:val="28"/>
          <w:lang w:val="en-US" w:eastAsia="en-US"/>
        </w:rPr>
        <w:tab/>
      </w:r>
      <w:r w:rsidR="00C72A2D" w:rsidRPr="00C72A2D">
        <w:rPr>
          <w:rFonts w:eastAsia="SimSun" w:cs="Arial"/>
          <w:b/>
          <w:kern w:val="0"/>
          <w:sz w:val="28"/>
          <w:szCs w:val="28"/>
          <w:lang w:val="en-US" w:eastAsia="en-US"/>
        </w:rPr>
        <w:t>R2-2101161</w:t>
      </w:r>
    </w:p>
    <w:p w14:paraId="25BE9ED6" w14:textId="4AFC8040" w:rsidR="00446965" w:rsidRDefault="00E35D73">
      <w:pPr>
        <w:keepLines/>
        <w:widowControl/>
        <w:tabs>
          <w:tab w:val="left" w:pos="567"/>
        </w:tabs>
        <w:adjustRightInd w:val="0"/>
        <w:snapToGrid w:val="0"/>
        <w:spacing w:after="0" w:line="276" w:lineRule="auto"/>
        <w:jc w:val="left"/>
        <w:rPr>
          <w:rFonts w:cs="Arial"/>
          <w:b/>
          <w:bCs/>
          <w:kern w:val="0"/>
          <w:sz w:val="28"/>
          <w:szCs w:val="28"/>
        </w:rPr>
      </w:pPr>
      <w:r w:rsidRPr="00E35D73">
        <w:rPr>
          <w:rFonts w:eastAsia="SimSun" w:cs="Arial"/>
          <w:b/>
          <w:kern w:val="0"/>
          <w:sz w:val="28"/>
          <w:szCs w:val="28"/>
          <w:lang w:val="en-US" w:eastAsia="en-US"/>
        </w:rPr>
        <w:t>Electronic meeting, Jan 25 – Feb 5, 2021</w:t>
      </w:r>
      <w:r w:rsidR="0062356C">
        <w:rPr>
          <w:rFonts w:eastAsia="SimSun" w:cs="Arial"/>
          <w:b/>
          <w:kern w:val="0"/>
          <w:sz w:val="28"/>
          <w:szCs w:val="28"/>
          <w:lang w:val="en-US" w:eastAsia="en-US"/>
        </w:rPr>
        <w:tab/>
      </w:r>
      <w:r w:rsidR="0062356C">
        <w:rPr>
          <w:rFonts w:cs="Arial"/>
          <w:b/>
          <w:bCs/>
          <w:kern w:val="0"/>
          <w:sz w:val="28"/>
          <w:szCs w:val="28"/>
        </w:rPr>
        <w:tab/>
        <w:t xml:space="preserve">      </w:t>
      </w:r>
      <w:r w:rsidR="0062356C">
        <w:rPr>
          <w:rFonts w:cs="Arial"/>
          <w:b/>
          <w:bCs/>
          <w:color w:val="D9D9D9" w:themeColor="background1" w:themeShade="D9"/>
          <w:kern w:val="0"/>
          <w:sz w:val="20"/>
          <w:szCs w:val="28"/>
        </w:rPr>
        <w:t xml:space="preserve">   </w:t>
      </w:r>
    </w:p>
    <w:p w14:paraId="1CE03C61" w14:textId="77777777" w:rsidR="00446965" w:rsidRDefault="0062356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1791766" w14:textId="77777777" w:rsidR="00446965" w:rsidRDefault="0062356C">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aspects of SDT </w:t>
      </w:r>
    </w:p>
    <w:p w14:paraId="7D838CCD" w14:textId="5C2C1399" w:rsidR="00446965" w:rsidRDefault="0062356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532B61" w:rsidRPr="00C72A2D">
        <w:rPr>
          <w:rFonts w:cs="Arial"/>
          <w:b/>
          <w:bCs/>
          <w:snapToGrid w:val="0"/>
          <w:kern w:val="0"/>
          <w:sz w:val="28"/>
          <w:szCs w:val="28"/>
        </w:rPr>
        <w:t>8.6.3</w:t>
      </w:r>
    </w:p>
    <w:p w14:paraId="3ABD9221" w14:textId="21F8B17F" w:rsidR="00446965" w:rsidRDefault="0062356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59BC6FF"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142DD14C" w14:textId="77777777" w:rsidR="00446965" w:rsidRDefault="0062356C">
      <w:pPr>
        <w:pStyle w:val="NormalWeb"/>
        <w:spacing w:before="75" w:beforeAutospacing="0" w:after="75" w:afterAutospacing="0" w:line="315" w:lineRule="atLeast"/>
      </w:pPr>
      <w:r>
        <w:rPr>
          <w:rFonts w:cs="Arial"/>
          <w:color w:val="000000"/>
          <w:sz w:val="21"/>
        </w:rPr>
        <w:t xml:space="preserve">In this document, the control plane aspects of SDT are discussed.  </w:t>
      </w:r>
    </w:p>
    <w:p w14:paraId="3CC30DFA"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SDT type selection and switching</w:t>
      </w:r>
    </w:p>
    <w:p w14:paraId="00C9DFC4" w14:textId="11C34DDA" w:rsidR="00360AB9" w:rsidRDefault="00360AB9">
      <w:r>
        <w:t xml:space="preserve">Based on the email discussion, the following frame work seems agreeable for SDT type selection: </w:t>
      </w:r>
    </w:p>
    <w:p w14:paraId="0C8E60E4" w14:textId="036E9D69" w:rsidR="00360AB9" w:rsidRDefault="00360AB9" w:rsidP="00360AB9">
      <w:pPr>
        <w:pStyle w:val="ListParagraph"/>
        <w:numPr>
          <w:ilvl w:val="0"/>
          <w:numId w:val="12"/>
        </w:numPr>
        <w:ind w:firstLineChars="0"/>
      </w:pPr>
      <w:r>
        <w:t>Once SDT based procedure is triggered by RRC, MAC first performs UL vs SUL selection</w:t>
      </w:r>
    </w:p>
    <w:p w14:paraId="459984E9" w14:textId="42AD3AF4" w:rsidR="00360AB9" w:rsidRDefault="00360AB9" w:rsidP="00360AB9">
      <w:pPr>
        <w:pStyle w:val="ListParagraph"/>
        <w:numPr>
          <w:ilvl w:val="0"/>
          <w:numId w:val="12"/>
        </w:numPr>
        <w:ind w:firstLineChars="0"/>
      </w:pPr>
      <w:r>
        <w:t>If valid SDT resources exist on the selected carrier for CG, then CG-SDT is chosen, otherwise RA-SDT is chosen</w:t>
      </w:r>
    </w:p>
    <w:p w14:paraId="0ABB8A92" w14:textId="178B92BE" w:rsidR="00360AB9" w:rsidRDefault="00360AB9" w:rsidP="00360AB9">
      <w:pPr>
        <w:pStyle w:val="ListParagraph"/>
        <w:numPr>
          <w:ilvl w:val="0"/>
          <w:numId w:val="12"/>
        </w:numPr>
        <w:ind w:firstLineChars="0"/>
      </w:pPr>
      <w:r>
        <w:t>If RA-SDT is chosen, then UE performs 2-step vs 4-step RA selection and UE transmits either MSGA or MSG1 on the chosen SDT resource</w:t>
      </w:r>
    </w:p>
    <w:p w14:paraId="6AD80DBC" w14:textId="77777777" w:rsidR="00360AB9" w:rsidRDefault="00360AB9" w:rsidP="00360AB9">
      <w:r>
        <w:t xml:space="preserve">In addition to the above, at RAN2#111e, the following agreement was made: </w:t>
      </w:r>
    </w:p>
    <w:p w14:paraId="7D93D29D" w14:textId="77777777" w:rsidR="00360AB9" w:rsidRDefault="00360AB9" w:rsidP="00360AB9">
      <w:pPr>
        <w:pStyle w:val="Doc-text2"/>
        <w:pBdr>
          <w:top w:val="single" w:sz="4" w:space="1" w:color="auto"/>
          <w:left w:val="single" w:sz="4" w:space="4" w:color="auto"/>
          <w:bottom w:val="single" w:sz="4" w:space="1" w:color="auto"/>
          <w:right w:val="single" w:sz="4" w:space="4" w:color="auto"/>
        </w:pBdr>
        <w:ind w:left="363"/>
      </w:pPr>
      <w:r>
        <w:t xml:space="preserve">Data volume threshold is used for the UE to decide whether to do SDT or not.   FFS how we calculate data volume.  </w:t>
      </w:r>
    </w:p>
    <w:p w14:paraId="2B03D1D7" w14:textId="77777777" w:rsidR="00360AB9" w:rsidRPr="00360AB9" w:rsidRDefault="00360AB9" w:rsidP="00360AB9">
      <w:pPr>
        <w:pStyle w:val="Doc-text2"/>
        <w:pBdr>
          <w:top w:val="single" w:sz="4" w:space="1" w:color="auto"/>
          <w:left w:val="single" w:sz="4" w:space="4" w:color="auto"/>
          <w:bottom w:val="single" w:sz="4" w:space="1" w:color="auto"/>
          <w:right w:val="single" w:sz="4" w:space="4" w:color="auto"/>
        </w:pBdr>
        <w:ind w:left="363"/>
        <w:rPr>
          <w:b/>
          <w:bCs/>
          <w:i/>
          <w:iCs/>
        </w:rPr>
      </w:pPr>
      <w:r>
        <w:tab/>
      </w:r>
      <w:r w:rsidRPr="00360AB9">
        <w:rPr>
          <w:b/>
          <w:bCs/>
          <w:i/>
          <w:iCs/>
        </w:rPr>
        <w:t>FFS if an “additional SDT specific” RSRP threshold is further used to determine whether the UE should do SDT</w:t>
      </w:r>
    </w:p>
    <w:p w14:paraId="2BFA037C" w14:textId="02A82C02" w:rsidR="00360AB9" w:rsidRDefault="00360AB9" w:rsidP="00360AB9">
      <w:r>
        <w:t xml:space="preserve">Based on the above framework, the overall procedure for SDT will look as shown in </w:t>
      </w:r>
      <w:r>
        <w:fldChar w:fldCharType="begin"/>
      </w:r>
      <w:r>
        <w:instrText xml:space="preserve"> REF _Ref61359927 \h </w:instrText>
      </w:r>
      <w:r>
        <w:fldChar w:fldCharType="separate"/>
      </w:r>
      <w:r>
        <w:t xml:space="preserve">Figure </w:t>
      </w:r>
      <w:r>
        <w:rPr>
          <w:noProof/>
        </w:rPr>
        <w:t>1</w:t>
      </w:r>
      <w:r>
        <w:fldChar w:fldCharType="end"/>
      </w:r>
      <w:r>
        <w:t xml:space="preserve"> below. </w:t>
      </w:r>
    </w:p>
    <w:p w14:paraId="08AD0952" w14:textId="31519A65" w:rsidR="00360AB9" w:rsidRDefault="00360AB9" w:rsidP="00360AB9">
      <w:r>
        <w:t xml:space="preserve">The only open issue seems to be whether at RRC level there is an additional RSRP threshold to select between SDT and non-SDT. It seems such a criterion can be easily incorporated and this may be beneficial in selecting the correct mechanism. Considering that once SDT is selected, UE will perform multiple attempts for the SDT procedure, it seems logical to have an RSRP threshold at RRC level to make this decision. Based on this, the following is proposed to handle the FFS point from RAN2#111e. </w:t>
      </w:r>
    </w:p>
    <w:p w14:paraId="229CD582" w14:textId="052EBE98" w:rsidR="00360AB9" w:rsidRDefault="00360AB9" w:rsidP="00360AB9">
      <w:pPr>
        <w:rPr>
          <w:b/>
          <w:bCs/>
        </w:rPr>
      </w:pPr>
      <w:r w:rsidRPr="00360AB9">
        <w:rPr>
          <w:b/>
          <w:bCs/>
        </w:rPr>
        <w:t>Proposal 1: An RRC level RSRP threshold is used to determine whether the UE initiates SDT procedure or not</w:t>
      </w:r>
    </w:p>
    <w:p w14:paraId="21C79D24" w14:textId="2E626669" w:rsidR="00360AB9" w:rsidRDefault="00307396" w:rsidP="00360AB9">
      <w:pPr>
        <w:keepNext/>
        <w:jc w:val="center"/>
      </w:pPr>
      <w:r>
        <w:object w:dxaOrig="8123" w:dyaOrig="12584" w14:anchorId="33F73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629pt" o:ole="">
            <v:imagedata r:id="rId9" o:title=""/>
          </v:shape>
          <o:OLEObject Type="Embed" ProgID="Visio.Drawing.11" ShapeID="_x0000_i1025" DrawAspect="Content" ObjectID="_1672168923" r:id="rId10"/>
        </w:object>
      </w:r>
    </w:p>
    <w:p w14:paraId="1DC27B13" w14:textId="552FE815" w:rsidR="00360AB9" w:rsidRDefault="00360AB9" w:rsidP="00360AB9">
      <w:pPr>
        <w:pStyle w:val="Caption"/>
        <w:jc w:val="center"/>
      </w:pPr>
      <w:bookmarkStart w:id="5" w:name="_Ref61359927"/>
      <w:r>
        <w:t xml:space="preserve">Figure </w:t>
      </w:r>
      <w:r>
        <w:fldChar w:fldCharType="begin"/>
      </w:r>
      <w:r>
        <w:instrText xml:space="preserve"> SEQ Figure \* ARABIC </w:instrText>
      </w:r>
      <w:r>
        <w:fldChar w:fldCharType="separate"/>
      </w:r>
      <w:r w:rsidR="00EA2914">
        <w:rPr>
          <w:noProof/>
        </w:rPr>
        <w:t>1</w:t>
      </w:r>
      <w:r>
        <w:fldChar w:fldCharType="end"/>
      </w:r>
      <w:bookmarkEnd w:id="5"/>
      <w:r>
        <w:t>: Overall procedure for SDT selection and switching</w:t>
      </w:r>
    </w:p>
    <w:p w14:paraId="75B76DA8" w14:textId="18F6CA35" w:rsidR="00360AB9" w:rsidRDefault="00360AB9" w:rsidP="00360AB9"/>
    <w:p w14:paraId="4EB8169D" w14:textId="77777777" w:rsidR="00360AB9" w:rsidRDefault="00360AB9" w:rsidP="00360AB9"/>
    <w:p w14:paraId="465E1F6F" w14:textId="666ABF6B" w:rsidR="00446965" w:rsidRDefault="0062356C">
      <w:r>
        <w:t xml:space="preserve">One consequence of the above frame work is that there is no switching between RA-SDT and CG-SDT and vice versa. This in general makes sense since RA-SDT will have its own failure handling and CG-SDT will also define a failure handling mechanism (e.g. by triggering reestablishment </w:t>
      </w:r>
      <w:r w:rsidR="008D5F9D">
        <w:t xml:space="preserve">when T319 expires after </w:t>
      </w:r>
      <w:r>
        <w:t xml:space="preserve">multiple CG-SDT retransmissions fail). </w:t>
      </w:r>
      <w:r w:rsidR="00360AB9">
        <w:t>Similarly, legacy Resume also has its own failure criteria and multiple attempts will be made on the chosen procedure</w:t>
      </w:r>
      <w:r w:rsidR="004B0FE8">
        <w:t xml:space="preserve"> before failure is detected</w:t>
      </w:r>
      <w:r w:rsidR="00360AB9">
        <w:t xml:space="preserve">. </w:t>
      </w:r>
      <w:r>
        <w:t xml:space="preserve">Further, if switching between different SDT schemes is allowed then we may also have to consider rebuilding of the payload and </w:t>
      </w:r>
      <w:r w:rsidR="00FC17BB">
        <w:t>the overall procedure will</w:t>
      </w:r>
      <w:r>
        <w:t xml:space="preserve"> be</w:t>
      </w:r>
      <w:r w:rsidR="00FC17BB">
        <w:t xml:space="preserve"> unnecessarily</w:t>
      </w:r>
      <w:r>
        <w:t xml:space="preserve"> complex and </w:t>
      </w:r>
      <w:r w:rsidR="00FC17BB">
        <w:t xml:space="preserve">rebuilding </w:t>
      </w:r>
      <w:r>
        <w:t xml:space="preserve">was avoided in earlier releases </w:t>
      </w:r>
      <w:r w:rsidR="00FC17BB">
        <w:t xml:space="preserve">for similar reasons </w:t>
      </w:r>
      <w:r>
        <w:t>(e.g. for 2-step RACH). Given this, we propose that there is no switching between CG-SDT</w:t>
      </w:r>
      <w:r w:rsidR="004B0FE8">
        <w:t xml:space="preserve">, RA-SDT or legacy Resume. In other words, once a given procedure is initiated, then the UE sticks to the same procedure until failure is detected. </w:t>
      </w:r>
    </w:p>
    <w:p w14:paraId="11A04561" w14:textId="7A3BFE52" w:rsidR="00561EC5" w:rsidRDefault="00561EC5">
      <w:pPr>
        <w:rPr>
          <w:b/>
          <w:bCs/>
        </w:rPr>
      </w:pPr>
      <w:r>
        <w:rPr>
          <w:b/>
          <w:bCs/>
        </w:rPr>
        <w:t>Proposal</w:t>
      </w:r>
      <w:r w:rsidR="00CC2929">
        <w:rPr>
          <w:b/>
          <w:bCs/>
        </w:rPr>
        <w:t xml:space="preserve"> </w:t>
      </w:r>
      <w:r w:rsidR="004B0FE8">
        <w:rPr>
          <w:b/>
          <w:bCs/>
        </w:rPr>
        <w:t>2</w:t>
      </w:r>
      <w:r>
        <w:rPr>
          <w:b/>
          <w:bCs/>
        </w:rPr>
        <w:t>: Switching between CG-SDT</w:t>
      </w:r>
      <w:r w:rsidR="004B0FE8">
        <w:rPr>
          <w:b/>
          <w:bCs/>
        </w:rPr>
        <w:t xml:space="preserve">, </w:t>
      </w:r>
      <w:r>
        <w:rPr>
          <w:b/>
          <w:bCs/>
        </w:rPr>
        <w:t>RA-SDT</w:t>
      </w:r>
      <w:r w:rsidR="004B0FE8">
        <w:rPr>
          <w:b/>
          <w:bCs/>
        </w:rPr>
        <w:t xml:space="preserve"> and legacy resume</w:t>
      </w:r>
      <w:r>
        <w:rPr>
          <w:b/>
          <w:bCs/>
        </w:rPr>
        <w:t xml:space="preserve"> (or vice-versa) is not supported</w:t>
      </w:r>
    </w:p>
    <w:p w14:paraId="6A98844D" w14:textId="4523B5EA" w:rsidR="004B0FE8" w:rsidRDefault="004B0FE8">
      <w:pPr>
        <w:rPr>
          <w:b/>
          <w:bCs/>
        </w:rPr>
      </w:pPr>
      <w:r>
        <w:rPr>
          <w:b/>
          <w:bCs/>
        </w:rPr>
        <w:t>Proposal 3: No MAC PDU rebuilding is specified for SDT</w:t>
      </w:r>
    </w:p>
    <w:p w14:paraId="4A03E99B" w14:textId="45B23113" w:rsidR="001C1BE7" w:rsidRDefault="001C1BE7" w:rsidP="001C1BE7">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Overall procedure for SDT</w:t>
      </w:r>
    </w:p>
    <w:p w14:paraId="60119013" w14:textId="22A9776F" w:rsidR="001C1BE7" w:rsidRDefault="001C1BE7" w:rsidP="001C1BE7">
      <w:r>
        <w:t xml:space="preserve">For both RRC-based approach, in case of both RA-SDT and CG-SDT, it is agreed that there will be an RRC message in the first UL message. However, there was no decision on the timing of the RRCRelease message. Companies have discussed two different options: </w:t>
      </w:r>
    </w:p>
    <w:p w14:paraId="5A5798AB" w14:textId="62DB4F02" w:rsidR="001C1BE7" w:rsidRDefault="001C1BE7" w:rsidP="001C1BE7">
      <w:r>
        <w:t>Option 1: RRCRelease message is sent at the end and this terminates the SDT procedure</w:t>
      </w:r>
    </w:p>
    <w:p w14:paraId="1272F72A" w14:textId="4F08C2F6" w:rsidR="001C1BE7" w:rsidRDefault="001C1BE7" w:rsidP="001C1BE7">
      <w:pPr>
        <w:pStyle w:val="ListParagraph"/>
        <w:numPr>
          <w:ilvl w:val="0"/>
          <w:numId w:val="12"/>
        </w:numPr>
        <w:ind w:firstLineChars="0"/>
      </w:pPr>
      <w:r>
        <w:t>This approach is very similar to the current approach where the reception of RRCRelease message happens at the end of the procedure and upon receiving RRCRelease, UE moves to INACTIVE state (if suspend configuration is included)</w:t>
      </w:r>
    </w:p>
    <w:p w14:paraId="1E2C3ED8" w14:textId="300F6B13" w:rsidR="001C1BE7" w:rsidRDefault="001C1BE7" w:rsidP="001C1BE7">
      <w:r>
        <w:t>Option 2: RRCRelease message is received in response to first UL message and the UE’s transition back to INACTIVE state is controlled by a timer</w:t>
      </w:r>
    </w:p>
    <w:p w14:paraId="5A8B76C4" w14:textId="501D49E0" w:rsidR="001C1BE7" w:rsidRDefault="001C1BE7" w:rsidP="001C1BE7">
      <w:r>
        <w:t xml:space="preserve">These options are depicted in </w:t>
      </w:r>
      <w:r w:rsidR="00EA2914">
        <w:fldChar w:fldCharType="begin"/>
      </w:r>
      <w:r w:rsidR="00EA2914">
        <w:instrText xml:space="preserve"> REF _Ref61445193 \h </w:instrText>
      </w:r>
      <w:r w:rsidR="00EA2914">
        <w:fldChar w:fldCharType="separate"/>
      </w:r>
      <w:r w:rsidR="00EA2914">
        <w:t xml:space="preserve">Figure </w:t>
      </w:r>
      <w:r w:rsidR="00EA2914">
        <w:rPr>
          <w:noProof/>
        </w:rPr>
        <w:t>2</w:t>
      </w:r>
      <w:r w:rsidR="00EA2914">
        <w:fldChar w:fldCharType="end"/>
      </w:r>
      <w:r>
        <w:t xml:space="preserve"> below: </w:t>
      </w:r>
    </w:p>
    <w:p w14:paraId="12E27AC4" w14:textId="77777777" w:rsidR="00EA2914" w:rsidRDefault="00EA2914" w:rsidP="00EA2914">
      <w:pPr>
        <w:keepNext/>
        <w:jc w:val="center"/>
      </w:pPr>
      <w:r>
        <w:object w:dxaOrig="11167" w:dyaOrig="6518" w14:anchorId="56A0E4CD">
          <v:shape id="_x0000_i1026" type="#_x0000_t75" style="width:488.4pt;height:285.3pt" o:ole="">
            <v:imagedata r:id="rId11" o:title=""/>
          </v:shape>
          <o:OLEObject Type="Embed" ProgID="Visio.Drawing.11" ShapeID="_x0000_i1026" DrawAspect="Content" ObjectID="_1672168924" r:id="rId12"/>
        </w:object>
      </w:r>
    </w:p>
    <w:p w14:paraId="14694EA2" w14:textId="2DCB753E" w:rsidR="001C1BE7" w:rsidRPr="001C1BE7" w:rsidRDefault="00EA2914" w:rsidP="00EA2914">
      <w:pPr>
        <w:pStyle w:val="Caption"/>
        <w:jc w:val="center"/>
      </w:pPr>
      <w:bookmarkStart w:id="6" w:name="_Ref61445193"/>
      <w:r>
        <w:t xml:space="preserve">Figure </w:t>
      </w:r>
      <w:r>
        <w:fldChar w:fldCharType="begin"/>
      </w:r>
      <w:r>
        <w:instrText xml:space="preserve"> SEQ Figure \* ARABIC </w:instrText>
      </w:r>
      <w:r>
        <w:fldChar w:fldCharType="separate"/>
      </w:r>
      <w:r>
        <w:rPr>
          <w:noProof/>
        </w:rPr>
        <w:t>2</w:t>
      </w:r>
      <w:r>
        <w:fldChar w:fldCharType="end"/>
      </w:r>
      <w:bookmarkEnd w:id="6"/>
      <w:r>
        <w:t>: Overall procedure for SDT</w:t>
      </w:r>
    </w:p>
    <w:p w14:paraId="0606B2BE" w14:textId="18DF3978" w:rsidR="001C1BE7" w:rsidRDefault="00EA2914">
      <w:r>
        <w:t>Both option1 and option 2 seem feasible, however, option 1 is fairly similar to the existing procedure of RRCResume and reuses most of the procedural aspects. Option 2 on the other hand needs a new timer to be defined.</w:t>
      </w:r>
      <w:r w:rsidR="00C4024B">
        <w:t xml:space="preserve"> Although option 1 is simple, option 2 might provide some advantages if RRCRelease message could potentially be useful, e.g. to configure some basic physical layer parameters for the SDT session etc. However, from RAN2 perspective, it seems there is not much difference and option 1 is actually simpler to specify. Based on the above, we propose the following</w:t>
      </w:r>
      <w:r>
        <w:t xml:space="preserve">: </w:t>
      </w:r>
    </w:p>
    <w:p w14:paraId="09022C93" w14:textId="554B6E78" w:rsidR="00EA2914" w:rsidRPr="00EA2914" w:rsidRDefault="00EA2914">
      <w:pPr>
        <w:rPr>
          <w:b/>
          <w:bCs/>
        </w:rPr>
      </w:pPr>
      <w:r w:rsidRPr="00EA2914">
        <w:rPr>
          <w:b/>
          <w:bCs/>
        </w:rPr>
        <w:t>Proposal</w:t>
      </w:r>
      <w:r>
        <w:rPr>
          <w:b/>
          <w:bCs/>
        </w:rPr>
        <w:t xml:space="preserve"> 4</w:t>
      </w:r>
      <w:r w:rsidRPr="00EA2914">
        <w:rPr>
          <w:b/>
          <w:bCs/>
        </w:rPr>
        <w:t xml:space="preserve">: </w:t>
      </w:r>
      <w:r w:rsidR="00C4024B">
        <w:rPr>
          <w:b/>
          <w:bCs/>
        </w:rPr>
        <w:t>From RAN2 perspective f</w:t>
      </w:r>
      <w:r>
        <w:rPr>
          <w:b/>
          <w:bCs/>
        </w:rPr>
        <w:t xml:space="preserve">or both RA-SDT and CG-SDT, </w:t>
      </w:r>
      <w:r w:rsidRPr="00EA2914">
        <w:rPr>
          <w:b/>
          <w:bCs/>
        </w:rPr>
        <w:t>RRCRelease message is sent at the end (i.e. after the completion of the subsequent data transmission phase – if any) and upon receiving the RRCRelease message the UE terminates SDT</w:t>
      </w:r>
      <w:r w:rsidR="0033525E">
        <w:rPr>
          <w:b/>
          <w:bCs/>
        </w:rPr>
        <w:t xml:space="preserve"> </w:t>
      </w:r>
      <w:r w:rsidR="00C4024B">
        <w:rPr>
          <w:b/>
          <w:bCs/>
        </w:rPr>
        <w:t xml:space="preserve">– if RAN1 thinks </w:t>
      </w:r>
      <w:r w:rsidR="00EF245B">
        <w:rPr>
          <w:b/>
          <w:bCs/>
        </w:rPr>
        <w:t>that it</w:t>
      </w:r>
      <w:r w:rsidR="00C4024B">
        <w:rPr>
          <w:b/>
          <w:bCs/>
        </w:rPr>
        <w:t xml:space="preserve"> is useful to provide some basic configuration</w:t>
      </w:r>
      <w:r w:rsidR="00EF245B">
        <w:rPr>
          <w:b/>
          <w:bCs/>
        </w:rPr>
        <w:t xml:space="preserve"> earlier in SDT phase</w:t>
      </w:r>
      <w:r w:rsidR="00C4024B">
        <w:rPr>
          <w:b/>
          <w:bCs/>
        </w:rPr>
        <w:t>, then this agreement can be revisited</w:t>
      </w:r>
      <w:r w:rsidR="00EF245B">
        <w:rPr>
          <w:b/>
          <w:bCs/>
        </w:rPr>
        <w:t xml:space="preserve"> (to include such configuration in RRCRelease message sent earlier – like in option 2). </w:t>
      </w:r>
    </w:p>
    <w:p w14:paraId="356763FF" w14:textId="12DABB11" w:rsidR="00446965" w:rsidRDefault="001C1BE7">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Failure detection and recovery</w:t>
      </w:r>
    </w:p>
    <w:p w14:paraId="6D9D692A" w14:textId="7C0C82D0" w:rsidR="00FC17BB" w:rsidRPr="00FC17BB" w:rsidRDefault="00FC17BB" w:rsidP="00FC17BB">
      <w:pPr>
        <w:pStyle w:val="Heading1"/>
        <w:widowControl/>
        <w:numPr>
          <w:ilvl w:val="1"/>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FC17BB">
        <w:rPr>
          <w:rFonts w:cs="Arial"/>
          <w:b w:val="0"/>
          <w:bCs w:val="0"/>
          <w:kern w:val="0"/>
          <w:sz w:val="32"/>
          <w:szCs w:val="36"/>
        </w:rPr>
        <w:t>Failure detection</w:t>
      </w:r>
    </w:p>
    <w:p w14:paraId="2F137338" w14:textId="71AE0F29" w:rsidR="00446965" w:rsidRDefault="0062356C">
      <w:r>
        <w:t xml:space="preserve">Currently, in case of RACH, the failure detection is based on the T319 timer and similar approach can be adopted for both RA-SDT and CG-SDT. However, one question is whether the T319 timer needs to be extended and if so, by how much. In general, the target should be to cover the round-trip time for any response messages in the other direction and to allow sufficient time for the subsequent data transfer </w:t>
      </w:r>
      <w:r>
        <w:lastRenderedPageBreak/>
        <w:t xml:space="preserve">phase. The round-trip time in general for typical applications is only in the order of a few 100s of milli seconds anyway. Thus, an extended T319 in the order of a few seconds would be more than sufficient to handle the RA-SDT phase. We propose to cover the range up to 10 sec. As in legacy, the extended T319 timer should cover the time between the first UL message and the RRC response message (i.e. either RRCRelease or RRCResume) in DL. </w:t>
      </w:r>
    </w:p>
    <w:p w14:paraId="6272EBE5" w14:textId="7FD9DEE5" w:rsidR="00AB203B" w:rsidRDefault="00AB203B">
      <w:r>
        <w:t xml:space="preserve">The other alternative to the above is to use a new mechanism such as using a new timer which is restarted after each SDT UL/DL packet. However, such a mechanism will in theory extend the SDT phase indefinitely and as such is not the main target scenario for small data transmissions (which is meant to be for small and infrequent data bursts). Given the above, we think there should be an overall upper bound on the SDT phase and an extended T319 like timer should be used to control this. </w:t>
      </w:r>
    </w:p>
    <w:p w14:paraId="1837FDB1" w14:textId="7D3FB2E2" w:rsidR="00446965" w:rsidRDefault="0062356C">
      <w:pPr>
        <w:rPr>
          <w:b/>
          <w:bCs/>
        </w:rPr>
      </w:pPr>
      <w:r>
        <w:rPr>
          <w:b/>
          <w:bCs/>
        </w:rPr>
        <w:t>Proposal</w:t>
      </w:r>
      <w:r w:rsidR="00CC2929">
        <w:rPr>
          <w:b/>
          <w:bCs/>
        </w:rPr>
        <w:t xml:space="preserve"> </w:t>
      </w:r>
      <w:r w:rsidR="00EA2914">
        <w:rPr>
          <w:b/>
          <w:bCs/>
        </w:rPr>
        <w:t>5</w:t>
      </w:r>
      <w:r>
        <w:rPr>
          <w:b/>
          <w:bCs/>
        </w:rPr>
        <w:t>: T319 value range is extended with a configurable maximum value up to 10 sec to support SDT</w:t>
      </w:r>
    </w:p>
    <w:p w14:paraId="1079FD43" w14:textId="0E49D74F" w:rsidR="00FC17BB" w:rsidRPr="00FC17BB" w:rsidRDefault="00FC17BB" w:rsidP="00FC17BB">
      <w:pPr>
        <w:pStyle w:val="Heading1"/>
        <w:widowControl/>
        <w:numPr>
          <w:ilvl w:val="1"/>
          <w:numId w:val="6"/>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FC17BB">
        <w:rPr>
          <w:rFonts w:cs="Arial"/>
          <w:b w:val="0"/>
          <w:bCs w:val="0"/>
          <w:kern w:val="0"/>
          <w:sz w:val="32"/>
          <w:szCs w:val="36"/>
        </w:rPr>
        <w:t xml:space="preserve">Failure </w:t>
      </w:r>
      <w:r>
        <w:rPr>
          <w:rFonts w:cs="Arial"/>
          <w:b w:val="0"/>
          <w:bCs w:val="0"/>
          <w:kern w:val="0"/>
          <w:sz w:val="32"/>
          <w:szCs w:val="36"/>
        </w:rPr>
        <w:t>recovery</w:t>
      </w:r>
      <w:r w:rsidR="001C1BE7">
        <w:rPr>
          <w:rStyle w:val="CommentReference"/>
          <w:b w:val="0"/>
          <w:bCs w:val="0"/>
          <w:kern w:val="2"/>
          <w:szCs w:val="21"/>
        </w:rPr>
        <w:t xml:space="preserve"> </w:t>
      </w:r>
    </w:p>
    <w:p w14:paraId="461137CD" w14:textId="22E78812" w:rsidR="00C77018" w:rsidRDefault="00C77018" w:rsidP="00C4024B">
      <w:r>
        <w:t xml:space="preserve">In addition to the T319-ext timer, there are other failure triggers that may happen during SDT. These include: </w:t>
      </w:r>
    </w:p>
    <w:p w14:paraId="18FAD592" w14:textId="77777777" w:rsidR="00C77018" w:rsidRDefault="00C77018" w:rsidP="00C77018">
      <w:pPr>
        <w:pStyle w:val="ListParagraph"/>
        <w:numPr>
          <w:ilvl w:val="0"/>
          <w:numId w:val="12"/>
        </w:numPr>
        <w:ind w:firstLineChars="0"/>
      </w:pPr>
      <w:r>
        <w:t>Cell reselection during SDT</w:t>
      </w:r>
    </w:p>
    <w:p w14:paraId="69E00446" w14:textId="77777777" w:rsidR="00C77018" w:rsidRDefault="00C77018" w:rsidP="00C77018">
      <w:pPr>
        <w:pStyle w:val="ListParagraph"/>
        <w:numPr>
          <w:ilvl w:val="0"/>
          <w:numId w:val="12"/>
        </w:numPr>
        <w:ind w:firstLineChars="0"/>
      </w:pPr>
      <w:r>
        <w:t>RLC max retransmissions reached</w:t>
      </w:r>
    </w:p>
    <w:p w14:paraId="5210E126" w14:textId="77777777" w:rsidR="00C77018" w:rsidRDefault="00C77018" w:rsidP="00C77018">
      <w:pPr>
        <w:pStyle w:val="ListParagraph"/>
        <w:numPr>
          <w:ilvl w:val="0"/>
          <w:numId w:val="12"/>
        </w:numPr>
        <w:ind w:firstLineChars="0"/>
      </w:pPr>
      <w:r>
        <w:t>Etc</w:t>
      </w:r>
    </w:p>
    <w:p w14:paraId="517F3353" w14:textId="6C9A98FE" w:rsidR="00A822F6" w:rsidRDefault="00FC17BB" w:rsidP="00C4024B">
      <w:r>
        <w:t xml:space="preserve">Once any failure is detected, in case of legacy procedure, </w:t>
      </w:r>
      <w:r w:rsidR="00C4024B">
        <w:t>after</w:t>
      </w:r>
      <w:r>
        <w:t xml:space="preserve"> security </w:t>
      </w:r>
      <w:r w:rsidR="00C4024B">
        <w:t>activation</w:t>
      </w:r>
      <w:r>
        <w:t xml:space="preserve"> and at least on DRB is resumed, then UE initiates Reestablishment procedure</w:t>
      </w:r>
      <w:r w:rsidR="00C77018">
        <w:t xml:space="preserve"> (note that SRB2 is also assumed to be resumed in this case in legacy)</w:t>
      </w:r>
      <w:r>
        <w:t xml:space="preserve">. </w:t>
      </w:r>
      <w:r w:rsidR="00C4024B">
        <w:t>If we assume similar approach, then the UE in SDT can also transmit ReestablishmentReq</w:t>
      </w:r>
      <w:r w:rsidR="00A822F6">
        <w:t>.</w:t>
      </w:r>
      <w:r w:rsidR="00C4024B">
        <w:t xml:space="preserve"> If the network can retrieve the UE context then a RRCReestablishment</w:t>
      </w:r>
      <w:r w:rsidR="00A822F6">
        <w:t xml:space="preserve"> </w:t>
      </w:r>
      <w:r w:rsidR="00C4024B">
        <w:t xml:space="preserve">message is sent in DL (to resume the SRB1) and a subsequent reconfiguration message will result in the UE to resume all the DRBs and the SRBs (i.e. the UE will move to full connected state as a result). RAN2 should discuss whether such mechanism should be supported also for SDT when any trigger resulting in RRCReestablishment is detected during SDT. </w:t>
      </w:r>
      <w:r w:rsidR="00C77018">
        <w:t xml:space="preserve">It seems there is no obvious show-stopper to support such mechanism for SDT and hence we think we can consider it for SDT too. </w:t>
      </w:r>
    </w:p>
    <w:p w14:paraId="10A567B2" w14:textId="1D443D7B" w:rsidR="00A822F6" w:rsidRDefault="00732345" w:rsidP="00C4024B">
      <w:pPr>
        <w:rPr>
          <w:b/>
          <w:bCs/>
        </w:rPr>
      </w:pPr>
      <w:r>
        <w:rPr>
          <w:b/>
          <w:bCs/>
        </w:rPr>
        <w:t>Proposal</w:t>
      </w:r>
      <w:r w:rsidR="00CC2929">
        <w:rPr>
          <w:b/>
          <w:bCs/>
        </w:rPr>
        <w:t xml:space="preserve"> </w:t>
      </w:r>
      <w:r w:rsidR="00655DD2">
        <w:rPr>
          <w:b/>
          <w:bCs/>
        </w:rPr>
        <w:t>6</w:t>
      </w:r>
      <w:r>
        <w:rPr>
          <w:b/>
          <w:bCs/>
        </w:rPr>
        <w:t xml:space="preserve">: </w:t>
      </w:r>
      <w:r w:rsidR="00C4024B">
        <w:rPr>
          <w:b/>
          <w:bCs/>
        </w:rPr>
        <w:t>RAN2 to discuss whether Reestablishment procedure is supported for SDT (i.e. once reestablishment is successful</w:t>
      </w:r>
      <w:r w:rsidR="00DD19A8">
        <w:rPr>
          <w:b/>
          <w:bCs/>
        </w:rPr>
        <w:t xml:space="preserve"> during SDT phase</w:t>
      </w:r>
      <w:r w:rsidR="00C4024B">
        <w:rPr>
          <w:b/>
          <w:bCs/>
        </w:rPr>
        <w:t>, the UE moves to full RRC-CONNECTED state)</w:t>
      </w:r>
    </w:p>
    <w:p w14:paraId="14F54004" w14:textId="6C877876" w:rsidR="00DD19A8" w:rsidRDefault="00C77018" w:rsidP="00C4024B">
      <w:r>
        <w:t>If</w:t>
      </w:r>
      <w:r w:rsidR="00C4024B" w:rsidRPr="00C4024B">
        <w:t xml:space="preserve"> the reestablishment is not supported then the UE shall move to IDLE mode and indicate </w:t>
      </w:r>
      <w:r w:rsidR="00DD19A8">
        <w:t>resume</w:t>
      </w:r>
      <w:r w:rsidR="00C4024B" w:rsidRPr="00C4024B">
        <w:t xml:space="preserve"> failure to NAS</w:t>
      </w:r>
      <w:r w:rsidR="00DD19A8">
        <w:t xml:space="preserve">. </w:t>
      </w:r>
    </w:p>
    <w:p w14:paraId="27193032" w14:textId="738F6F9D" w:rsidR="00DD19A8" w:rsidRPr="00DD19A8" w:rsidRDefault="00DD19A8" w:rsidP="00C4024B">
      <w:pPr>
        <w:rPr>
          <w:b/>
          <w:bCs/>
        </w:rPr>
      </w:pPr>
      <w:r w:rsidRPr="00DD19A8">
        <w:rPr>
          <w:b/>
          <w:bCs/>
        </w:rPr>
        <w:t xml:space="preserve">Proposal </w:t>
      </w:r>
      <w:r w:rsidR="00655DD2">
        <w:rPr>
          <w:b/>
          <w:bCs/>
        </w:rPr>
        <w:t>7</w:t>
      </w:r>
      <w:r w:rsidRPr="00DD19A8">
        <w:rPr>
          <w:b/>
          <w:bCs/>
        </w:rPr>
        <w:t>: If reestablishment is not supported, then the UE shall move to IDLE mode upon any trigger for reestablishment and indicate to</w:t>
      </w:r>
      <w:r>
        <w:rPr>
          <w:b/>
          <w:bCs/>
        </w:rPr>
        <w:t xml:space="preserve"> resume failure to</w:t>
      </w:r>
      <w:r w:rsidRPr="00DD19A8">
        <w:rPr>
          <w:b/>
          <w:bCs/>
        </w:rPr>
        <w:t xml:space="preserve"> NAS</w:t>
      </w:r>
    </w:p>
    <w:p w14:paraId="6C884EB1"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Handling of SCG resources</w:t>
      </w:r>
    </w:p>
    <w:p w14:paraId="443FBEFB" w14:textId="77777777" w:rsidR="00446965" w:rsidRDefault="0062356C">
      <w:r>
        <w:t xml:space="preserve">As noted in the WID, the target use case of SDT is the small and infrequent data transmissions. Thus, use of SCG resources for SDT is not beneficial. Hence, only the DRBs with MCG path may be configured for SDT by the network. Further, the UE may keep the SCG configuration and path for the DRBs but the UE shall not resume the SCG path upon initiating SDT. Of course, if the network moves the UE to connected mode, then, the SCG path may be fully restored and resumed per the legacy mechanism. Based on this the following proposals are made: </w:t>
      </w:r>
    </w:p>
    <w:p w14:paraId="5C8E8590" w14:textId="553B24CD" w:rsidR="00446965" w:rsidRDefault="0062356C">
      <w:pPr>
        <w:rPr>
          <w:b/>
          <w:bCs/>
        </w:rPr>
      </w:pPr>
      <w:r>
        <w:rPr>
          <w:b/>
          <w:bCs/>
        </w:rPr>
        <w:t>Proposal</w:t>
      </w:r>
      <w:r w:rsidR="00CC2929">
        <w:rPr>
          <w:b/>
          <w:bCs/>
        </w:rPr>
        <w:t xml:space="preserve"> </w:t>
      </w:r>
      <w:r w:rsidR="00655DD2">
        <w:rPr>
          <w:b/>
          <w:bCs/>
        </w:rPr>
        <w:t>8</w:t>
      </w:r>
      <w:r>
        <w:rPr>
          <w:b/>
          <w:bCs/>
        </w:rPr>
        <w:t xml:space="preserve">: The network only configures the DRBs with </w:t>
      </w:r>
      <w:r w:rsidR="008D5F9D">
        <w:rPr>
          <w:b/>
          <w:bCs/>
        </w:rPr>
        <w:t>MN terminated DRB with MCG</w:t>
      </w:r>
      <w:r>
        <w:rPr>
          <w:b/>
          <w:bCs/>
        </w:rPr>
        <w:t xml:space="preserve"> path for SDT</w:t>
      </w:r>
    </w:p>
    <w:p w14:paraId="62A6D21B" w14:textId="1F5E868F" w:rsidR="00446965" w:rsidRDefault="0062356C">
      <w:pPr>
        <w:rPr>
          <w:b/>
          <w:bCs/>
        </w:rPr>
      </w:pPr>
      <w:r>
        <w:rPr>
          <w:b/>
          <w:bCs/>
        </w:rPr>
        <w:t>Proposal</w:t>
      </w:r>
      <w:r w:rsidR="00CC2929">
        <w:rPr>
          <w:b/>
          <w:bCs/>
        </w:rPr>
        <w:t xml:space="preserve"> </w:t>
      </w:r>
      <w:r w:rsidR="00655DD2">
        <w:rPr>
          <w:b/>
          <w:bCs/>
        </w:rPr>
        <w:t>9</w:t>
      </w:r>
      <w:r>
        <w:rPr>
          <w:b/>
          <w:bCs/>
        </w:rPr>
        <w:t>: Upon initiating SDT procedure, the SCG configuration will be stored in the UE (i.e. same as legacy) but the SCG path will not be resumed until the UE receives RRCResume message</w:t>
      </w:r>
    </w:p>
    <w:p w14:paraId="59D668B1"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 of RRC-Less</w:t>
      </w:r>
    </w:p>
    <w:p w14:paraId="117B3734" w14:textId="703DB2F9" w:rsidR="00446965" w:rsidRDefault="0062356C">
      <w:r>
        <w:t xml:space="preserve">At RAN2#111e, it was agreed to study RRC-less for limited use cases (e.g. same serving cell and/or CG) with a lower priority. As analysed in </w:t>
      </w:r>
      <w:r>
        <w:fldChar w:fldCharType="begin"/>
      </w:r>
      <w:r>
        <w:instrText xml:space="preserve"> REF _Ref52278322 \r \h </w:instrText>
      </w:r>
      <w:r>
        <w:fldChar w:fldCharType="separate"/>
      </w:r>
      <w:r>
        <w:t>[2]</w:t>
      </w:r>
      <w:r>
        <w:fldChar w:fldCharType="end"/>
      </w:r>
      <w:r>
        <w:t xml:space="preserve">, RRC-less approach has limited applicability and is an optimisation for a special case when there is no cell change. Further, specification of an optimization for a solution in the first release of standardizing a feature is not usual. Given this, we propose to specify only one solution for SDT in Rel-17. </w:t>
      </w:r>
    </w:p>
    <w:p w14:paraId="3F0184C1" w14:textId="77777777" w:rsidR="00446965" w:rsidRDefault="0062356C">
      <w:r>
        <w:t xml:space="preserve">However, if RAN2 agrees to support RRC-less solution, we should at least ensure that the solution with and without RRC are not too divergent. To ensure this, we think the following framework for RRC-less can be considered further (but only if RAN2 agrees to specify this solution in Rel-17): </w:t>
      </w:r>
    </w:p>
    <w:p w14:paraId="384EC92A" w14:textId="77777777" w:rsidR="00446965" w:rsidRDefault="0062356C">
      <w:pPr>
        <w:pStyle w:val="ListParagraph"/>
        <w:numPr>
          <w:ilvl w:val="0"/>
          <w:numId w:val="7"/>
        </w:numPr>
        <w:ind w:firstLineChars="0"/>
      </w:pPr>
      <w:r>
        <w:t xml:space="preserve">For the security framework, the same framework is used as the RRC-based solution: </w:t>
      </w:r>
    </w:p>
    <w:p w14:paraId="41881D0F" w14:textId="77777777" w:rsidR="00446965" w:rsidRDefault="0062356C">
      <w:pPr>
        <w:pStyle w:val="ListParagraph"/>
        <w:numPr>
          <w:ilvl w:val="1"/>
          <w:numId w:val="7"/>
        </w:numPr>
        <w:ind w:firstLineChars="0"/>
      </w:pPr>
      <w:r>
        <w:t>The stored security material in the INACTIVE context of the UE is used to generate the integrity protection token (i.e. short-MACI) and is included in the first UL message sent over CG</w:t>
      </w:r>
    </w:p>
    <w:p w14:paraId="1DCFA942" w14:textId="77777777" w:rsidR="00446965" w:rsidRDefault="0062356C">
      <w:pPr>
        <w:pStyle w:val="ListParagraph"/>
        <w:numPr>
          <w:ilvl w:val="1"/>
          <w:numId w:val="7"/>
        </w:numPr>
        <w:ind w:firstLineChars="0"/>
      </w:pPr>
      <w:r>
        <w:t>New security key is generated based on the stored security context like in RA-SDT case and this is used for encrypting and/or integrity protection of data</w:t>
      </w:r>
    </w:p>
    <w:p w14:paraId="429D1687" w14:textId="77777777" w:rsidR="00446965" w:rsidRDefault="0062356C">
      <w:pPr>
        <w:pStyle w:val="ListParagraph"/>
        <w:numPr>
          <w:ilvl w:val="0"/>
          <w:numId w:val="7"/>
        </w:numPr>
        <w:ind w:firstLineChars="0"/>
      </w:pPr>
      <w:r>
        <w:t>The UAC framework is applicable as in RA-SDT and the resume cause may be included in the first UL message</w:t>
      </w:r>
    </w:p>
    <w:p w14:paraId="1F7612CF" w14:textId="77777777" w:rsidR="00446965" w:rsidRDefault="0062356C">
      <w:pPr>
        <w:pStyle w:val="ListParagraph"/>
        <w:numPr>
          <w:ilvl w:val="0"/>
          <w:numId w:val="7"/>
        </w:numPr>
        <w:ind w:firstLineChars="0"/>
      </w:pPr>
      <w:r>
        <w:t>MAC CEs are defined to carry the contents that are normally included in the CCCH message (i.e. short-MACI, resumeCause etc)</w:t>
      </w:r>
    </w:p>
    <w:p w14:paraId="0FBC59E8" w14:textId="77777777" w:rsidR="00446965" w:rsidRDefault="0062356C">
      <w:pPr>
        <w:pStyle w:val="ListParagraph"/>
        <w:numPr>
          <w:ilvl w:val="0"/>
          <w:numId w:val="7"/>
        </w:numPr>
        <w:ind w:firstLineChars="0"/>
      </w:pPr>
      <w:r>
        <w:t>No RRC-message is included in the first UL message but the UE can still receive an RRC-message in DL in response to the first UL UP message (i.e. the control procedure for RRC-based and RRC-less are unified after the first UL message)</w:t>
      </w:r>
    </w:p>
    <w:p w14:paraId="47D1D06E" w14:textId="77777777" w:rsidR="00446965" w:rsidRDefault="0062356C">
      <w:pPr>
        <w:pStyle w:val="ListParagraph"/>
        <w:numPr>
          <w:ilvl w:val="0"/>
          <w:numId w:val="7"/>
        </w:numPr>
        <w:ind w:firstLineChars="0"/>
      </w:pPr>
      <w:r>
        <w:t xml:space="preserve">The RRC-less approach can be applied to both RACH and CG based solutions as long as the UE </w:t>
      </w:r>
      <w:r>
        <w:lastRenderedPageBreak/>
        <w:t>resumes in the same cell in which it was moved to RRC-INACTIVE (i.e. only for no cell change case)</w:t>
      </w:r>
    </w:p>
    <w:p w14:paraId="5735D9CF" w14:textId="77777777" w:rsidR="00446965" w:rsidRDefault="0062356C">
      <w:pPr>
        <w:pStyle w:val="ListParagraph"/>
        <w:numPr>
          <w:ilvl w:val="0"/>
          <w:numId w:val="7"/>
        </w:numPr>
        <w:ind w:firstLineChars="0"/>
      </w:pPr>
      <w:r>
        <w:t>Network shall be under control of whether the UE shall use RRC-less approach or not (e.g. via indication in system information or via dedicated configuration – details TBD)</w:t>
      </w:r>
    </w:p>
    <w:p w14:paraId="47F1CFD6" w14:textId="77777777" w:rsidR="00446965" w:rsidRDefault="0062356C">
      <w:r>
        <w:t xml:space="preserve">Based on the above, the following is proposed: </w:t>
      </w:r>
    </w:p>
    <w:p w14:paraId="22BF2554" w14:textId="33712F6A" w:rsidR="00446965" w:rsidRDefault="0062356C">
      <w:pPr>
        <w:rPr>
          <w:b/>
          <w:bCs/>
        </w:rPr>
      </w:pPr>
      <w:r>
        <w:rPr>
          <w:b/>
          <w:bCs/>
        </w:rPr>
        <w:t>Proposal</w:t>
      </w:r>
      <w:r w:rsidR="00CC2929">
        <w:rPr>
          <w:b/>
          <w:bCs/>
        </w:rPr>
        <w:t xml:space="preserve"> </w:t>
      </w:r>
      <w:r w:rsidR="00EA2914">
        <w:rPr>
          <w:b/>
          <w:bCs/>
        </w:rPr>
        <w:t>1</w:t>
      </w:r>
      <w:r w:rsidR="00655DD2">
        <w:rPr>
          <w:b/>
          <w:bCs/>
        </w:rPr>
        <w:t>0</w:t>
      </w:r>
      <w:r>
        <w:rPr>
          <w:b/>
          <w:bCs/>
        </w:rPr>
        <w:t xml:space="preserve">: RAN2 should continue to focus on </w:t>
      </w:r>
      <w:r w:rsidR="00077021">
        <w:rPr>
          <w:b/>
          <w:bCs/>
        </w:rPr>
        <w:t>RRC-based</w:t>
      </w:r>
      <w:r>
        <w:rPr>
          <w:b/>
          <w:bCs/>
        </w:rPr>
        <w:t xml:space="preserve"> solution in Rel-17 for SDT (i.e. the RRC-based SDT)</w:t>
      </w:r>
    </w:p>
    <w:p w14:paraId="3663CB06" w14:textId="3B850C34" w:rsidR="00446965" w:rsidRPr="00AB203B" w:rsidRDefault="0062356C">
      <w:pPr>
        <w:rPr>
          <w:b/>
          <w:bCs/>
        </w:rPr>
      </w:pPr>
      <w:r>
        <w:rPr>
          <w:b/>
          <w:bCs/>
        </w:rPr>
        <w:t>Proposal</w:t>
      </w:r>
      <w:r w:rsidR="00CC2929">
        <w:rPr>
          <w:b/>
          <w:bCs/>
        </w:rPr>
        <w:t xml:space="preserve"> </w:t>
      </w:r>
      <w:r w:rsidR="00A822F6">
        <w:rPr>
          <w:b/>
          <w:bCs/>
        </w:rPr>
        <w:t>1</w:t>
      </w:r>
      <w:r w:rsidR="00655DD2">
        <w:rPr>
          <w:b/>
          <w:bCs/>
        </w:rPr>
        <w:t>1</w:t>
      </w:r>
      <w:r>
        <w:rPr>
          <w:b/>
          <w:bCs/>
        </w:rPr>
        <w:t xml:space="preserve">: </w:t>
      </w:r>
      <w:r w:rsidR="00130B76">
        <w:rPr>
          <w:b/>
          <w:bCs/>
        </w:rPr>
        <w:t xml:space="preserve">RAN2 </w:t>
      </w:r>
      <w:r w:rsidR="00077021">
        <w:rPr>
          <w:b/>
          <w:bCs/>
        </w:rPr>
        <w:t>should only</w:t>
      </w:r>
      <w:r w:rsidR="00130B76">
        <w:rPr>
          <w:b/>
          <w:bCs/>
        </w:rPr>
        <w:t xml:space="preserve"> consider RRC-less solution </w:t>
      </w:r>
      <w:r w:rsidR="00077021">
        <w:rPr>
          <w:b/>
          <w:bCs/>
        </w:rPr>
        <w:t xml:space="preserve">if time is left after specifying RRC-based solution and </w:t>
      </w:r>
      <w:r w:rsidR="00AB203B">
        <w:rPr>
          <w:b/>
          <w:bCs/>
        </w:rPr>
        <w:t xml:space="preserve">in this case, </w:t>
      </w:r>
      <w:r w:rsidR="00077021">
        <w:rPr>
          <w:b/>
          <w:bCs/>
        </w:rPr>
        <w:t xml:space="preserve">the RRC-less solution should </w:t>
      </w:r>
      <w:r>
        <w:rPr>
          <w:b/>
          <w:bCs/>
        </w:rPr>
        <w:t>adopt the same security</w:t>
      </w:r>
      <w:r w:rsidR="00130B76">
        <w:rPr>
          <w:b/>
          <w:bCs/>
        </w:rPr>
        <w:t xml:space="preserve"> and UAC</w:t>
      </w:r>
      <w:r>
        <w:rPr>
          <w:b/>
          <w:bCs/>
        </w:rPr>
        <w:t xml:space="preserve"> framework as in RRC-based solution and </w:t>
      </w:r>
      <w:r w:rsidR="00077021">
        <w:rPr>
          <w:b/>
          <w:bCs/>
        </w:rPr>
        <w:t>ensure</w:t>
      </w:r>
      <w:r>
        <w:rPr>
          <w:b/>
          <w:bCs/>
        </w:rPr>
        <w:t xml:space="preserve"> that network is in control of state transitions (i.e. UE shall be able to receive an RRC message in DL even if there is no RRC message included in the first UL message). </w:t>
      </w:r>
    </w:p>
    <w:p w14:paraId="2D706EC3"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A6B3EB5" w14:textId="61B7DEEF" w:rsidR="00F92B48" w:rsidRPr="00F92B48" w:rsidRDefault="00CC2929" w:rsidP="004B0FE8">
      <w:r>
        <w:t xml:space="preserve">The CP aspects of SDT are discussed in this contribution and the following proposals are made: </w:t>
      </w:r>
    </w:p>
    <w:p w14:paraId="7FC4B37F" w14:textId="493CCA96" w:rsidR="00F92B48" w:rsidRDefault="00F92B48" w:rsidP="00F92B48">
      <w:pPr>
        <w:rPr>
          <w:b/>
          <w:bCs/>
          <w:u w:val="single"/>
        </w:rPr>
      </w:pPr>
      <w:r w:rsidRPr="00F92B48">
        <w:rPr>
          <w:b/>
          <w:bCs/>
          <w:u w:val="single"/>
        </w:rPr>
        <w:t>Proposals:</w:t>
      </w:r>
    </w:p>
    <w:p w14:paraId="419167ED" w14:textId="690AB4EE" w:rsidR="00DD19A8" w:rsidRDefault="00655DD2" w:rsidP="00DD19A8">
      <w:pPr>
        <w:rPr>
          <w:b/>
          <w:bCs/>
        </w:rPr>
      </w:pPr>
      <w:r w:rsidRPr="00360AB9">
        <w:rPr>
          <w:b/>
          <w:bCs/>
        </w:rPr>
        <w:t>Proposal 1: An RRC level RSRP threshold is used to determine whether the UE initiates SDT procedure or not</w:t>
      </w:r>
    </w:p>
    <w:p w14:paraId="13955DFE" w14:textId="77777777" w:rsidR="00655DD2" w:rsidRDefault="00655DD2" w:rsidP="00655DD2">
      <w:pPr>
        <w:rPr>
          <w:b/>
          <w:bCs/>
        </w:rPr>
      </w:pPr>
      <w:r>
        <w:rPr>
          <w:b/>
          <w:bCs/>
        </w:rPr>
        <w:t>Proposal 2: Switching between CG-SDT, RA-SDT and legacy resume (or vice-versa) is not supported</w:t>
      </w:r>
    </w:p>
    <w:p w14:paraId="6443A1E1" w14:textId="77777777" w:rsidR="00655DD2" w:rsidRDefault="00655DD2" w:rsidP="00655DD2">
      <w:pPr>
        <w:rPr>
          <w:b/>
          <w:bCs/>
        </w:rPr>
      </w:pPr>
      <w:r>
        <w:rPr>
          <w:b/>
          <w:bCs/>
        </w:rPr>
        <w:t>Proposal 3: No MAC PDU rebuilding is specified for SDT</w:t>
      </w:r>
    </w:p>
    <w:p w14:paraId="2A9874CB" w14:textId="77777777" w:rsidR="00655DD2" w:rsidRPr="00EA2914" w:rsidRDefault="00655DD2" w:rsidP="00655DD2">
      <w:pPr>
        <w:rPr>
          <w:b/>
          <w:bCs/>
        </w:rPr>
      </w:pPr>
      <w:r w:rsidRPr="00EA2914">
        <w:rPr>
          <w:b/>
          <w:bCs/>
        </w:rPr>
        <w:t>Proposal</w:t>
      </w:r>
      <w:r>
        <w:rPr>
          <w:b/>
          <w:bCs/>
        </w:rPr>
        <w:t xml:space="preserve"> 4</w:t>
      </w:r>
      <w:r w:rsidRPr="00EA2914">
        <w:rPr>
          <w:b/>
          <w:bCs/>
        </w:rPr>
        <w:t xml:space="preserve">: </w:t>
      </w:r>
      <w:r>
        <w:rPr>
          <w:b/>
          <w:bCs/>
        </w:rPr>
        <w:t xml:space="preserve">From RAN2 perspective for both RA-SDT and CG-SDT, </w:t>
      </w:r>
      <w:r w:rsidRPr="00EA2914">
        <w:rPr>
          <w:b/>
          <w:bCs/>
        </w:rPr>
        <w:t>RRCRelease message is sent at the end (i.e. after the completion of the subsequent data transmission phase – if any) and upon receiving the RRCRelease message the UE terminates SDT</w:t>
      </w:r>
      <w:r>
        <w:rPr>
          <w:b/>
          <w:bCs/>
        </w:rPr>
        <w:t xml:space="preserve"> – if RAN1 thinks that it is useful to provide some basic configuration earlier in SDT phase, then this agreement can be revisited (to include such configuration in RRCRelease message sent earlier – like in option 2). </w:t>
      </w:r>
    </w:p>
    <w:p w14:paraId="6E48B581" w14:textId="77777777" w:rsidR="00655DD2" w:rsidRDefault="00655DD2" w:rsidP="00655DD2">
      <w:pPr>
        <w:rPr>
          <w:b/>
          <w:bCs/>
        </w:rPr>
      </w:pPr>
      <w:r>
        <w:rPr>
          <w:b/>
          <w:bCs/>
        </w:rPr>
        <w:t>Proposal 5: T319 value range is extended with a configurable maximum value up to 10 sec to support SDT</w:t>
      </w:r>
    </w:p>
    <w:p w14:paraId="3B2E758C" w14:textId="77777777" w:rsidR="00655DD2" w:rsidRDefault="00655DD2" w:rsidP="00655DD2">
      <w:pPr>
        <w:rPr>
          <w:b/>
          <w:bCs/>
        </w:rPr>
      </w:pPr>
      <w:r>
        <w:rPr>
          <w:b/>
          <w:bCs/>
        </w:rPr>
        <w:t>Proposal 6: RAN2 to discuss whether Reestablishment procedure is supported for SDT (i.e. once reestablishment is successful during SDT phase, the UE moves to full RRC-CONNECTED state)</w:t>
      </w:r>
    </w:p>
    <w:p w14:paraId="00604C09" w14:textId="77777777" w:rsidR="00655DD2" w:rsidRPr="00DD19A8" w:rsidRDefault="00655DD2" w:rsidP="00655DD2">
      <w:pPr>
        <w:rPr>
          <w:b/>
          <w:bCs/>
        </w:rPr>
      </w:pPr>
      <w:r w:rsidRPr="00DD19A8">
        <w:rPr>
          <w:b/>
          <w:bCs/>
        </w:rPr>
        <w:t xml:space="preserve">Proposal </w:t>
      </w:r>
      <w:r>
        <w:rPr>
          <w:b/>
          <w:bCs/>
        </w:rPr>
        <w:t>7</w:t>
      </w:r>
      <w:r w:rsidRPr="00DD19A8">
        <w:rPr>
          <w:b/>
          <w:bCs/>
        </w:rPr>
        <w:t>: If reestablishment is not supported, then the UE shall move to IDLE mode upon any trigger for reestablishment and indicate to</w:t>
      </w:r>
      <w:r>
        <w:rPr>
          <w:b/>
          <w:bCs/>
        </w:rPr>
        <w:t xml:space="preserve"> resume failure to</w:t>
      </w:r>
      <w:r w:rsidRPr="00DD19A8">
        <w:rPr>
          <w:b/>
          <w:bCs/>
        </w:rPr>
        <w:t xml:space="preserve"> NAS</w:t>
      </w:r>
    </w:p>
    <w:p w14:paraId="78176450" w14:textId="77777777" w:rsidR="00655DD2" w:rsidRDefault="00655DD2" w:rsidP="00655DD2">
      <w:pPr>
        <w:rPr>
          <w:b/>
          <w:bCs/>
        </w:rPr>
      </w:pPr>
      <w:r>
        <w:rPr>
          <w:b/>
          <w:bCs/>
        </w:rPr>
        <w:t>Proposal 8: The network only configures the DRBs with MN terminated DRB with MCG path for SDT</w:t>
      </w:r>
    </w:p>
    <w:p w14:paraId="34704F6E" w14:textId="77777777" w:rsidR="00655DD2" w:rsidRDefault="00655DD2" w:rsidP="00655DD2">
      <w:pPr>
        <w:rPr>
          <w:b/>
          <w:bCs/>
        </w:rPr>
      </w:pPr>
      <w:r>
        <w:rPr>
          <w:b/>
          <w:bCs/>
        </w:rPr>
        <w:t xml:space="preserve">Proposal 9: Upon initiating SDT procedure, the SCG configuration will be stored in the UE (i.e. same </w:t>
      </w:r>
      <w:r>
        <w:rPr>
          <w:b/>
          <w:bCs/>
        </w:rPr>
        <w:lastRenderedPageBreak/>
        <w:t>as legacy) but the SCG path will not be resumed until the UE receives RRCResume message</w:t>
      </w:r>
    </w:p>
    <w:p w14:paraId="20EE815C" w14:textId="77777777" w:rsidR="00655DD2" w:rsidRDefault="00655DD2" w:rsidP="00655DD2">
      <w:pPr>
        <w:rPr>
          <w:b/>
          <w:bCs/>
        </w:rPr>
      </w:pPr>
      <w:r>
        <w:rPr>
          <w:b/>
          <w:bCs/>
        </w:rPr>
        <w:t>Proposal 10: RAN2 should continue to focus on RRC-based solution in Rel-17 for SDT (i.e. the RRC-based SDT)</w:t>
      </w:r>
    </w:p>
    <w:p w14:paraId="3C34B80E" w14:textId="13320D29" w:rsidR="00DD19A8" w:rsidRPr="00655DD2" w:rsidRDefault="00655DD2" w:rsidP="00F92B48">
      <w:pPr>
        <w:rPr>
          <w:b/>
          <w:bCs/>
        </w:rPr>
      </w:pPr>
      <w:r>
        <w:rPr>
          <w:b/>
          <w:bCs/>
        </w:rPr>
        <w:t xml:space="preserve">Proposal 11: RAN2 should only consider RRC-less solution if time is left after specifying RRC-based solution and in this case, the RRC-less solution should adopt the same security and UAC framework as in RRC-based solution and ensure that network is in control of state transitions (i.e. UE shall be able to receive an RRC message in DL even if there is no RRC message included in the first UL message). </w:t>
      </w:r>
    </w:p>
    <w:p w14:paraId="74FA3686"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3976"/>
      <w:bookmarkStart w:id="8" w:name="_Toc18413612"/>
      <w:bookmarkStart w:id="9" w:name="_Toc18404543"/>
      <w:r>
        <w:rPr>
          <w:rFonts w:cs="Arial"/>
          <w:b w:val="0"/>
          <w:bCs w:val="0"/>
          <w:kern w:val="0"/>
          <w:sz w:val="32"/>
          <w:szCs w:val="36"/>
        </w:rPr>
        <w:t>References</w:t>
      </w:r>
      <w:bookmarkEnd w:id="7"/>
      <w:bookmarkEnd w:id="8"/>
      <w:bookmarkEnd w:id="9"/>
    </w:p>
    <w:p w14:paraId="3E0AA2B3" w14:textId="77777777" w:rsidR="00446965" w:rsidRDefault="0062356C">
      <w:pPr>
        <w:pStyle w:val="NormalWeb"/>
        <w:numPr>
          <w:ilvl w:val="0"/>
          <w:numId w:val="11"/>
        </w:numPr>
        <w:spacing w:before="75" w:beforeAutospacing="0" w:after="75" w:afterAutospacing="0" w:line="315" w:lineRule="atLeast"/>
        <w:rPr>
          <w:rFonts w:cs="Arial"/>
          <w:color w:val="000000"/>
          <w:sz w:val="21"/>
        </w:rPr>
      </w:pPr>
      <w:bookmarkStart w:id="10" w:name="_Ref45709611"/>
      <w:r>
        <w:rPr>
          <w:rFonts w:cs="Arial"/>
          <w:color w:val="000000"/>
          <w:sz w:val="21"/>
        </w:rPr>
        <w:t>RP-201305, Updated Work Item on NR small data transmissions in INACTIVE state, ZTE, RAN#88e</w:t>
      </w:r>
      <w:bookmarkEnd w:id="10"/>
    </w:p>
    <w:p w14:paraId="391075C9" w14:textId="77777777" w:rsidR="00446965" w:rsidRDefault="0062356C">
      <w:pPr>
        <w:pStyle w:val="NormalWeb"/>
        <w:numPr>
          <w:ilvl w:val="0"/>
          <w:numId w:val="11"/>
        </w:numPr>
        <w:spacing w:before="75" w:beforeAutospacing="0" w:after="75" w:afterAutospacing="0" w:line="315" w:lineRule="atLeast"/>
        <w:rPr>
          <w:rFonts w:cs="Arial"/>
          <w:color w:val="000000"/>
          <w:sz w:val="21"/>
        </w:rPr>
      </w:pPr>
      <w:bookmarkStart w:id="11" w:name="_Ref52278322"/>
      <w:r>
        <w:rPr>
          <w:rFonts w:cs="Arial"/>
          <w:color w:val="000000"/>
          <w:sz w:val="21"/>
        </w:rPr>
        <w:t>R2-2007448, Selection between RRC-based and RRC-less solutions for IDT</w:t>
      </w:r>
      <w:r>
        <w:rPr>
          <w:rFonts w:cs="Arial"/>
          <w:color w:val="000000"/>
          <w:sz w:val="21"/>
        </w:rPr>
        <w:tab/>
        <w:t>ZTE Corporation, Sanechips, RAN2#111e</w:t>
      </w:r>
      <w:bookmarkEnd w:id="11"/>
    </w:p>
    <w:p w14:paraId="478361CE" w14:textId="77777777" w:rsidR="00446965" w:rsidRDefault="00446965">
      <w:pPr>
        <w:pStyle w:val="NormalWeb"/>
        <w:spacing w:before="75" w:beforeAutospacing="0" w:after="75" w:afterAutospacing="0" w:line="315" w:lineRule="atLeast"/>
        <w:rPr>
          <w:rFonts w:cs="Arial"/>
          <w:color w:val="000000"/>
          <w:sz w:val="21"/>
        </w:rPr>
      </w:pPr>
    </w:p>
    <w:sectPr w:rsidR="00446965" w:rsidSect="002843CF">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05AD9" w14:textId="77777777" w:rsidR="00C4425A" w:rsidRDefault="00C4425A">
      <w:pPr>
        <w:spacing w:after="0" w:line="240" w:lineRule="auto"/>
      </w:pPr>
      <w:r>
        <w:separator/>
      </w:r>
    </w:p>
  </w:endnote>
  <w:endnote w:type="continuationSeparator" w:id="0">
    <w:p w14:paraId="513360CD" w14:textId="77777777" w:rsidR="00C4425A" w:rsidRDefault="00C44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3CE77" w14:textId="77777777" w:rsidR="00446965" w:rsidRDefault="006235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49CFA" w14:textId="77777777" w:rsidR="00446965" w:rsidRDefault="004469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E1522" w14:textId="77777777" w:rsidR="00446965" w:rsidRDefault="0044696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5FC15" w14:textId="77777777" w:rsidR="00C77018" w:rsidRDefault="00C77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11ABB" w14:textId="77777777" w:rsidR="00C4425A" w:rsidRDefault="00C4425A">
      <w:pPr>
        <w:spacing w:after="0" w:line="240" w:lineRule="auto"/>
      </w:pPr>
      <w:r>
        <w:separator/>
      </w:r>
    </w:p>
  </w:footnote>
  <w:footnote w:type="continuationSeparator" w:id="0">
    <w:p w14:paraId="22A284FC" w14:textId="77777777" w:rsidR="00C4425A" w:rsidRDefault="00C442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E7BE4" w14:textId="77777777" w:rsidR="00C77018" w:rsidRDefault="00C77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C8EF6" w14:textId="77777777" w:rsidR="00446965" w:rsidRDefault="0044696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FF643" w14:textId="77777777" w:rsidR="00C77018" w:rsidRDefault="00C77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9"/>
  </w:num>
  <w:num w:numId="6">
    <w:abstractNumId w:val="2"/>
  </w:num>
  <w:num w:numId="7">
    <w:abstractNumId w:val="11"/>
  </w:num>
  <w:num w:numId="8">
    <w:abstractNumId w:val="3"/>
  </w:num>
  <w:num w:numId="9">
    <w:abstractNumId w:val="1"/>
  </w:num>
  <w:num w:numId="10">
    <w:abstractNumId w:val="5"/>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7093A"/>
    <w:rsid w:val="00071D0A"/>
    <w:rsid w:val="0007205B"/>
    <w:rsid w:val="0007240A"/>
    <w:rsid w:val="00073BCE"/>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100030"/>
    <w:rsid w:val="00111739"/>
    <w:rsid w:val="00111C96"/>
    <w:rsid w:val="00111CE0"/>
    <w:rsid w:val="00111DF0"/>
    <w:rsid w:val="001135C5"/>
    <w:rsid w:val="00114117"/>
    <w:rsid w:val="001147C0"/>
    <w:rsid w:val="001156DF"/>
    <w:rsid w:val="001253A3"/>
    <w:rsid w:val="00126145"/>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7D9"/>
    <w:rsid w:val="00170667"/>
    <w:rsid w:val="00170C6A"/>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D8C"/>
    <w:rsid w:val="001E43EF"/>
    <w:rsid w:val="001E44CD"/>
    <w:rsid w:val="001E6F40"/>
    <w:rsid w:val="001F0A3C"/>
    <w:rsid w:val="001F1606"/>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2B94"/>
    <w:rsid w:val="00255974"/>
    <w:rsid w:val="00255E19"/>
    <w:rsid w:val="00256C2E"/>
    <w:rsid w:val="00257233"/>
    <w:rsid w:val="00260716"/>
    <w:rsid w:val="0026193E"/>
    <w:rsid w:val="00261A9C"/>
    <w:rsid w:val="00261E11"/>
    <w:rsid w:val="00262518"/>
    <w:rsid w:val="00263A3D"/>
    <w:rsid w:val="00264137"/>
    <w:rsid w:val="00264908"/>
    <w:rsid w:val="00265438"/>
    <w:rsid w:val="0027030C"/>
    <w:rsid w:val="00270A1C"/>
    <w:rsid w:val="00271ED8"/>
    <w:rsid w:val="002730ED"/>
    <w:rsid w:val="00274A71"/>
    <w:rsid w:val="00277301"/>
    <w:rsid w:val="00281718"/>
    <w:rsid w:val="00282A2B"/>
    <w:rsid w:val="002843CF"/>
    <w:rsid w:val="002855D0"/>
    <w:rsid w:val="002857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953"/>
    <w:rsid w:val="003334A8"/>
    <w:rsid w:val="0033386B"/>
    <w:rsid w:val="00333D6C"/>
    <w:rsid w:val="0033525E"/>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53FD"/>
    <w:rsid w:val="00515E56"/>
    <w:rsid w:val="005160E0"/>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5DD2"/>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609B3"/>
    <w:rsid w:val="00860FE6"/>
    <w:rsid w:val="00863940"/>
    <w:rsid w:val="00864140"/>
    <w:rsid w:val="00864D17"/>
    <w:rsid w:val="008672AE"/>
    <w:rsid w:val="008702BF"/>
    <w:rsid w:val="008719DB"/>
    <w:rsid w:val="00871FA9"/>
    <w:rsid w:val="00872250"/>
    <w:rsid w:val="008731B8"/>
    <w:rsid w:val="00873D16"/>
    <w:rsid w:val="008757FA"/>
    <w:rsid w:val="008768D2"/>
    <w:rsid w:val="00880F6C"/>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3399"/>
    <w:rsid w:val="00AB3D67"/>
    <w:rsid w:val="00AC4276"/>
    <w:rsid w:val="00AC464D"/>
    <w:rsid w:val="00AC51E8"/>
    <w:rsid w:val="00AC70FC"/>
    <w:rsid w:val="00AD0CA9"/>
    <w:rsid w:val="00AD1C5F"/>
    <w:rsid w:val="00AD2407"/>
    <w:rsid w:val="00AD3E16"/>
    <w:rsid w:val="00AD5FBC"/>
    <w:rsid w:val="00AD6279"/>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52AE"/>
    <w:rsid w:val="00BA60E2"/>
    <w:rsid w:val="00BA7568"/>
    <w:rsid w:val="00BB1325"/>
    <w:rsid w:val="00BB156E"/>
    <w:rsid w:val="00BB3ABA"/>
    <w:rsid w:val="00BB4FEC"/>
    <w:rsid w:val="00BB65B1"/>
    <w:rsid w:val="00BB69D5"/>
    <w:rsid w:val="00BB6A3E"/>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3083D"/>
    <w:rsid w:val="00C32425"/>
    <w:rsid w:val="00C33DEA"/>
    <w:rsid w:val="00C35152"/>
    <w:rsid w:val="00C353D0"/>
    <w:rsid w:val="00C35AE1"/>
    <w:rsid w:val="00C4024B"/>
    <w:rsid w:val="00C41E00"/>
    <w:rsid w:val="00C41E55"/>
    <w:rsid w:val="00C43809"/>
    <w:rsid w:val="00C4425A"/>
    <w:rsid w:val="00C44FC9"/>
    <w:rsid w:val="00C45167"/>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018"/>
    <w:rsid w:val="00C8086B"/>
    <w:rsid w:val="00C82D97"/>
    <w:rsid w:val="00C84D14"/>
    <w:rsid w:val="00C91C45"/>
    <w:rsid w:val="00C9369C"/>
    <w:rsid w:val="00C93EDD"/>
    <w:rsid w:val="00C953EF"/>
    <w:rsid w:val="00C953F6"/>
    <w:rsid w:val="00C97FD3"/>
    <w:rsid w:val="00CA0363"/>
    <w:rsid w:val="00CA04F3"/>
    <w:rsid w:val="00CA06A4"/>
    <w:rsid w:val="00CA2343"/>
    <w:rsid w:val="00CA501F"/>
    <w:rsid w:val="00CA59FA"/>
    <w:rsid w:val="00CA61CF"/>
    <w:rsid w:val="00CA749E"/>
    <w:rsid w:val="00CA759F"/>
    <w:rsid w:val="00CB0441"/>
    <w:rsid w:val="00CB08EB"/>
    <w:rsid w:val="00CB1749"/>
    <w:rsid w:val="00CB3A9F"/>
    <w:rsid w:val="00CB447F"/>
    <w:rsid w:val="00CB5048"/>
    <w:rsid w:val="00CC10DA"/>
    <w:rsid w:val="00CC156D"/>
    <w:rsid w:val="00CC1CA4"/>
    <w:rsid w:val="00CC2929"/>
    <w:rsid w:val="00CC58C3"/>
    <w:rsid w:val="00CD229F"/>
    <w:rsid w:val="00CE2D1F"/>
    <w:rsid w:val="00CE316E"/>
    <w:rsid w:val="00CE3462"/>
    <w:rsid w:val="00CE52F0"/>
    <w:rsid w:val="00CE7389"/>
    <w:rsid w:val="00CF121A"/>
    <w:rsid w:val="00CF18A3"/>
    <w:rsid w:val="00CF356A"/>
    <w:rsid w:val="00CF4A61"/>
    <w:rsid w:val="00CF4B9A"/>
    <w:rsid w:val="00D0108B"/>
    <w:rsid w:val="00D029CB"/>
    <w:rsid w:val="00D04274"/>
    <w:rsid w:val="00D05A8B"/>
    <w:rsid w:val="00D0622A"/>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902C7"/>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5B"/>
    <w:rsid w:val="00EF2499"/>
    <w:rsid w:val="00EF4AE0"/>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spacing w:after="160" w:line="259" w:lineRule="auto"/>
      <w:ind w:firstLineChars="200" w:firstLine="420"/>
      <w:jc w:val="both"/>
    </w:pPr>
    <w:rPr>
      <w:rFonts w:ascii="SimSun"/>
      <w:kern w:val="2"/>
      <w:sz w:val="21"/>
      <w:szCs w:val="21"/>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kern w:val="2"/>
      <w:sz w:val="18"/>
      <w:szCs w:val="18"/>
    </w:rPr>
  </w:style>
  <w:style w:type="paragraph" w:customStyle="1" w:styleId="a6">
    <w:name w:val="示例内容"/>
    <w:qFormat/>
    <w:pPr>
      <w:spacing w:after="160" w:line="259" w:lineRule="auto"/>
      <w:ind w:firstLineChars="200" w:firstLine="200"/>
    </w:pPr>
    <w:rPr>
      <w:rFonts w:ascii="SimSun"/>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after="160" w:line="680" w:lineRule="exact"/>
      <w:jc w:val="center"/>
      <w:textAlignment w:val="center"/>
    </w:pPr>
    <w:rPr>
      <w:rFonts w:ascii="SimHei" w:eastAsia="SimHei"/>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after="160" w:line="0" w:lineRule="atLeast"/>
      <w:jc w:val="right"/>
    </w:pPr>
    <w:rPr>
      <w:b/>
      <w:w w:val="170"/>
      <w:kern w:val="2"/>
      <w:sz w:val="96"/>
      <w:szCs w:val="96"/>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7">
    <w:name w:val="标准书眉一"/>
    <w:qFormat/>
    <w:pPr>
      <w:spacing w:after="160" w:line="259" w:lineRule="auto"/>
      <w:jc w:val="both"/>
    </w:pPr>
    <w:rPr>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kern w:val="2"/>
      <w:sz w:val="21"/>
      <w:szCs w:val="21"/>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spacing w:after="160" w:line="259" w:lineRule="auto"/>
      <w:ind w:left="1190" w:hanging="567"/>
      <w:jc w:val="both"/>
    </w:pPr>
    <w:rPr>
      <w:rFonts w:ascii="SimSun"/>
      <w:kern w:val="2"/>
      <w:sz w:val="21"/>
      <w:szCs w:val="21"/>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after="160" w:line="259" w:lineRule="auto"/>
      <w:ind w:right="198"/>
      <w:jc w:val="right"/>
    </w:pPr>
    <w:rPr>
      <w:rFonts w:ascii="SimSun"/>
      <w:kern w:val="2"/>
      <w:sz w:val="18"/>
      <w:szCs w:val="18"/>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spacing w:after="160" w:line="259" w:lineRule="auto"/>
      <w:jc w:val="both"/>
    </w:pPr>
    <w:rPr>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5">
    <w:name w:val="标准书脚_偶数页"/>
    <w:qFormat/>
    <w:pPr>
      <w:spacing w:before="120" w:after="160" w:line="259" w:lineRule="auto"/>
      <w:ind w:left="221"/>
    </w:pPr>
    <w:rPr>
      <w:rFonts w:ascii="SimSun"/>
      <w:kern w:val="2"/>
      <w:sz w:val="18"/>
      <w:szCs w:val="18"/>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E5E870-89F0-4E84-9628-0ADA10022C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8</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12</cp:revision>
  <cp:lastPrinted>2113-01-01T00:00:00Z</cp:lastPrinted>
  <dcterms:created xsi:type="dcterms:W3CDTF">2021-01-12T16:18:00Z</dcterms:created>
  <dcterms:modified xsi:type="dcterms:W3CDTF">2021-01-14T22:32:00Z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