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90701" w14:textId="77777777" w:rsidR="001B0909" w:rsidRDefault="001B0909" w:rsidP="00515691">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p>
    <w:p w14:paraId="47EC0443" w14:textId="1A191B56" w:rsidR="00515691" w:rsidRPr="00A9284F" w:rsidRDefault="00515691" w:rsidP="00515691">
      <w:pPr>
        <w:pStyle w:val="Header"/>
        <w:tabs>
          <w:tab w:val="right" w:pos="9639"/>
          <w:tab w:val="right" w:pos="9781"/>
        </w:tabs>
        <w:ind w:right="-58"/>
        <w:rPr>
          <w:rFonts w:ascii="Calibri" w:eastAsia="MS Mincho" w:hAnsi="Calibri" w:cs="Calibri"/>
          <w:sz w:val="24"/>
          <w:szCs w:val="24"/>
          <w:lang w:val="en-US" w:eastAsia="en-US"/>
        </w:rPr>
      </w:pPr>
      <w:r w:rsidRPr="00B82A47">
        <w:rPr>
          <w:rFonts w:asciiTheme="minorHAnsi" w:eastAsia="MS Mincho" w:hAnsiTheme="minorHAnsi" w:cstheme="minorHAnsi"/>
          <w:sz w:val="24"/>
          <w:szCs w:val="24"/>
          <w:lang w:val="en-US" w:eastAsia="en-US"/>
        </w:rPr>
        <w:t>3GPP TSG RAN WG2 Meeting# 1</w:t>
      </w:r>
      <w:r w:rsidR="00772B88" w:rsidRPr="00B82A47">
        <w:rPr>
          <w:rFonts w:asciiTheme="minorHAnsi" w:eastAsia="MS Mincho" w:hAnsiTheme="minorHAnsi" w:cstheme="minorHAnsi"/>
          <w:sz w:val="24"/>
          <w:szCs w:val="24"/>
          <w:lang w:val="en-US" w:eastAsia="en-US"/>
        </w:rPr>
        <w:t>1</w:t>
      </w:r>
      <w:r w:rsidR="00F07725">
        <w:rPr>
          <w:rFonts w:asciiTheme="minorHAnsi" w:eastAsia="MS Mincho" w:hAnsiTheme="minorHAnsi" w:cstheme="minorHAnsi"/>
          <w:sz w:val="24"/>
          <w:szCs w:val="24"/>
          <w:lang w:val="en-US" w:eastAsia="en-US"/>
        </w:rPr>
        <w:t>3</w:t>
      </w:r>
      <w:r w:rsidR="007E12E9" w:rsidRPr="00B82A47">
        <w:rPr>
          <w:rFonts w:asciiTheme="minorHAnsi" w:eastAsia="MS Mincho" w:hAnsiTheme="minorHAnsi" w:cstheme="minorHAnsi"/>
          <w:sz w:val="24"/>
          <w:szCs w:val="24"/>
          <w:lang w:val="en-US" w:eastAsia="en-US"/>
        </w:rPr>
        <w:t xml:space="preserve"> </w:t>
      </w:r>
      <w:r w:rsidR="00F378D3" w:rsidRPr="00B82A47">
        <w:rPr>
          <w:rFonts w:asciiTheme="minorHAnsi" w:hAnsiTheme="minorHAnsi" w:cstheme="minorHAnsi"/>
          <w:sz w:val="24"/>
          <w:szCs w:val="24"/>
        </w:rPr>
        <w:t>electronic</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R2-</w:t>
      </w:r>
      <w:r w:rsidR="007E12E9">
        <w:rPr>
          <w:rFonts w:ascii="Calibri" w:eastAsia="MS Mincho" w:hAnsi="Calibri" w:cs="Calibri"/>
          <w:sz w:val="24"/>
          <w:szCs w:val="24"/>
          <w:lang w:val="en-US" w:eastAsia="en-US"/>
        </w:rPr>
        <w:t>2</w:t>
      </w:r>
      <w:r w:rsidR="0086360B">
        <w:rPr>
          <w:rFonts w:ascii="Calibri" w:eastAsia="MS Mincho" w:hAnsi="Calibri" w:cs="Calibri"/>
          <w:sz w:val="24"/>
          <w:szCs w:val="24"/>
          <w:lang w:val="en-US" w:eastAsia="en-US"/>
        </w:rPr>
        <w:t>1009</w:t>
      </w:r>
      <w:r w:rsidR="00261B42">
        <w:rPr>
          <w:rFonts w:ascii="Calibri" w:eastAsia="MS Mincho" w:hAnsi="Calibri" w:cs="Calibri"/>
          <w:sz w:val="24"/>
          <w:szCs w:val="24"/>
          <w:lang w:val="en-US" w:eastAsia="en-US"/>
        </w:rPr>
        <w:t>1</w:t>
      </w:r>
      <w:r w:rsidR="0086360B">
        <w:rPr>
          <w:rFonts w:ascii="Calibri" w:eastAsia="MS Mincho" w:hAnsi="Calibri" w:cs="Calibri"/>
          <w:sz w:val="24"/>
          <w:szCs w:val="24"/>
          <w:lang w:val="en-US" w:eastAsia="en-US"/>
        </w:rPr>
        <w:t>8</w:t>
      </w:r>
    </w:p>
    <w:p w14:paraId="446C55B5" w14:textId="7570526F" w:rsidR="00515691" w:rsidRPr="00CB6DF0" w:rsidRDefault="00604787" w:rsidP="00515691">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Electronic</w:t>
      </w:r>
      <w:r w:rsidR="007E12E9">
        <w:rPr>
          <w:rFonts w:ascii="Calibri" w:eastAsia="MS Mincho" w:hAnsi="Calibri" w:cs="Calibri"/>
          <w:sz w:val="24"/>
          <w:szCs w:val="24"/>
          <w:lang w:val="en-US" w:eastAsia="en-US"/>
        </w:rPr>
        <w:t xml:space="preserve"> </w:t>
      </w:r>
      <w:r w:rsidR="00730767">
        <w:rPr>
          <w:rFonts w:ascii="Calibri" w:eastAsia="MS Mincho" w:hAnsi="Calibri" w:cs="Calibri"/>
          <w:sz w:val="24"/>
          <w:szCs w:val="24"/>
          <w:lang w:val="en-US" w:eastAsia="en-US"/>
        </w:rPr>
        <w:t>2</w:t>
      </w:r>
      <w:r w:rsidR="00F07725">
        <w:rPr>
          <w:rFonts w:ascii="Calibri" w:eastAsia="MS Mincho" w:hAnsi="Calibri" w:cs="Calibri"/>
          <w:sz w:val="24"/>
          <w:szCs w:val="24"/>
          <w:lang w:val="en-US" w:eastAsia="en-US"/>
        </w:rPr>
        <w:t>5</w:t>
      </w:r>
      <w:r w:rsidR="00F07725" w:rsidRPr="00475A52">
        <w:rPr>
          <w:rFonts w:ascii="Calibri" w:eastAsia="MS Mincho" w:hAnsi="Calibri" w:cs="Calibri"/>
          <w:sz w:val="24"/>
          <w:szCs w:val="24"/>
          <w:vertAlign w:val="superscript"/>
          <w:lang w:val="en-US" w:eastAsia="en-US"/>
        </w:rPr>
        <w:t>th</w:t>
      </w:r>
      <w:r w:rsidR="00F07725">
        <w:rPr>
          <w:rFonts w:ascii="Calibri" w:eastAsia="MS Mincho" w:hAnsi="Calibri" w:cs="Calibri"/>
          <w:sz w:val="24"/>
          <w:szCs w:val="24"/>
          <w:lang w:val="en-US" w:eastAsia="en-US"/>
        </w:rPr>
        <w:t xml:space="preserve"> Jan</w:t>
      </w:r>
      <w:r w:rsidR="00F07725">
        <w:rPr>
          <w:rFonts w:ascii="Calibri" w:eastAsia="MS Mincho" w:hAnsi="Calibri" w:cs="Calibri"/>
          <w:sz w:val="24"/>
          <w:szCs w:val="24"/>
          <w:vertAlign w:val="superscript"/>
          <w:lang w:val="en-US" w:eastAsia="en-US"/>
        </w:rPr>
        <w:t xml:space="preserve"> </w:t>
      </w:r>
      <w:r w:rsidR="00730767">
        <w:rPr>
          <w:rFonts w:ascii="Calibri" w:eastAsia="MS Mincho" w:hAnsi="Calibri" w:cs="Calibri"/>
          <w:sz w:val="24"/>
          <w:szCs w:val="24"/>
          <w:lang w:val="en-US" w:eastAsia="en-US"/>
        </w:rPr>
        <w:t xml:space="preserve"> – </w:t>
      </w:r>
      <w:r w:rsidR="00F07725">
        <w:rPr>
          <w:rFonts w:ascii="Calibri" w:eastAsia="MS Mincho" w:hAnsi="Calibri" w:cs="Calibri"/>
          <w:sz w:val="24"/>
          <w:szCs w:val="24"/>
          <w:lang w:val="en-US" w:eastAsia="en-US"/>
        </w:rPr>
        <w:t>5</w:t>
      </w:r>
      <w:r w:rsidR="00F07725" w:rsidRPr="00475A52">
        <w:rPr>
          <w:rFonts w:ascii="Calibri" w:eastAsia="MS Mincho" w:hAnsi="Calibri" w:cs="Calibri"/>
          <w:sz w:val="24"/>
          <w:szCs w:val="24"/>
          <w:vertAlign w:val="superscript"/>
          <w:lang w:val="en-US" w:eastAsia="en-US"/>
        </w:rPr>
        <w:t>th</w:t>
      </w:r>
      <w:r w:rsidR="00F07725">
        <w:rPr>
          <w:rFonts w:ascii="Calibri" w:eastAsia="MS Mincho" w:hAnsi="Calibri" w:cs="Calibri"/>
          <w:sz w:val="24"/>
          <w:szCs w:val="24"/>
          <w:lang w:val="en-US" w:eastAsia="en-US"/>
        </w:rPr>
        <w:t xml:space="preserve"> Feb </w:t>
      </w:r>
      <w:r w:rsidR="00515691">
        <w:rPr>
          <w:rFonts w:ascii="Calibri" w:eastAsia="MS Mincho" w:hAnsi="Calibri" w:cs="Calibri"/>
          <w:sz w:val="24"/>
          <w:szCs w:val="24"/>
          <w:lang w:val="en-US" w:eastAsia="en-US"/>
        </w:rPr>
        <w:t>20</w:t>
      </w:r>
      <w:r w:rsidR="007E12E9">
        <w:rPr>
          <w:rFonts w:ascii="Calibri" w:eastAsia="MS Mincho" w:hAnsi="Calibri" w:cs="Calibri"/>
          <w:sz w:val="24"/>
          <w:szCs w:val="24"/>
          <w:lang w:val="en-US" w:eastAsia="en-US"/>
        </w:rPr>
        <w:t>2</w:t>
      </w:r>
      <w:r w:rsidR="00F07725">
        <w:rPr>
          <w:rFonts w:ascii="Calibri" w:eastAsia="MS Mincho" w:hAnsi="Calibri" w:cs="Calibri"/>
          <w:sz w:val="24"/>
          <w:szCs w:val="24"/>
          <w:lang w:val="en-US" w:eastAsia="en-US"/>
        </w:rPr>
        <w:t>1</w:t>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62530B66"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w:t>
      </w:r>
      <w:r w:rsidR="00C90FAF">
        <w:rPr>
          <w:rFonts w:ascii="Calibri" w:eastAsia="MS Mincho" w:hAnsi="Calibri" w:cs="Calibri"/>
          <w:b/>
          <w:sz w:val="24"/>
          <w:lang w:val="en-US" w:eastAsia="en-US"/>
        </w:rPr>
        <w:t>16.2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01EA4925"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C90FAF">
        <w:rPr>
          <w:rFonts w:ascii="Calibri" w:eastAsia="MS Mincho" w:hAnsi="Calibri" w:cs="Calibri"/>
          <w:b/>
          <w:sz w:val="24"/>
          <w:lang w:val="en-US" w:eastAsia="en-US"/>
        </w:rPr>
        <w:t>SIB info for third party credentials and UE onboarding</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40CDB5A3" w14:textId="77777777" w:rsidR="00361EA1" w:rsidRDefault="00361EA1" w:rsidP="00111949">
      <w:pPr>
        <w:rPr>
          <w:szCs w:val="22"/>
        </w:rPr>
      </w:pPr>
      <w:r>
        <w:rPr>
          <w:szCs w:val="22"/>
        </w:rPr>
        <w:t>RANP#90e agreed the following objectives:</w:t>
      </w:r>
    </w:p>
    <w:tbl>
      <w:tblPr>
        <w:tblStyle w:val="TableGrid"/>
        <w:tblW w:w="0" w:type="auto"/>
        <w:tblLook w:val="04A0" w:firstRow="1" w:lastRow="0" w:firstColumn="1" w:lastColumn="0" w:noHBand="0" w:noVBand="1"/>
      </w:tblPr>
      <w:tblGrid>
        <w:gridCol w:w="9631"/>
      </w:tblGrid>
      <w:tr w:rsidR="00361EA1" w14:paraId="53F6A5F8" w14:textId="77777777" w:rsidTr="00361EA1">
        <w:tc>
          <w:tcPr>
            <w:tcW w:w="9631" w:type="dxa"/>
          </w:tcPr>
          <w:p w14:paraId="3ED11E4F" w14:textId="77777777" w:rsidR="00361EA1" w:rsidRDefault="00361EA1" w:rsidP="00361EA1">
            <w:pPr>
              <w:ind w:right="-99"/>
              <w:rPr>
                <w:lang w:val="en-US" w:eastAsia="zh-CN"/>
              </w:rPr>
            </w:pPr>
            <w:r>
              <w:rPr>
                <w:lang w:val="en-US" w:eastAsia="zh-CN"/>
              </w:rPr>
              <w:t>The objective of this work item is to support enhanced non-public network (</w:t>
            </w:r>
            <w:proofErr w:type="spellStart"/>
            <w:r>
              <w:rPr>
                <w:lang w:val="en-US" w:eastAsia="zh-CN"/>
              </w:rPr>
              <w:t>eNPN</w:t>
            </w:r>
            <w:proofErr w:type="spellEnd"/>
            <w:r>
              <w:rPr>
                <w:lang w:val="en-US" w:eastAsia="zh-CN"/>
              </w:rPr>
              <w:t>) for NG-RAN resulting from the SA2 study on enhanced support of NPN. The SA2 study covers the following SA2 objectives and the RAN objective is to specify the corresponding RAN functionality where necessary:</w:t>
            </w:r>
          </w:p>
          <w:p w14:paraId="7784A48C" w14:textId="77777777" w:rsidR="00361EA1" w:rsidRDefault="00361EA1" w:rsidP="00361EA1">
            <w:pPr>
              <w:numPr>
                <w:ilvl w:val="0"/>
                <w:numId w:val="15"/>
              </w:numPr>
              <w:overflowPunct/>
              <w:autoSpaceDE/>
              <w:autoSpaceDN/>
              <w:adjustRightInd/>
              <w:spacing w:after="160" w:line="256" w:lineRule="auto"/>
              <w:ind w:right="-99"/>
              <w:textAlignment w:val="auto"/>
              <w:rPr>
                <w:lang w:val="en-US" w:eastAsia="zh-CN"/>
              </w:rPr>
            </w:pPr>
            <w:r>
              <w:rPr>
                <w:lang w:val="en-US" w:eastAsia="zh-CN"/>
              </w:rPr>
              <w:t xml:space="preserve">Support </w:t>
            </w:r>
            <w:r>
              <w:rPr>
                <w:lang w:eastAsia="zh-CN"/>
              </w:rPr>
              <w:t>SNPN along with subscription / credentials owned by an entity separate from the SNPN including:</w:t>
            </w:r>
          </w:p>
          <w:p w14:paraId="36A9859F" w14:textId="77777777" w:rsidR="00361EA1" w:rsidRDefault="00361EA1" w:rsidP="00361EA1">
            <w:pPr>
              <w:numPr>
                <w:ilvl w:val="1"/>
                <w:numId w:val="15"/>
              </w:numPr>
              <w:overflowPunct/>
              <w:autoSpaceDE/>
              <w:autoSpaceDN/>
              <w:adjustRightInd/>
              <w:spacing w:after="160" w:line="256" w:lineRule="auto"/>
              <w:ind w:right="-99"/>
              <w:textAlignment w:val="auto"/>
              <w:rPr>
                <w:lang w:eastAsia="zh-CN"/>
              </w:rPr>
            </w:pPr>
            <w:r>
              <w:rPr>
                <w:lang w:eastAsia="zh-CN"/>
              </w:rPr>
              <w:t>The broadcasting of information to enable SNPN selection for UEs with subscription/credentials owned by an entity separate from the SNPN [RAN2]</w:t>
            </w:r>
          </w:p>
          <w:p w14:paraId="2077FADB" w14:textId="77777777" w:rsidR="00361EA1" w:rsidRDefault="00361EA1" w:rsidP="00361EA1">
            <w:pPr>
              <w:numPr>
                <w:ilvl w:val="1"/>
                <w:numId w:val="15"/>
              </w:numPr>
              <w:overflowPunct/>
              <w:autoSpaceDE/>
              <w:autoSpaceDN/>
              <w:adjustRightInd/>
              <w:spacing w:after="160" w:line="256" w:lineRule="auto"/>
              <w:ind w:right="-99"/>
              <w:textAlignment w:val="auto"/>
              <w:rPr>
                <w:lang w:val="en-US" w:eastAsia="zh-CN"/>
              </w:rPr>
            </w:pPr>
            <w:r>
              <w:rPr>
                <w:lang w:eastAsia="zh-CN"/>
              </w:rPr>
              <w:t xml:space="preserve">The associated cell selection/reselection and </w:t>
            </w:r>
            <w:r>
              <w:rPr>
                <w:lang w:val="en-US" w:eastAsia="zh-CN"/>
              </w:rPr>
              <w:t xml:space="preserve">connected </w:t>
            </w:r>
            <w:r>
              <w:rPr>
                <w:lang w:eastAsia="zh-CN"/>
              </w:rPr>
              <w:t>mode mobility support</w:t>
            </w:r>
            <w:r>
              <w:rPr>
                <w:color w:val="FF0000"/>
                <w:lang w:eastAsia="zh-CN"/>
              </w:rPr>
              <w:t xml:space="preserve"> </w:t>
            </w:r>
            <w:r>
              <w:rPr>
                <w:lang w:eastAsia="zh-CN"/>
              </w:rPr>
              <w:t>[RAN2/RAN3]</w:t>
            </w:r>
          </w:p>
          <w:p w14:paraId="35DF7216" w14:textId="77777777" w:rsidR="00361EA1" w:rsidRDefault="00361EA1" w:rsidP="00361EA1">
            <w:pPr>
              <w:numPr>
                <w:ilvl w:val="1"/>
                <w:numId w:val="15"/>
              </w:numPr>
              <w:overflowPunct/>
              <w:autoSpaceDE/>
              <w:autoSpaceDN/>
              <w:adjustRightInd/>
              <w:spacing w:after="160" w:line="256" w:lineRule="auto"/>
              <w:ind w:right="-99"/>
              <w:textAlignment w:val="auto"/>
              <w:rPr>
                <w:lang w:val="en-US" w:eastAsia="zh-CN"/>
              </w:rPr>
            </w:pPr>
            <w:r>
              <w:rPr>
                <w:lang w:val="en-US" w:eastAsia="zh-CN"/>
              </w:rPr>
              <w:t xml:space="preserve">The necessary modifications over network interfaces (e.g.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 [RAN3]</w:t>
            </w:r>
          </w:p>
          <w:p w14:paraId="58287741" w14:textId="77777777" w:rsidR="00361EA1" w:rsidRDefault="00361EA1" w:rsidP="00361EA1">
            <w:pPr>
              <w:numPr>
                <w:ilvl w:val="0"/>
                <w:numId w:val="15"/>
              </w:numPr>
              <w:overflowPunct/>
              <w:autoSpaceDE/>
              <w:autoSpaceDN/>
              <w:adjustRightInd/>
              <w:spacing w:after="160" w:line="256" w:lineRule="auto"/>
              <w:ind w:right="-99"/>
              <w:textAlignment w:val="auto"/>
              <w:rPr>
                <w:lang w:val="en-US" w:eastAsia="zh-CN"/>
              </w:rPr>
            </w:pPr>
            <w:r>
              <w:rPr>
                <w:lang w:val="en-US" w:eastAsia="zh-CN"/>
              </w:rPr>
              <w:t xml:space="preserve">Support </w:t>
            </w:r>
            <w:r>
              <w:rPr>
                <w:lang w:eastAsia="zh-CN"/>
              </w:rPr>
              <w:t>UE onboarding and provisioning for NPN including:</w:t>
            </w:r>
          </w:p>
          <w:p w14:paraId="2373DA79" w14:textId="77777777" w:rsidR="00361EA1" w:rsidRDefault="00361EA1" w:rsidP="00361EA1">
            <w:pPr>
              <w:numPr>
                <w:ilvl w:val="1"/>
                <w:numId w:val="15"/>
              </w:numPr>
              <w:overflowPunct/>
              <w:autoSpaceDE/>
              <w:autoSpaceDN/>
              <w:adjustRightInd/>
              <w:spacing w:after="160" w:line="256" w:lineRule="auto"/>
              <w:ind w:right="-99"/>
              <w:textAlignment w:val="auto"/>
              <w:rPr>
                <w:lang w:eastAsia="zh-CN"/>
              </w:rPr>
            </w:pPr>
            <w:r>
              <w:rPr>
                <w:lang w:eastAsia="zh-CN"/>
              </w:rPr>
              <w:t>The UE onboarding relevant parameter broadcast from SIB [RAN2]</w:t>
            </w:r>
          </w:p>
          <w:p w14:paraId="2E910FFA" w14:textId="77777777" w:rsidR="00361EA1" w:rsidRDefault="00361EA1" w:rsidP="00361EA1">
            <w:pPr>
              <w:numPr>
                <w:ilvl w:val="1"/>
                <w:numId w:val="15"/>
              </w:numPr>
              <w:overflowPunct/>
              <w:autoSpaceDE/>
              <w:autoSpaceDN/>
              <w:adjustRightInd/>
              <w:spacing w:after="160" w:line="256" w:lineRule="auto"/>
              <w:ind w:right="-99"/>
              <w:textAlignment w:val="auto"/>
              <w:rPr>
                <w:lang w:val="en-US" w:eastAsia="zh-CN"/>
              </w:rPr>
            </w:pPr>
            <w:r>
              <w:rPr>
                <w:lang w:eastAsia="zh-CN"/>
              </w:rPr>
              <w:t>The associated cell selection/reselection, cell access control and the connected mode mobility support [RAN2/RAN3]</w:t>
            </w:r>
          </w:p>
          <w:p w14:paraId="0E1EB042" w14:textId="77777777" w:rsidR="00361EA1" w:rsidRDefault="00361EA1" w:rsidP="00361EA1">
            <w:pPr>
              <w:numPr>
                <w:ilvl w:val="1"/>
                <w:numId w:val="15"/>
              </w:numPr>
              <w:overflowPunct/>
              <w:autoSpaceDE/>
              <w:autoSpaceDN/>
              <w:adjustRightInd/>
              <w:spacing w:after="160" w:line="256" w:lineRule="auto"/>
              <w:ind w:right="-99"/>
              <w:textAlignment w:val="auto"/>
              <w:rPr>
                <w:lang w:val="en-US" w:eastAsia="zh-CN"/>
              </w:rPr>
            </w:pPr>
            <w:r>
              <w:rPr>
                <w:lang w:val="en-US" w:eastAsia="zh-CN"/>
              </w:rPr>
              <w:t xml:space="preserve">The necessary modifications over network interfaces (e.g. NG, </w:t>
            </w:r>
            <w:proofErr w:type="spellStart"/>
            <w:r>
              <w:rPr>
                <w:lang w:val="en-US" w:eastAsia="zh-CN"/>
              </w:rPr>
              <w:t>Xn</w:t>
            </w:r>
            <w:proofErr w:type="spellEnd"/>
            <w:r>
              <w:rPr>
                <w:lang w:val="en-US" w:eastAsia="zh-CN"/>
              </w:rPr>
              <w:t xml:space="preserve">, F1, E1 </w:t>
            </w:r>
            <w:proofErr w:type="spellStart"/>
            <w:r>
              <w:rPr>
                <w:lang w:val="en-US" w:eastAsia="zh-CN"/>
              </w:rPr>
              <w:t>etc</w:t>
            </w:r>
            <w:proofErr w:type="spellEnd"/>
            <w:r>
              <w:rPr>
                <w:lang w:val="en-US" w:eastAsia="zh-CN"/>
              </w:rPr>
              <w:t>) [RAN3]</w:t>
            </w:r>
          </w:p>
          <w:p w14:paraId="4A5C7D90" w14:textId="77777777" w:rsidR="00361EA1" w:rsidRDefault="00361EA1" w:rsidP="00361EA1">
            <w:pPr>
              <w:numPr>
                <w:ilvl w:val="0"/>
                <w:numId w:val="15"/>
              </w:numPr>
              <w:overflowPunct/>
              <w:autoSpaceDE/>
              <w:autoSpaceDN/>
              <w:adjustRightInd/>
              <w:spacing w:after="160" w:line="256" w:lineRule="auto"/>
              <w:ind w:right="-99"/>
              <w:textAlignment w:val="auto"/>
              <w:rPr>
                <w:lang w:eastAsia="zh-CN"/>
              </w:rPr>
            </w:pPr>
            <w:r>
              <w:t xml:space="preserve">Support of IMS voice and emergency services for SNPN </w:t>
            </w:r>
            <w:r>
              <w:rPr>
                <w:lang w:eastAsia="zh-CN"/>
              </w:rPr>
              <w:t>[RAN2]</w:t>
            </w:r>
          </w:p>
          <w:p w14:paraId="5949CFE2" w14:textId="77777777" w:rsidR="00361EA1" w:rsidRDefault="00361EA1" w:rsidP="00361EA1">
            <w:pPr>
              <w:numPr>
                <w:ilvl w:val="1"/>
                <w:numId w:val="15"/>
              </w:numPr>
              <w:overflowPunct/>
              <w:autoSpaceDE/>
              <w:autoSpaceDN/>
              <w:adjustRightInd/>
              <w:spacing w:after="160" w:line="256" w:lineRule="auto"/>
              <w:ind w:right="-99"/>
              <w:textAlignment w:val="auto"/>
              <w:rPr>
                <w:lang w:eastAsia="zh-CN"/>
              </w:rPr>
            </w:pPr>
            <w:r>
              <w:rPr>
                <w:lang w:eastAsia="zh-CN"/>
              </w:rPr>
              <w:t>Broadcasting of relevant parameters [RAN2]</w:t>
            </w:r>
          </w:p>
          <w:p w14:paraId="7B3C50DA" w14:textId="7FB8F161" w:rsidR="00361EA1" w:rsidRDefault="00361EA1" w:rsidP="00361EA1">
            <w:pPr>
              <w:rPr>
                <w:szCs w:val="22"/>
              </w:rPr>
            </w:pPr>
            <w:r>
              <w:rPr>
                <w:lang w:eastAsia="zh-CN"/>
              </w:rPr>
              <w:t>NOTE: The above sub-bullets for the SA2 objectives may be non-exhaustive and are subject to further discussion depending on SA2 updates if any</w:t>
            </w:r>
          </w:p>
        </w:tc>
      </w:tr>
    </w:tbl>
    <w:p w14:paraId="4C2808AC" w14:textId="4DBCE1D8" w:rsidR="00361EA1" w:rsidRDefault="00361EA1" w:rsidP="00111949">
      <w:pPr>
        <w:rPr>
          <w:szCs w:val="22"/>
        </w:rPr>
      </w:pPr>
    </w:p>
    <w:p w14:paraId="09BBCA06" w14:textId="04DADBF8" w:rsidR="00B82A47" w:rsidRPr="00B85320" w:rsidRDefault="008C4C92" w:rsidP="00111949">
      <w:pPr>
        <w:rPr>
          <w:szCs w:val="22"/>
        </w:rPr>
      </w:pPr>
      <w:r>
        <w:rPr>
          <w:szCs w:val="22"/>
        </w:rPr>
        <w:t xml:space="preserve">In this contribution we </w:t>
      </w:r>
      <w:proofErr w:type="gramStart"/>
      <w:r>
        <w:rPr>
          <w:szCs w:val="22"/>
        </w:rPr>
        <w:t>look into</w:t>
      </w:r>
      <w:proofErr w:type="gramEnd"/>
      <w:r>
        <w:rPr>
          <w:szCs w:val="22"/>
        </w:rPr>
        <w:t xml:space="preserve"> the information needed </w:t>
      </w:r>
      <w:r w:rsidR="00261B42">
        <w:rPr>
          <w:szCs w:val="22"/>
        </w:rPr>
        <w:t>to</w:t>
      </w:r>
      <w:r>
        <w:rPr>
          <w:szCs w:val="22"/>
        </w:rPr>
        <w:t xml:space="preserve"> broadcast</w:t>
      </w:r>
      <w:r w:rsidR="00C90FAF">
        <w:rPr>
          <w:szCs w:val="22"/>
        </w:rPr>
        <w:t xml:space="preserve"> for credentials owned by a separate entity and the UE on-boarding</w:t>
      </w:r>
      <w:r w:rsidR="00EC34D8">
        <w:rPr>
          <w:szCs w:val="22"/>
        </w:rPr>
        <w:t>.</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1332C58D" w14:textId="12011E84" w:rsidR="008C4C92" w:rsidRPr="00B43F4E" w:rsidRDefault="002F4D8E" w:rsidP="008C4C92">
      <w:pPr>
        <w:pStyle w:val="B1"/>
        <w:ind w:left="0" w:firstLine="0"/>
        <w:rPr>
          <w:b/>
          <w:bCs/>
        </w:rPr>
      </w:pPr>
      <w:r>
        <w:rPr>
          <w:b/>
          <w:bCs/>
        </w:rPr>
        <w:t xml:space="preserve">2.1 </w:t>
      </w:r>
      <w:r w:rsidR="008C4C92" w:rsidRPr="00B43F4E">
        <w:rPr>
          <w:b/>
          <w:bCs/>
        </w:rPr>
        <w:t>Credentials owned by entity separate from SNPN</w:t>
      </w:r>
    </w:p>
    <w:p w14:paraId="1415AC26" w14:textId="6B867243" w:rsidR="008C4C92" w:rsidRPr="00B81728" w:rsidRDefault="00C90FAF" w:rsidP="008C4C92">
      <w:pPr>
        <w:pStyle w:val="B1"/>
        <w:ind w:left="0" w:firstLine="0"/>
        <w:rPr>
          <w:sz w:val="20"/>
          <w:szCs w:val="20"/>
        </w:rPr>
      </w:pPr>
      <w:r w:rsidRPr="00B81728">
        <w:rPr>
          <w:sz w:val="20"/>
          <w:szCs w:val="20"/>
        </w:rPr>
        <w:t>As part of this work item, i</w:t>
      </w:r>
      <w:r w:rsidR="00B43F4E" w:rsidRPr="00B81728">
        <w:rPr>
          <w:sz w:val="20"/>
          <w:szCs w:val="20"/>
        </w:rPr>
        <w:t xml:space="preserve">n an SNPN deployment, the user credentials owned by </w:t>
      </w:r>
      <w:r w:rsidR="00261B42">
        <w:rPr>
          <w:sz w:val="20"/>
          <w:szCs w:val="20"/>
        </w:rPr>
        <w:t>a</w:t>
      </w:r>
      <w:r w:rsidR="00B43F4E" w:rsidRPr="00B81728">
        <w:rPr>
          <w:sz w:val="20"/>
          <w:szCs w:val="20"/>
        </w:rPr>
        <w:t xml:space="preserve"> third party may be used. For example, a factory owner may deploy its own AAA server and all machines are pre-provisioned with these credentials. SNPN in this case may be deployed by a network operator</w:t>
      </w:r>
      <w:r w:rsidRPr="00B81728">
        <w:rPr>
          <w:sz w:val="20"/>
          <w:szCs w:val="20"/>
        </w:rPr>
        <w:t xml:space="preserve"> or another party</w:t>
      </w:r>
      <w:r w:rsidR="00B43F4E" w:rsidRPr="00B81728">
        <w:rPr>
          <w:sz w:val="20"/>
          <w:szCs w:val="20"/>
        </w:rPr>
        <w:t xml:space="preserve">. </w:t>
      </w:r>
      <w:r w:rsidR="008C4C92" w:rsidRPr="00B81728">
        <w:rPr>
          <w:sz w:val="20"/>
          <w:szCs w:val="20"/>
        </w:rPr>
        <w:t xml:space="preserve">UE may use credentials </w:t>
      </w:r>
      <w:r w:rsidR="00B43F4E" w:rsidRPr="00B81728">
        <w:rPr>
          <w:sz w:val="20"/>
          <w:szCs w:val="20"/>
        </w:rPr>
        <w:t xml:space="preserve">other than </w:t>
      </w:r>
      <w:r w:rsidR="008C4C92" w:rsidRPr="00B81728">
        <w:rPr>
          <w:sz w:val="20"/>
          <w:szCs w:val="20"/>
        </w:rPr>
        <w:t>SU</w:t>
      </w:r>
      <w:r w:rsidR="009F0066" w:rsidRPr="00B81728">
        <w:rPr>
          <w:sz w:val="20"/>
          <w:szCs w:val="20"/>
        </w:rPr>
        <w:t>P</w:t>
      </w:r>
      <w:r w:rsidR="008C4C92" w:rsidRPr="00B81728">
        <w:rPr>
          <w:sz w:val="20"/>
          <w:szCs w:val="20"/>
        </w:rPr>
        <w:t>I or IMSI</w:t>
      </w:r>
      <w:r w:rsidR="00B43F4E" w:rsidRPr="00B81728">
        <w:rPr>
          <w:sz w:val="20"/>
          <w:szCs w:val="20"/>
        </w:rPr>
        <w:t>,</w:t>
      </w:r>
      <w:r w:rsidR="009F0066" w:rsidRPr="00B81728">
        <w:rPr>
          <w:sz w:val="20"/>
          <w:szCs w:val="20"/>
        </w:rPr>
        <w:t xml:space="preserve"> but </w:t>
      </w:r>
      <w:r w:rsidR="00B43F4E" w:rsidRPr="00B81728">
        <w:rPr>
          <w:sz w:val="20"/>
          <w:szCs w:val="20"/>
        </w:rPr>
        <w:t xml:space="preserve">the </w:t>
      </w:r>
      <w:r w:rsidR="009F0066" w:rsidRPr="00B81728">
        <w:rPr>
          <w:sz w:val="20"/>
          <w:szCs w:val="20"/>
        </w:rPr>
        <w:t xml:space="preserve">need for new ID is </w:t>
      </w:r>
      <w:r w:rsidR="00B43F4E" w:rsidRPr="00B81728">
        <w:rPr>
          <w:sz w:val="20"/>
          <w:szCs w:val="20"/>
        </w:rPr>
        <w:t xml:space="preserve">still </w:t>
      </w:r>
      <w:r w:rsidR="009F0066" w:rsidRPr="00B81728">
        <w:rPr>
          <w:sz w:val="20"/>
          <w:szCs w:val="20"/>
        </w:rPr>
        <w:t>FFS</w:t>
      </w:r>
      <w:r w:rsidR="00B43F4E" w:rsidRPr="00B81728">
        <w:rPr>
          <w:sz w:val="20"/>
          <w:szCs w:val="20"/>
        </w:rPr>
        <w:t xml:space="preserve"> in SA2, in our understanding</w:t>
      </w:r>
      <w:r w:rsidR="00470EEA">
        <w:rPr>
          <w:sz w:val="20"/>
          <w:szCs w:val="20"/>
        </w:rPr>
        <w:t xml:space="preserve">. </w:t>
      </w:r>
      <w:r w:rsidR="00B43F4E" w:rsidRPr="00B81728">
        <w:rPr>
          <w:sz w:val="20"/>
          <w:szCs w:val="20"/>
        </w:rPr>
        <w:t xml:space="preserve">RAN2 should instead discuss the information required in the system information for a UE to camp on a cell if this cell being part of </w:t>
      </w:r>
      <w:r w:rsidRPr="00B81728">
        <w:rPr>
          <w:sz w:val="20"/>
          <w:szCs w:val="20"/>
        </w:rPr>
        <w:t xml:space="preserve">an </w:t>
      </w:r>
      <w:r w:rsidR="00B43F4E" w:rsidRPr="00B81728">
        <w:rPr>
          <w:sz w:val="20"/>
          <w:szCs w:val="20"/>
        </w:rPr>
        <w:t>SNPN support</w:t>
      </w:r>
      <w:r w:rsidR="00B96DA3">
        <w:rPr>
          <w:sz w:val="20"/>
          <w:szCs w:val="20"/>
        </w:rPr>
        <w:t>ing</w:t>
      </w:r>
      <w:r w:rsidR="00B43F4E" w:rsidRPr="00B81728">
        <w:rPr>
          <w:sz w:val="20"/>
          <w:szCs w:val="20"/>
        </w:rPr>
        <w:t xml:space="preserve"> authentication/authorisation using credentials owned by </w:t>
      </w:r>
      <w:r w:rsidRPr="00B81728">
        <w:rPr>
          <w:sz w:val="20"/>
          <w:szCs w:val="20"/>
        </w:rPr>
        <w:t xml:space="preserve">an </w:t>
      </w:r>
      <w:r w:rsidR="00B43F4E" w:rsidRPr="00B81728">
        <w:rPr>
          <w:sz w:val="20"/>
          <w:szCs w:val="20"/>
        </w:rPr>
        <w:t xml:space="preserve">entity </w:t>
      </w:r>
      <w:r w:rsidRPr="00B81728">
        <w:rPr>
          <w:sz w:val="20"/>
          <w:szCs w:val="20"/>
        </w:rPr>
        <w:t>separate</w:t>
      </w:r>
      <w:r w:rsidR="00B43F4E" w:rsidRPr="00B81728">
        <w:rPr>
          <w:sz w:val="20"/>
          <w:szCs w:val="20"/>
        </w:rPr>
        <w:t xml:space="preserve"> from </w:t>
      </w:r>
      <w:r w:rsidRPr="00B81728">
        <w:rPr>
          <w:sz w:val="20"/>
          <w:szCs w:val="20"/>
        </w:rPr>
        <w:t xml:space="preserve">the </w:t>
      </w:r>
      <w:r w:rsidR="00B43F4E" w:rsidRPr="00B81728">
        <w:rPr>
          <w:sz w:val="20"/>
          <w:szCs w:val="20"/>
        </w:rPr>
        <w:t xml:space="preserve">SNPN. </w:t>
      </w:r>
    </w:p>
    <w:p w14:paraId="671C564B" w14:textId="5C3A8FDD" w:rsidR="00AC0F85" w:rsidRPr="00B81728" w:rsidRDefault="00AC0F85" w:rsidP="00AC0F85">
      <w:pPr>
        <w:pStyle w:val="B1"/>
        <w:ind w:left="0" w:firstLine="0"/>
        <w:rPr>
          <w:sz w:val="20"/>
          <w:szCs w:val="20"/>
          <w:lang w:val="en-US"/>
        </w:rPr>
      </w:pPr>
      <w:r w:rsidRPr="00B81728">
        <w:rPr>
          <w:sz w:val="20"/>
          <w:szCs w:val="20"/>
        </w:rPr>
        <w:lastRenderedPageBreak/>
        <w:t xml:space="preserve">SA2 has already agreed to enhance SIB to include an indication “access using credentials from a separate entity is supported” and optionally Group IDs and another indication </w:t>
      </w:r>
      <w:r w:rsidRPr="00B81728">
        <w:rPr>
          <w:sz w:val="20"/>
          <w:szCs w:val="20"/>
          <w:lang w:val="en-US"/>
        </w:rPr>
        <w:t>whether the SNPN allows registration attempts from UEs that are not explicitly configured to select the SNPN. In our understanding, the length and format of Group ID will be decided by CT4 including any re-use of NID format. RAN2 should wait for the outcome from CT4.</w:t>
      </w:r>
    </w:p>
    <w:p w14:paraId="3DD1D1DE" w14:textId="00BE1599" w:rsidR="002F4D8E" w:rsidRPr="002F4D8E" w:rsidRDefault="002F4D8E" w:rsidP="008C4C92">
      <w:pPr>
        <w:pStyle w:val="B1"/>
        <w:ind w:left="0" w:firstLine="0"/>
        <w:rPr>
          <w:b/>
          <w:bCs/>
        </w:rPr>
      </w:pPr>
      <w:r w:rsidRPr="002F4D8E">
        <w:rPr>
          <w:b/>
          <w:bCs/>
        </w:rPr>
        <w:t xml:space="preserve">Proposal 1: An indication is broadcasted if the cell supports authentication/authorisation using the credentials owned by entity separate from SNPN. Further </w:t>
      </w:r>
      <w:r w:rsidR="009F5767">
        <w:rPr>
          <w:b/>
          <w:bCs/>
        </w:rPr>
        <w:t>details are</w:t>
      </w:r>
      <w:r w:rsidRPr="002F4D8E">
        <w:rPr>
          <w:b/>
          <w:bCs/>
        </w:rPr>
        <w:t xml:space="preserve"> FFS.</w:t>
      </w:r>
    </w:p>
    <w:p w14:paraId="206112DC" w14:textId="6B3E2A25" w:rsidR="002F4D8E" w:rsidRDefault="002F4D8E" w:rsidP="008C4C92">
      <w:pPr>
        <w:pStyle w:val="B1"/>
        <w:ind w:left="0" w:firstLine="0"/>
      </w:pPr>
      <w:r>
        <w:t xml:space="preserve">Credentials in a separate entity may be based on 3GPP credentials and non-3GPP credentials (certificate, </w:t>
      </w:r>
      <w:r w:rsidR="00D4354D">
        <w:t>non-certificate</w:t>
      </w:r>
      <w:r>
        <w:t xml:space="preserve"> based). We think a UE may not be provisioned with more than one credential</w:t>
      </w:r>
      <w:r w:rsidR="00C90FAF">
        <w:t>s for SNPN</w:t>
      </w:r>
      <w:r w:rsidR="00D4354D">
        <w:t>,</w:t>
      </w:r>
      <w:r>
        <w:t xml:space="preserve"> so differentiation is not important for a UE to be aware of</w:t>
      </w:r>
      <w:r w:rsidR="00D4354D">
        <w:t>.</w:t>
      </w:r>
      <w:r w:rsidR="00C90FAF">
        <w:t xml:space="preserve"> </w:t>
      </w:r>
      <w:r w:rsidR="009F5767">
        <w:t>At the same time</w:t>
      </w:r>
      <w:r w:rsidR="00C90FAF">
        <w:t>, a cell may support all or one of them.</w:t>
      </w:r>
    </w:p>
    <w:p w14:paraId="7AEE802A" w14:textId="0A42D79E" w:rsidR="002F4D8E" w:rsidRPr="002F4D8E" w:rsidRDefault="002F4D8E" w:rsidP="008C4C92">
      <w:pPr>
        <w:pStyle w:val="B1"/>
        <w:ind w:left="0" w:firstLine="0"/>
        <w:rPr>
          <w:b/>
          <w:bCs/>
        </w:rPr>
      </w:pPr>
      <w:r w:rsidRPr="002F4D8E">
        <w:rPr>
          <w:b/>
          <w:bCs/>
        </w:rPr>
        <w:t>Proposal 2: There is no need to broadcast the credential type</w:t>
      </w:r>
      <w:r w:rsidR="009F5767">
        <w:rPr>
          <w:b/>
          <w:bCs/>
        </w:rPr>
        <w:t>s</w:t>
      </w:r>
      <w:r w:rsidRPr="002F4D8E">
        <w:rPr>
          <w:b/>
          <w:bCs/>
        </w:rPr>
        <w:t xml:space="preserve"> </w:t>
      </w:r>
      <w:r w:rsidR="00C90FAF">
        <w:rPr>
          <w:b/>
          <w:bCs/>
        </w:rPr>
        <w:t>supported by the cell</w:t>
      </w:r>
      <w:r w:rsidRPr="002F4D8E">
        <w:rPr>
          <w:b/>
          <w:bCs/>
        </w:rPr>
        <w:t>.</w:t>
      </w:r>
    </w:p>
    <w:p w14:paraId="1C5CCFA3" w14:textId="5FBFE715" w:rsidR="009C11FC" w:rsidRPr="009C11FC" w:rsidRDefault="009C11FC" w:rsidP="009C11FC">
      <w:pPr>
        <w:pStyle w:val="B1"/>
        <w:ind w:left="0" w:firstLine="0"/>
        <w:rPr>
          <w:b/>
          <w:bCs/>
        </w:rPr>
      </w:pPr>
      <w:r w:rsidRPr="009C11FC">
        <w:rPr>
          <w:b/>
          <w:bCs/>
        </w:rPr>
        <w:t>Manual SNPN selection</w:t>
      </w:r>
    </w:p>
    <w:p w14:paraId="550165A4" w14:textId="55B2EA34" w:rsidR="009C11FC" w:rsidRDefault="009C11FC" w:rsidP="009C11FC">
      <w:pPr>
        <w:pStyle w:val="B1"/>
        <w:ind w:left="0" w:firstLine="0"/>
      </w:pPr>
      <w:r>
        <w:t xml:space="preserve">SA2 has already agreed that “For manual SNPN selection the UE presents all available SNPNs, which </w:t>
      </w:r>
      <w:r w:rsidRPr="00D65A9C">
        <w:t>broadcast</w:t>
      </w:r>
      <w:r>
        <w:t xml:space="preserve"> the</w:t>
      </w:r>
      <w:r w:rsidRPr="00D65A9C">
        <w:t xml:space="preserve"> </w:t>
      </w:r>
      <w:r>
        <w:t>"</w:t>
      </w:r>
      <w:r w:rsidRPr="00D65A9C">
        <w:t xml:space="preserve">access using credentials </w:t>
      </w:r>
      <w:r>
        <w:t>from a separate entity</w:t>
      </w:r>
      <w:r w:rsidRPr="00D65A9C">
        <w:t xml:space="preserve"> is supported</w:t>
      </w:r>
      <w:r>
        <w:t>"</w:t>
      </w:r>
      <w:r w:rsidRPr="00D65A9C">
        <w:t xml:space="preserve"> indication</w:t>
      </w:r>
      <w:r>
        <w:t>.” We think it should be straightforward for RAN2 to agree the same.</w:t>
      </w:r>
    </w:p>
    <w:p w14:paraId="31A51D38" w14:textId="3B0D7D36" w:rsidR="009C11FC" w:rsidRPr="009C11FC" w:rsidRDefault="009C11FC" w:rsidP="009C11FC">
      <w:pPr>
        <w:pStyle w:val="B1"/>
        <w:ind w:left="0" w:firstLine="0"/>
        <w:rPr>
          <w:b/>
          <w:bCs/>
        </w:rPr>
      </w:pPr>
      <w:r w:rsidRPr="009C11FC">
        <w:rPr>
          <w:b/>
          <w:bCs/>
        </w:rPr>
        <w:t xml:space="preserve">Proposal 3: For manual SNPN selection the UE presents all available SNPNs, which broadcast </w:t>
      </w:r>
      <w:r w:rsidRPr="002F4D8E">
        <w:rPr>
          <w:b/>
          <w:bCs/>
        </w:rPr>
        <w:t>if the cell supports authentication/authorisation using the credentials owned by entity separate from SNPN</w:t>
      </w:r>
      <w:r w:rsidRPr="009C11FC">
        <w:rPr>
          <w:b/>
          <w:bCs/>
        </w:rPr>
        <w:t xml:space="preserve"> indication.</w:t>
      </w:r>
    </w:p>
    <w:p w14:paraId="131FB83E" w14:textId="3CE50E8D" w:rsidR="002F4D8E" w:rsidRPr="002F4D8E" w:rsidRDefault="002F4D8E" w:rsidP="008C4C92">
      <w:pPr>
        <w:pStyle w:val="B1"/>
        <w:ind w:left="0" w:firstLine="0"/>
        <w:rPr>
          <w:b/>
          <w:bCs/>
        </w:rPr>
      </w:pPr>
      <w:r>
        <w:rPr>
          <w:b/>
          <w:bCs/>
        </w:rPr>
        <w:t xml:space="preserve">2.2 </w:t>
      </w:r>
      <w:r w:rsidRPr="002F4D8E">
        <w:rPr>
          <w:b/>
          <w:bCs/>
        </w:rPr>
        <w:t>UE on-boarding</w:t>
      </w:r>
      <w:r w:rsidR="00D4354D">
        <w:rPr>
          <w:b/>
          <w:bCs/>
        </w:rPr>
        <w:t xml:space="preserve"> and provisioning</w:t>
      </w:r>
    </w:p>
    <w:p w14:paraId="20235081" w14:textId="46B05A67" w:rsidR="00D4354D" w:rsidRDefault="00C90FAF" w:rsidP="008C4C92">
      <w:pPr>
        <w:pStyle w:val="B1"/>
        <w:ind w:left="0" w:firstLine="0"/>
      </w:pPr>
      <w:r>
        <w:t>In some case, t</w:t>
      </w:r>
      <w:r w:rsidR="00D4354D">
        <w:t xml:space="preserve">he credentials may not be pre-provisioned in the UE and UE </w:t>
      </w:r>
      <w:r>
        <w:t>should</w:t>
      </w:r>
      <w:r w:rsidR="00D4354D">
        <w:t xml:space="preserve"> connect </w:t>
      </w:r>
      <w:r>
        <w:t xml:space="preserve">to </w:t>
      </w:r>
      <w:r w:rsidR="00D4354D">
        <w:t>the network for provisioning. NPN cell should broadcast i</w:t>
      </w:r>
      <w:r w:rsidR="009F0066">
        <w:t xml:space="preserve">nformation to allow </w:t>
      </w:r>
      <w:r>
        <w:t xml:space="preserve">the </w:t>
      </w:r>
      <w:r w:rsidR="009F0066">
        <w:t xml:space="preserve">UE to identify </w:t>
      </w:r>
      <w:r w:rsidR="00D4354D">
        <w:t xml:space="preserve">that the network is </w:t>
      </w:r>
      <w:r w:rsidR="009F0066">
        <w:t xml:space="preserve">offering on-boarding </w:t>
      </w:r>
      <w:r w:rsidR="00D4354D">
        <w:t>and provisioning</w:t>
      </w:r>
      <w:r w:rsidR="009F0066">
        <w:t xml:space="preserve"> securely</w:t>
      </w:r>
      <w:r w:rsidR="00D4354D">
        <w:t xml:space="preserve">. </w:t>
      </w:r>
    </w:p>
    <w:p w14:paraId="7688FE67" w14:textId="55F64210" w:rsidR="00463550" w:rsidRDefault="00463550" w:rsidP="008C4C92">
      <w:pPr>
        <w:pStyle w:val="B1"/>
        <w:ind w:left="0" w:firstLine="0"/>
      </w:pPr>
      <w:r>
        <w:t xml:space="preserve">In our understanding, there is no benefit of further classifying the indication about Onboarding SNPN (O-SNPN) and Subscription Owner </w:t>
      </w:r>
      <w:r w:rsidR="009F5767">
        <w:t xml:space="preserve">SNPN </w:t>
      </w:r>
      <w:r>
        <w:t>(SO</w:t>
      </w:r>
      <w:r w:rsidR="009F5767">
        <w:t>-SNPN</w:t>
      </w:r>
      <w:r>
        <w:t>) because UE should still select the network based on radio conditions</w:t>
      </w:r>
      <w:r w:rsidR="009F5767">
        <w:t xml:space="preserve"> unless drawbacks of camping on O-SNPN are clarified by </w:t>
      </w:r>
      <w:r w:rsidR="007720F1">
        <w:t xml:space="preserve">other WG like </w:t>
      </w:r>
      <w:r w:rsidR="009F5767">
        <w:t>SA3</w:t>
      </w:r>
      <w:r>
        <w:t>.</w:t>
      </w:r>
    </w:p>
    <w:p w14:paraId="1B88C3A0" w14:textId="677A7C8D" w:rsidR="00AF4F94" w:rsidRDefault="00D4354D" w:rsidP="00000791">
      <w:pPr>
        <w:pStyle w:val="B1"/>
        <w:ind w:left="0" w:firstLine="0"/>
        <w:rPr>
          <w:b/>
        </w:rPr>
      </w:pPr>
      <w:r w:rsidRPr="00A77F76">
        <w:rPr>
          <w:b/>
          <w:bCs/>
          <w:lang w:val="en-US"/>
        </w:rPr>
        <w:t xml:space="preserve">Proposal </w:t>
      </w:r>
      <w:r w:rsidR="00A77F76">
        <w:rPr>
          <w:b/>
          <w:bCs/>
          <w:lang w:val="en-US"/>
        </w:rPr>
        <w:t>4</w:t>
      </w:r>
      <w:r w:rsidRPr="00A77F76">
        <w:rPr>
          <w:b/>
          <w:bCs/>
          <w:lang w:val="en-US"/>
        </w:rPr>
        <w:t xml:space="preserve">: An indication is broadcasted if the cell supports UE on-boarding and provisioning. Further details are FFS. </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239C6959"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sidR="0022391B">
        <w:rPr>
          <w:rFonts w:ascii="Times New Roman" w:hAnsi="Times New Roman"/>
          <w:szCs w:val="20"/>
        </w:rPr>
        <w:t xml:space="preserve">observations and </w:t>
      </w:r>
      <w:r>
        <w:rPr>
          <w:rFonts w:ascii="Times New Roman" w:hAnsi="Times New Roman"/>
          <w:szCs w:val="20"/>
        </w:rPr>
        <w:t>proposals:</w:t>
      </w:r>
    </w:p>
    <w:p w14:paraId="1293834F" w14:textId="6A479966" w:rsidR="00515691" w:rsidRDefault="00515691" w:rsidP="00515691">
      <w:pPr>
        <w:pStyle w:val="Doc-text2"/>
        <w:tabs>
          <w:tab w:val="clear" w:pos="1622"/>
        </w:tabs>
        <w:ind w:left="0" w:firstLine="0"/>
        <w:rPr>
          <w:rFonts w:ascii="Times New Roman" w:hAnsi="Times New Roman"/>
          <w:szCs w:val="20"/>
        </w:rPr>
      </w:pPr>
    </w:p>
    <w:p w14:paraId="57D4C42E" w14:textId="27A21C54" w:rsidR="007D1126" w:rsidRDefault="007D1126" w:rsidP="00515691">
      <w:pPr>
        <w:pStyle w:val="Doc-text2"/>
        <w:tabs>
          <w:tab w:val="clear" w:pos="1622"/>
        </w:tabs>
        <w:ind w:left="0" w:firstLine="0"/>
        <w:rPr>
          <w:b/>
          <w:bCs/>
        </w:rPr>
      </w:pPr>
      <w:r w:rsidRPr="002F4D8E">
        <w:rPr>
          <w:b/>
          <w:bCs/>
        </w:rPr>
        <w:t xml:space="preserve">Proposal 1: An indication is broadcasted if the cell supports authentication/authorisation using the credentials owned by entity separate from SNPN. Further </w:t>
      </w:r>
      <w:r>
        <w:rPr>
          <w:b/>
          <w:bCs/>
        </w:rPr>
        <w:t>details are</w:t>
      </w:r>
      <w:r w:rsidRPr="002F4D8E">
        <w:rPr>
          <w:b/>
          <w:bCs/>
        </w:rPr>
        <w:t xml:space="preserve"> FFS</w:t>
      </w:r>
      <w:r>
        <w:rPr>
          <w:b/>
          <w:bCs/>
        </w:rPr>
        <w:t>.</w:t>
      </w:r>
    </w:p>
    <w:p w14:paraId="11258C2C" w14:textId="68ADB594" w:rsidR="007D1126" w:rsidRDefault="007D1126" w:rsidP="00515691">
      <w:pPr>
        <w:pStyle w:val="Doc-text2"/>
        <w:tabs>
          <w:tab w:val="clear" w:pos="1622"/>
        </w:tabs>
        <w:ind w:left="0" w:firstLine="0"/>
        <w:rPr>
          <w:rFonts w:ascii="Times New Roman" w:hAnsi="Times New Roman"/>
          <w:szCs w:val="20"/>
        </w:rPr>
      </w:pPr>
    </w:p>
    <w:p w14:paraId="6B1BDA49" w14:textId="216CD11B" w:rsidR="007D1126" w:rsidRDefault="007D1126" w:rsidP="00515691">
      <w:pPr>
        <w:pStyle w:val="Doc-text2"/>
        <w:tabs>
          <w:tab w:val="clear" w:pos="1622"/>
        </w:tabs>
        <w:ind w:left="0" w:firstLine="0"/>
        <w:rPr>
          <w:b/>
          <w:bCs/>
        </w:rPr>
      </w:pPr>
      <w:r w:rsidRPr="002F4D8E">
        <w:rPr>
          <w:b/>
          <w:bCs/>
        </w:rPr>
        <w:t>Proposal 2: There is no need to broadcast the credential type</w:t>
      </w:r>
      <w:r>
        <w:rPr>
          <w:b/>
          <w:bCs/>
        </w:rPr>
        <w:t>s</w:t>
      </w:r>
      <w:r w:rsidRPr="002F4D8E">
        <w:rPr>
          <w:b/>
          <w:bCs/>
        </w:rPr>
        <w:t xml:space="preserve"> </w:t>
      </w:r>
      <w:r>
        <w:rPr>
          <w:b/>
          <w:bCs/>
        </w:rPr>
        <w:t>supported by the cell</w:t>
      </w:r>
      <w:r w:rsidRPr="002F4D8E">
        <w:rPr>
          <w:b/>
          <w:bCs/>
        </w:rPr>
        <w:t>.</w:t>
      </w:r>
    </w:p>
    <w:p w14:paraId="669ECED3" w14:textId="75716292" w:rsidR="007D1126" w:rsidRDefault="007D1126" w:rsidP="00515691">
      <w:pPr>
        <w:pStyle w:val="Doc-text2"/>
        <w:tabs>
          <w:tab w:val="clear" w:pos="1622"/>
        </w:tabs>
        <w:ind w:left="0" w:firstLine="0"/>
        <w:rPr>
          <w:b/>
          <w:bCs/>
        </w:rPr>
      </w:pPr>
    </w:p>
    <w:p w14:paraId="2A770EA7" w14:textId="77777777" w:rsidR="007D1126" w:rsidRPr="009C11FC" w:rsidRDefault="007D1126" w:rsidP="007D1126">
      <w:pPr>
        <w:pStyle w:val="B1"/>
        <w:ind w:left="0" w:firstLine="0"/>
        <w:rPr>
          <w:b/>
          <w:bCs/>
        </w:rPr>
      </w:pPr>
      <w:r w:rsidRPr="009C11FC">
        <w:rPr>
          <w:b/>
          <w:bCs/>
        </w:rPr>
        <w:t xml:space="preserve">Proposal 3: For manual SNPN selection the UE presents all available SNPNs, which broadcast </w:t>
      </w:r>
      <w:r w:rsidRPr="002F4D8E">
        <w:rPr>
          <w:b/>
          <w:bCs/>
        </w:rPr>
        <w:t>if the cell supports authentication/authorisation using the credentials owned by entity separate from SNPN</w:t>
      </w:r>
      <w:r w:rsidRPr="009C11FC">
        <w:rPr>
          <w:b/>
          <w:bCs/>
        </w:rPr>
        <w:t xml:space="preserve"> indication.</w:t>
      </w:r>
    </w:p>
    <w:p w14:paraId="19DF66CA" w14:textId="05AA0D06" w:rsidR="007D1126" w:rsidRDefault="007D1126" w:rsidP="007D1126">
      <w:pPr>
        <w:pStyle w:val="B1"/>
        <w:ind w:left="0" w:firstLine="0"/>
        <w:rPr>
          <w:szCs w:val="20"/>
        </w:rPr>
      </w:pPr>
      <w:r w:rsidRPr="00A77F76">
        <w:rPr>
          <w:b/>
          <w:bCs/>
          <w:lang w:val="en-US"/>
        </w:rPr>
        <w:t xml:space="preserve">Proposal </w:t>
      </w:r>
      <w:r>
        <w:rPr>
          <w:b/>
          <w:bCs/>
          <w:lang w:val="en-US"/>
        </w:rPr>
        <w:t>4</w:t>
      </w:r>
      <w:r w:rsidRPr="00A77F76">
        <w:rPr>
          <w:b/>
          <w:bCs/>
          <w:lang w:val="en-US"/>
        </w:rPr>
        <w:t xml:space="preserve">: An indication is broadcasted if the cell supports UE on-boarding and provisioning. Further details are FFS. </w:t>
      </w:r>
      <w:bookmarkStart w:id="13" w:name="_GoBack"/>
      <w:bookmarkEnd w:id="13"/>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776B8C31" w:rsidR="00515691" w:rsidRPr="0055135B" w:rsidRDefault="00515691" w:rsidP="00515691">
      <w:pPr>
        <w:rPr>
          <w:rFonts w:eastAsia="MS Mincho"/>
          <w:lang w:val="en-US" w:eastAsia="en-US"/>
        </w:rPr>
      </w:pPr>
      <w:r>
        <w:t xml:space="preserve"> [1]</w:t>
      </w:r>
      <w:r>
        <w:tab/>
        <w:t>RP-</w:t>
      </w:r>
      <w:r w:rsidR="00773BE4">
        <w:t>20</w:t>
      </w:r>
      <w:r w:rsidR="00361EA1">
        <w:t>2363</w:t>
      </w:r>
      <w:r>
        <w:t xml:space="preserve">: </w:t>
      </w:r>
      <w:r w:rsidR="00361EA1" w:rsidRPr="00361EA1">
        <w:t>Revised WID: Enhancement of Private Network Support for NG-RAN</w:t>
      </w:r>
      <w:r w:rsidR="00361EA1">
        <w:t>, China Telecom</w:t>
      </w:r>
    </w:p>
    <w:p w14:paraId="100B9521" w14:textId="6E368705" w:rsidR="00515691" w:rsidRDefault="00515691" w:rsidP="00515691">
      <w:pPr>
        <w:rPr>
          <w:rFonts w:eastAsia="MS Mincho"/>
          <w:lang w:val="en-US" w:eastAsia="en-US"/>
        </w:rPr>
      </w:pP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6A16CA"/>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04E7678"/>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3112353"/>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9"/>
  </w:num>
  <w:num w:numId="4">
    <w:abstractNumId w:val="4"/>
  </w:num>
  <w:num w:numId="5">
    <w:abstractNumId w:val="8"/>
  </w:num>
  <w:num w:numId="6">
    <w:abstractNumId w:val="7"/>
  </w:num>
  <w:num w:numId="7">
    <w:abstractNumId w:val="14"/>
  </w:num>
  <w:num w:numId="8">
    <w:abstractNumId w:val="12"/>
  </w:num>
  <w:num w:numId="9">
    <w:abstractNumId w:val="13"/>
  </w:num>
  <w:num w:numId="10">
    <w:abstractNumId w:val="3"/>
  </w:num>
  <w:num w:numId="11">
    <w:abstractNumId w:val="5"/>
  </w:num>
  <w:num w:numId="12">
    <w:abstractNumId w:val="11"/>
  </w:num>
  <w:num w:numId="13">
    <w:abstractNumId w:val="6"/>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0791"/>
    <w:rsid w:val="00016803"/>
    <w:rsid w:val="000651A5"/>
    <w:rsid w:val="000705F9"/>
    <w:rsid w:val="000758E3"/>
    <w:rsid w:val="0008070B"/>
    <w:rsid w:val="00082A46"/>
    <w:rsid w:val="000971F1"/>
    <w:rsid w:val="000A109F"/>
    <w:rsid w:val="000A39A5"/>
    <w:rsid w:val="000A41A0"/>
    <w:rsid w:val="000D7C3E"/>
    <w:rsid w:val="0010166F"/>
    <w:rsid w:val="00111949"/>
    <w:rsid w:val="00160B92"/>
    <w:rsid w:val="00181392"/>
    <w:rsid w:val="001A448D"/>
    <w:rsid w:val="001B0909"/>
    <w:rsid w:val="001B6F9F"/>
    <w:rsid w:val="001C603B"/>
    <w:rsid w:val="001C77DF"/>
    <w:rsid w:val="001E4BD5"/>
    <w:rsid w:val="001E5A63"/>
    <w:rsid w:val="002032BB"/>
    <w:rsid w:val="002038DF"/>
    <w:rsid w:val="0020643F"/>
    <w:rsid w:val="0022391B"/>
    <w:rsid w:val="002260D5"/>
    <w:rsid w:val="00234F0B"/>
    <w:rsid w:val="00235EE9"/>
    <w:rsid w:val="00241D9C"/>
    <w:rsid w:val="00242D5A"/>
    <w:rsid w:val="00261675"/>
    <w:rsid w:val="00261B42"/>
    <w:rsid w:val="00266474"/>
    <w:rsid w:val="00274CCF"/>
    <w:rsid w:val="0027782C"/>
    <w:rsid w:val="002824F3"/>
    <w:rsid w:val="002A4859"/>
    <w:rsid w:val="002A4C09"/>
    <w:rsid w:val="002A5170"/>
    <w:rsid w:val="002B2779"/>
    <w:rsid w:val="002B5660"/>
    <w:rsid w:val="002C633F"/>
    <w:rsid w:val="002D70B3"/>
    <w:rsid w:val="002F2B6A"/>
    <w:rsid w:val="002F4D8E"/>
    <w:rsid w:val="00320757"/>
    <w:rsid w:val="003243D7"/>
    <w:rsid w:val="00353C08"/>
    <w:rsid w:val="00361EA1"/>
    <w:rsid w:val="00364319"/>
    <w:rsid w:val="003855F8"/>
    <w:rsid w:val="0039046D"/>
    <w:rsid w:val="003908E7"/>
    <w:rsid w:val="003928D9"/>
    <w:rsid w:val="003956FA"/>
    <w:rsid w:val="003C480A"/>
    <w:rsid w:val="003D13A8"/>
    <w:rsid w:val="003E4846"/>
    <w:rsid w:val="003F46B2"/>
    <w:rsid w:val="003F74BA"/>
    <w:rsid w:val="004157C9"/>
    <w:rsid w:val="00426658"/>
    <w:rsid w:val="00433AD7"/>
    <w:rsid w:val="004411CC"/>
    <w:rsid w:val="00442083"/>
    <w:rsid w:val="00463550"/>
    <w:rsid w:val="00470EEA"/>
    <w:rsid w:val="00475A52"/>
    <w:rsid w:val="004A3939"/>
    <w:rsid w:val="004C21F1"/>
    <w:rsid w:val="004C33A8"/>
    <w:rsid w:val="004E0BD7"/>
    <w:rsid w:val="004E725E"/>
    <w:rsid w:val="004F538B"/>
    <w:rsid w:val="00515691"/>
    <w:rsid w:val="00546E90"/>
    <w:rsid w:val="0055021E"/>
    <w:rsid w:val="005540AB"/>
    <w:rsid w:val="0056541C"/>
    <w:rsid w:val="00567A99"/>
    <w:rsid w:val="00584AC3"/>
    <w:rsid w:val="0059361C"/>
    <w:rsid w:val="005A7D95"/>
    <w:rsid w:val="005B0C3A"/>
    <w:rsid w:val="005B3066"/>
    <w:rsid w:val="005B3BB9"/>
    <w:rsid w:val="005C5BF4"/>
    <w:rsid w:val="005D2DB8"/>
    <w:rsid w:val="005D4D65"/>
    <w:rsid w:val="005E0E13"/>
    <w:rsid w:val="005E172C"/>
    <w:rsid w:val="00604787"/>
    <w:rsid w:val="00612340"/>
    <w:rsid w:val="0063085B"/>
    <w:rsid w:val="00635DF3"/>
    <w:rsid w:val="00636646"/>
    <w:rsid w:val="00690BEB"/>
    <w:rsid w:val="006B5838"/>
    <w:rsid w:val="006C4047"/>
    <w:rsid w:val="006C7204"/>
    <w:rsid w:val="006E1C14"/>
    <w:rsid w:val="006E3AF8"/>
    <w:rsid w:val="006E6BBE"/>
    <w:rsid w:val="0070372F"/>
    <w:rsid w:val="007061C0"/>
    <w:rsid w:val="00713EA4"/>
    <w:rsid w:val="007273FC"/>
    <w:rsid w:val="00730767"/>
    <w:rsid w:val="00751B96"/>
    <w:rsid w:val="00762FE5"/>
    <w:rsid w:val="007720F1"/>
    <w:rsid w:val="00772B88"/>
    <w:rsid w:val="00773BE4"/>
    <w:rsid w:val="00791287"/>
    <w:rsid w:val="007A0188"/>
    <w:rsid w:val="007A6E94"/>
    <w:rsid w:val="007B44E2"/>
    <w:rsid w:val="007B53D1"/>
    <w:rsid w:val="007C29B4"/>
    <w:rsid w:val="007C496D"/>
    <w:rsid w:val="007D1126"/>
    <w:rsid w:val="007E12E9"/>
    <w:rsid w:val="007F2713"/>
    <w:rsid w:val="007F6CC5"/>
    <w:rsid w:val="00801E2A"/>
    <w:rsid w:val="00811CC1"/>
    <w:rsid w:val="00856FBE"/>
    <w:rsid w:val="0086360B"/>
    <w:rsid w:val="00881157"/>
    <w:rsid w:val="00890856"/>
    <w:rsid w:val="008946A3"/>
    <w:rsid w:val="008A48BD"/>
    <w:rsid w:val="008C0054"/>
    <w:rsid w:val="008C30E7"/>
    <w:rsid w:val="008C4C92"/>
    <w:rsid w:val="008D5537"/>
    <w:rsid w:val="008F305A"/>
    <w:rsid w:val="00951CC5"/>
    <w:rsid w:val="0097036C"/>
    <w:rsid w:val="009703BB"/>
    <w:rsid w:val="0097408E"/>
    <w:rsid w:val="009818EA"/>
    <w:rsid w:val="00983C85"/>
    <w:rsid w:val="009B0F9A"/>
    <w:rsid w:val="009B514F"/>
    <w:rsid w:val="009B5B6C"/>
    <w:rsid w:val="009C11FC"/>
    <w:rsid w:val="009C1957"/>
    <w:rsid w:val="009F0066"/>
    <w:rsid w:val="009F5767"/>
    <w:rsid w:val="00A31E7A"/>
    <w:rsid w:val="00A338DE"/>
    <w:rsid w:val="00A52793"/>
    <w:rsid w:val="00A564C9"/>
    <w:rsid w:val="00A64E45"/>
    <w:rsid w:val="00A77F76"/>
    <w:rsid w:val="00A900CE"/>
    <w:rsid w:val="00AA36BD"/>
    <w:rsid w:val="00AB3DED"/>
    <w:rsid w:val="00AC0F85"/>
    <w:rsid w:val="00AE3ABE"/>
    <w:rsid w:val="00AF4F94"/>
    <w:rsid w:val="00AF503C"/>
    <w:rsid w:val="00AF6717"/>
    <w:rsid w:val="00B22CD3"/>
    <w:rsid w:val="00B27802"/>
    <w:rsid w:val="00B43F4E"/>
    <w:rsid w:val="00B67643"/>
    <w:rsid w:val="00B70639"/>
    <w:rsid w:val="00B81728"/>
    <w:rsid w:val="00B82A47"/>
    <w:rsid w:val="00B85320"/>
    <w:rsid w:val="00B96DA3"/>
    <w:rsid w:val="00BA35B5"/>
    <w:rsid w:val="00BC6573"/>
    <w:rsid w:val="00BE4F55"/>
    <w:rsid w:val="00BE7877"/>
    <w:rsid w:val="00C13183"/>
    <w:rsid w:val="00C144DB"/>
    <w:rsid w:val="00C42007"/>
    <w:rsid w:val="00C46E0C"/>
    <w:rsid w:val="00C50063"/>
    <w:rsid w:val="00C50C44"/>
    <w:rsid w:val="00C53C1D"/>
    <w:rsid w:val="00C8475C"/>
    <w:rsid w:val="00C90FAF"/>
    <w:rsid w:val="00C92548"/>
    <w:rsid w:val="00CB14F2"/>
    <w:rsid w:val="00CC1966"/>
    <w:rsid w:val="00CC34CC"/>
    <w:rsid w:val="00CE1A9D"/>
    <w:rsid w:val="00D04784"/>
    <w:rsid w:val="00D31927"/>
    <w:rsid w:val="00D4354D"/>
    <w:rsid w:val="00D51140"/>
    <w:rsid w:val="00D707EB"/>
    <w:rsid w:val="00D74BC1"/>
    <w:rsid w:val="00D83992"/>
    <w:rsid w:val="00D85D30"/>
    <w:rsid w:val="00DC404A"/>
    <w:rsid w:val="00DD049A"/>
    <w:rsid w:val="00DE300D"/>
    <w:rsid w:val="00DE5361"/>
    <w:rsid w:val="00DE7BB7"/>
    <w:rsid w:val="00E06330"/>
    <w:rsid w:val="00E27E99"/>
    <w:rsid w:val="00E84561"/>
    <w:rsid w:val="00E900FA"/>
    <w:rsid w:val="00E90643"/>
    <w:rsid w:val="00E91DDD"/>
    <w:rsid w:val="00EA532F"/>
    <w:rsid w:val="00EB7940"/>
    <w:rsid w:val="00EB7F09"/>
    <w:rsid w:val="00EC34D8"/>
    <w:rsid w:val="00ED0606"/>
    <w:rsid w:val="00ED270A"/>
    <w:rsid w:val="00F07725"/>
    <w:rsid w:val="00F3503C"/>
    <w:rsid w:val="00F378D3"/>
    <w:rsid w:val="00F40B20"/>
    <w:rsid w:val="00F60137"/>
    <w:rsid w:val="00F75010"/>
    <w:rsid w:val="00F817AF"/>
    <w:rsid w:val="00FA7A98"/>
    <w:rsid w:val="00FC4CFE"/>
    <w:rsid w:val="00FC5B34"/>
    <w:rsid w:val="00FD506D"/>
    <w:rsid w:val="00FD6A26"/>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E84561"/>
    <w:pPr>
      <w:numPr>
        <w:numId w:val="1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aliases w:val="EN"/>
    <w:basedOn w:val="NO"/>
    <w:link w:val="EditorsNoteChar"/>
    <w:qFormat/>
    <w:rsid w:val="00361EA1"/>
    <w:pPr>
      <w:overflowPunct w:val="0"/>
      <w:autoSpaceDE w:val="0"/>
      <w:autoSpaceDN w:val="0"/>
      <w:adjustRightInd w:val="0"/>
      <w:ind w:left="1702" w:hanging="1418"/>
    </w:pPr>
    <w:rPr>
      <w:rFonts w:eastAsia="Malgun Gothic"/>
      <w:color w:val="FF0000"/>
      <w:sz w:val="20"/>
      <w:szCs w:val="20"/>
      <w:lang w:eastAsia="ja-JP"/>
    </w:rPr>
  </w:style>
  <w:style w:type="character" w:customStyle="1" w:styleId="EditorsNoteChar">
    <w:name w:val="Editor's Note Char"/>
    <w:aliases w:val="EN Char"/>
    <w:link w:val="EditorsNote"/>
    <w:locked/>
    <w:rsid w:val="00361EA1"/>
    <w:rPr>
      <w:rFonts w:ascii="Times New Roman" w:eastAsia="Malgun Gothic" w:hAnsi="Times New Roman" w:cs="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532656">
      <w:bodyDiv w:val="1"/>
      <w:marLeft w:val="0"/>
      <w:marRight w:val="0"/>
      <w:marTop w:val="0"/>
      <w:marBottom w:val="0"/>
      <w:divBdr>
        <w:top w:val="none" w:sz="0" w:space="0" w:color="auto"/>
        <w:left w:val="none" w:sz="0" w:space="0" w:color="auto"/>
        <w:bottom w:val="none" w:sz="0" w:space="0" w:color="auto"/>
        <w:right w:val="none" w:sz="0" w:space="0" w:color="auto"/>
      </w:divBdr>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284923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A52710-B8BD-43CF-A9EC-4A11B5320B4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6D3A0751-268C-451E-9151-02CD65F6247F}">
  <ds:schemaRefs>
    <ds:schemaRef ds:uri="http://schemas.microsoft.com/sharepoint/v3/contenttype/forms"/>
  </ds:schemaRefs>
</ds:datastoreItem>
</file>

<file path=customXml/itemProps3.xml><?xml version="1.0" encoding="utf-8"?>
<ds:datastoreItem xmlns:ds="http://schemas.openxmlformats.org/officeDocument/2006/customXml" ds:itemID="{F3D7DD32-3D9A-467C-BD57-055FA5F25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2021-01-14T11:15:00Z</dcterms:created>
  <dcterms:modified xsi:type="dcterms:W3CDTF">2021-01-14T11:15:00Z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