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C131E" w14:textId="6C8CD8AD"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D3457E">
        <w:rPr>
          <w:rFonts w:ascii="Arial" w:hAnsi="Arial" w:cs="Arial"/>
          <w:b/>
          <w:color w:val="000000"/>
          <w:kern w:val="2"/>
          <w:sz w:val="24"/>
          <w:lang w:val="en-US"/>
        </w:rPr>
        <w:t>3</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roofErr w:type="gramStart"/>
      <w:r>
        <w:rPr>
          <w:rFonts w:ascii="Arial" w:hAnsi="Arial" w:cs="Arial"/>
          <w:b/>
          <w:color w:val="000000"/>
          <w:kern w:val="2"/>
          <w:sz w:val="24"/>
          <w:lang w:val="en-US"/>
        </w:rPr>
        <w:tab/>
      </w:r>
      <w:r w:rsidR="00E12F2B">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w:t>
      </w:r>
      <w:proofErr w:type="gramEnd"/>
      <w:r w:rsidR="00BE301E" w:rsidRPr="00BE301E">
        <w:rPr>
          <w:rFonts w:ascii="Arial" w:hAnsi="Arial" w:cs="Arial"/>
          <w:b/>
          <w:color w:val="000000"/>
          <w:kern w:val="2"/>
          <w:sz w:val="24"/>
          <w:lang w:val="en-US"/>
        </w:rPr>
        <w:t>2-2</w:t>
      </w:r>
      <w:r w:rsidR="001D75A9">
        <w:rPr>
          <w:rFonts w:ascii="Arial" w:hAnsi="Arial" w:cs="Arial"/>
          <w:b/>
          <w:color w:val="000000"/>
          <w:kern w:val="2"/>
          <w:sz w:val="24"/>
          <w:lang w:val="en-US"/>
        </w:rPr>
        <w:t>100846</w:t>
      </w:r>
    </w:p>
    <w:p w14:paraId="58AF82AD" w14:textId="7D5E10C0"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January</w:t>
      </w:r>
      <w:r w:rsidR="00E634B8">
        <w:rPr>
          <w:rFonts w:ascii="Arial" w:hAnsi="Arial" w:cs="Arial"/>
          <w:b/>
          <w:color w:val="000000"/>
          <w:kern w:val="2"/>
          <w:sz w:val="24"/>
          <w:lang w:val="en-US"/>
        </w:rPr>
        <w:t xml:space="preserve"> 25 – Fe</w:t>
      </w:r>
      <w:r w:rsidR="00E634B8">
        <w:rPr>
          <w:rFonts w:ascii="Arial" w:hAnsi="Arial" w:cs="Arial" w:hint="eastAsia"/>
          <w:b/>
          <w:color w:val="000000"/>
          <w:kern w:val="2"/>
          <w:sz w:val="24"/>
          <w:lang w:val="en-US"/>
        </w:rPr>
        <w:t>b</w:t>
      </w:r>
      <w:r w:rsidR="00E634B8">
        <w:rPr>
          <w:rFonts w:ascii="Arial" w:hAnsi="Arial" w:cs="Arial"/>
          <w:b/>
          <w:color w:val="000000"/>
          <w:kern w:val="2"/>
          <w:sz w:val="24"/>
          <w:lang w:val="en-US"/>
        </w:rPr>
        <w:t xml:space="preserve"> 5, 2021</w:t>
      </w:r>
      <w:r w:rsidRPr="00DC2880">
        <w:rPr>
          <w:rFonts w:ascii="Arial" w:hAnsi="Arial" w:cs="Arial"/>
          <w:b/>
          <w:color w:val="000000"/>
          <w:kern w:val="2"/>
          <w:sz w:val="24"/>
          <w:lang w:val="en-US"/>
        </w:rPr>
        <w:t xml:space="preserve"> </w:t>
      </w:r>
      <w:bookmarkEnd w:id="0"/>
    </w:p>
    <w:p w14:paraId="60350555" w14:textId="7879F759"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53CA3" w:rsidRPr="00053CA3">
        <w:rPr>
          <w:rFonts w:ascii="Arial" w:hAnsi="Arial" w:cs="Arial"/>
          <w:b/>
          <w:bCs/>
          <w:sz w:val="24"/>
          <w:lang w:val="en-US" w:eastAsia="en-US"/>
        </w:rPr>
        <w:t>8.</w:t>
      </w:r>
      <w:r w:rsidR="00D3457E">
        <w:rPr>
          <w:rFonts w:ascii="Arial" w:hAnsi="Arial" w:cs="Arial"/>
          <w:b/>
          <w:bCs/>
          <w:sz w:val="24"/>
          <w:lang w:val="en-US" w:eastAsia="en-US"/>
        </w:rPr>
        <w:t>14</w:t>
      </w:r>
    </w:p>
    <w:p w14:paraId="6D1A6997"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19F03D14"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collection in NR</w:t>
      </w:r>
    </w:p>
    <w:p w14:paraId="3D4B2BAF"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77777777" w:rsidR="00703220" w:rsidRPr="001109BD" w:rsidRDefault="00703220" w:rsidP="00551CCC">
      <w:pPr>
        <w:pStyle w:val="1"/>
        <w:numPr>
          <w:ilvl w:val="0"/>
          <w:numId w:val="3"/>
        </w:numPr>
      </w:pPr>
      <w:bookmarkStart w:id="1" w:name="_Ref165266342"/>
      <w:r w:rsidRPr="001109BD">
        <w:t>Introduction</w:t>
      </w:r>
      <w:bookmarkEnd w:id="1"/>
    </w:p>
    <w:p w14:paraId="79997607" w14:textId="371A53EC" w:rsidR="007F6B99" w:rsidRDefault="007F6B99" w:rsidP="00C420ED">
      <w:pPr>
        <w:spacing w:beforeLines="50" w:before="120" w:line="240" w:lineRule="auto"/>
      </w:pPr>
      <w:r>
        <w:t xml:space="preserve">In </w:t>
      </w:r>
      <w:r w:rsidR="00B9405F">
        <w:rPr>
          <w:rFonts w:hint="eastAsia"/>
        </w:rPr>
        <w:t>th</w:t>
      </w:r>
      <w:r w:rsidR="00B9405F">
        <w:t xml:space="preserve">e </w:t>
      </w:r>
      <w:r w:rsidR="00310EFF">
        <w:t xml:space="preserve">RAN #86 meeting, a new study item: study on NR </w:t>
      </w:r>
      <w:proofErr w:type="spellStart"/>
      <w:r w:rsidR="00310EFF">
        <w:t>QoE</w:t>
      </w:r>
      <w:proofErr w:type="spellEnd"/>
      <w:r w:rsidR="00310EFF">
        <w:t xml:space="preserve"> management and optimizations for diverse services has been defined and the corresponding SID could be found in RP-193256</w:t>
      </w:r>
      <w:r w:rsidR="00C420ED">
        <w:t>. In this contribution, we would like to address our views on implementation of QMC in NR.</w:t>
      </w:r>
    </w:p>
    <w:p w14:paraId="2D08FDB4" w14:textId="0198EEEF" w:rsidR="00717526" w:rsidRDefault="00C420ED" w:rsidP="00551CCC">
      <w:pPr>
        <w:pStyle w:val="1"/>
        <w:numPr>
          <w:ilvl w:val="0"/>
          <w:numId w:val="3"/>
        </w:numPr>
      </w:pPr>
      <w:r>
        <w:t>Reuse the mechanism of QMC in LTE for NR</w:t>
      </w:r>
    </w:p>
    <w:p w14:paraId="47DC461E" w14:textId="2005E49B" w:rsidR="00E7496C" w:rsidRPr="00C5799D" w:rsidRDefault="007329DF" w:rsidP="004309CA">
      <w:pPr>
        <w:rPr>
          <w:b/>
          <w:bCs/>
        </w:rPr>
      </w:pPr>
      <w:bookmarkStart w:id="2" w:name="_Hlk46936119"/>
      <w:r>
        <w:t xml:space="preserve">The </w:t>
      </w:r>
      <w:proofErr w:type="gramStart"/>
      <w:r>
        <w:t>management based</w:t>
      </w:r>
      <w:proofErr w:type="gramEnd"/>
      <w:r>
        <w:t xml:space="preserve"> activation of measurement collection job and reporting of collected information in LTE has been given in TS 28.405, </w:t>
      </w:r>
      <w:r>
        <w:rPr>
          <w:rFonts w:hint="eastAsia"/>
        </w:rPr>
        <w:t>in</w:t>
      </w:r>
      <w:r>
        <w:t>dicated as follows:</w:t>
      </w:r>
    </w:p>
    <w:p w14:paraId="7071CB1F" w14:textId="53067F04" w:rsidR="00485AA1" w:rsidRDefault="007329DF" w:rsidP="009B2902">
      <w:pPr>
        <w:jc w:val="center"/>
      </w:pPr>
      <w:r w:rsidRPr="007B4F0A">
        <w:rPr>
          <w:noProof/>
        </w:rPr>
        <w:drawing>
          <wp:inline distT="0" distB="0" distL="0" distR="0" wp14:anchorId="651B73A4" wp14:editId="2E92DBC9">
            <wp:extent cx="5228590" cy="2546857"/>
            <wp:effectExtent l="0" t="0" r="0" b="6350"/>
            <wp:docPr id="1"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日程表&#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2411" cy="2577944"/>
                    </a:xfrm>
                    <a:prstGeom prst="rect">
                      <a:avLst/>
                    </a:prstGeom>
                    <a:noFill/>
                    <a:ln>
                      <a:noFill/>
                    </a:ln>
                  </pic:spPr>
                </pic:pic>
              </a:graphicData>
            </a:graphic>
          </wp:inline>
        </w:drawing>
      </w:r>
    </w:p>
    <w:p w14:paraId="115860C3" w14:textId="7B05C526" w:rsidR="007329DF" w:rsidRDefault="00F365B6" w:rsidP="007329DF">
      <w:pPr>
        <w:jc w:val="center"/>
        <w:rPr>
          <w:b/>
          <w:bCs/>
        </w:rPr>
      </w:pPr>
      <w:r>
        <w:rPr>
          <w:rFonts w:hint="eastAsia"/>
        </w:rPr>
        <w:t>F</w:t>
      </w:r>
      <w:r>
        <w:t xml:space="preserve">igure </w:t>
      </w:r>
      <w:r w:rsidR="00E46DB9">
        <w:t>1</w:t>
      </w:r>
      <w:r>
        <w:t xml:space="preserve">: </w:t>
      </w:r>
      <w:r w:rsidR="007329DF" w:rsidRPr="007B4F0A">
        <w:t xml:space="preserve">QMC activation and reporting in </w:t>
      </w:r>
      <w:proofErr w:type="gramStart"/>
      <w:r w:rsidR="007329DF" w:rsidRPr="007B4F0A">
        <w:t>LTE</w:t>
      </w:r>
      <w:proofErr w:type="gramEnd"/>
    </w:p>
    <w:p w14:paraId="76A5C7F2" w14:textId="64007A78" w:rsidR="00111086" w:rsidRDefault="007329DF" w:rsidP="000A0F9C">
      <w:r>
        <w:t xml:space="preserve">It could be found that after </w:t>
      </w:r>
      <w:proofErr w:type="spellStart"/>
      <w:r>
        <w:t>eNB</w:t>
      </w:r>
      <w:proofErr w:type="spellEnd"/>
      <w:r>
        <w:t xml:space="preserve"> finds a UE matching the criteria, </w:t>
      </w:r>
      <w:proofErr w:type="spellStart"/>
      <w:r>
        <w:t>RRCConnectionReconfiguration</w:t>
      </w:r>
      <w:proofErr w:type="spellEnd"/>
      <w:r>
        <w:t xml:space="preserve"> message is employed to send the</w:t>
      </w:r>
      <w:r w:rsidR="008B2973">
        <w:t xml:space="preserve"> QMC</w:t>
      </w:r>
      <w:r>
        <w:t xml:space="preserve"> measurement configuration</w:t>
      </w:r>
      <w:r w:rsidR="008B2973">
        <w:t xml:space="preserve"> towards UE, and then UE AS layer will forward the configuration to</w:t>
      </w:r>
      <w:r w:rsidR="00993CB9">
        <w:t xml:space="preserve"> the appropriate</w:t>
      </w:r>
      <w:r w:rsidR="008B2973">
        <w:t xml:space="preserve"> UE application layer</w:t>
      </w:r>
      <w:r w:rsidR="00993CB9">
        <w:t xml:space="preserve"> according to the </w:t>
      </w:r>
      <w:r w:rsidR="00993CB9" w:rsidRPr="00993CB9">
        <w:rPr>
          <w:i/>
          <w:iCs/>
        </w:rPr>
        <w:t>Service Type</w:t>
      </w:r>
      <w:r w:rsidR="00993CB9">
        <w:t xml:space="preserve"> IE</w:t>
      </w:r>
      <w:r w:rsidR="008B2973">
        <w:t xml:space="preserve">. Meanwhile, the SRB4 should be also established between UE and </w:t>
      </w:r>
      <w:proofErr w:type="spellStart"/>
      <w:r w:rsidR="008B2973">
        <w:t>eNB</w:t>
      </w:r>
      <w:proofErr w:type="spellEnd"/>
      <w:r w:rsidR="008B2973">
        <w:t xml:space="preserve">. After the application layer measurement report information is received from the application layer, the application layer measurement report will be stored in the </w:t>
      </w:r>
      <w:proofErr w:type="spellStart"/>
      <w:r w:rsidR="008B2973" w:rsidRPr="008B2973">
        <w:rPr>
          <w:i/>
          <w:iCs/>
        </w:rPr>
        <w:t>measReportAppLayerContainer</w:t>
      </w:r>
      <w:proofErr w:type="spellEnd"/>
      <w:r w:rsidR="00B9771B">
        <w:rPr>
          <w:i/>
          <w:iCs/>
        </w:rPr>
        <w:t xml:space="preserve"> </w:t>
      </w:r>
      <w:r w:rsidR="00B9771B">
        <w:t xml:space="preserve">with the </w:t>
      </w:r>
      <w:r w:rsidR="00B9771B" w:rsidRPr="00B9771B">
        <w:rPr>
          <w:i/>
          <w:iCs/>
        </w:rPr>
        <w:t>Service Type</w:t>
      </w:r>
      <w:r w:rsidR="00B9771B">
        <w:t xml:space="preserve"> IE</w:t>
      </w:r>
      <w:r w:rsidR="00993CB9">
        <w:t xml:space="preserve"> and further submitted to lower layers for transmission via</w:t>
      </w:r>
      <w:r w:rsidR="00B9771B">
        <w:t xml:space="preserve"> </w:t>
      </w:r>
      <w:r w:rsidR="00993CB9">
        <w:t xml:space="preserve">the </w:t>
      </w:r>
      <w:proofErr w:type="spellStart"/>
      <w:r w:rsidR="00993CB9" w:rsidRPr="00993CB9">
        <w:rPr>
          <w:i/>
          <w:iCs/>
        </w:rPr>
        <w:t>MeasReportAppLayer</w:t>
      </w:r>
      <w:proofErr w:type="spellEnd"/>
      <w:r w:rsidR="00993CB9">
        <w:rPr>
          <w:i/>
          <w:iCs/>
        </w:rPr>
        <w:t xml:space="preserve"> </w:t>
      </w:r>
      <w:r w:rsidR="00993CB9">
        <w:t>message</w:t>
      </w:r>
      <w:r w:rsidR="00B9771B">
        <w:t xml:space="preserve"> on SRB4</w:t>
      </w:r>
      <w:r w:rsidR="00993CB9">
        <w:t xml:space="preserve">. </w:t>
      </w:r>
    </w:p>
    <w:p w14:paraId="6EA9B6AF" w14:textId="3B43A3DB" w:rsidR="009D5E8F" w:rsidRDefault="00B9771B" w:rsidP="000A0F9C">
      <w:r>
        <w:rPr>
          <w:rFonts w:hint="eastAsia"/>
        </w:rPr>
        <w:t>R</w:t>
      </w:r>
      <w:r>
        <w:t xml:space="preserve">egarding how to find a UE matching the criteria, </w:t>
      </w:r>
      <w:proofErr w:type="spellStart"/>
      <w:r>
        <w:t>eNB</w:t>
      </w:r>
      <w:proofErr w:type="spellEnd"/>
      <w:r>
        <w:t xml:space="preserve"> will refer to</w:t>
      </w:r>
      <w:r w:rsidR="00111086">
        <w:t xml:space="preserve"> </w:t>
      </w:r>
      <w:proofErr w:type="gramStart"/>
      <w:r w:rsidR="00111086">
        <w:t>both of</w:t>
      </w:r>
      <w:r>
        <w:t xml:space="preserve"> the</w:t>
      </w:r>
      <w:r w:rsidR="00111086">
        <w:t xml:space="preserve"> </w:t>
      </w:r>
      <w:proofErr w:type="spellStart"/>
      <w:r w:rsidR="00111086">
        <w:t>AreaScope</w:t>
      </w:r>
      <w:proofErr w:type="spellEnd"/>
      <w:proofErr w:type="gramEnd"/>
      <w:r w:rsidR="00111086">
        <w:t xml:space="preserve"> configuration and UE EUTRA capability.</w:t>
      </w:r>
      <w:r w:rsidR="009D5E8F">
        <w:t xml:space="preserve"> According to TS28.405, </w:t>
      </w:r>
      <w:proofErr w:type="spellStart"/>
      <w:r w:rsidR="009D5E8F" w:rsidRPr="009B2902">
        <w:rPr>
          <w:i/>
          <w:iCs/>
        </w:rPr>
        <w:t>AreaScope</w:t>
      </w:r>
      <w:proofErr w:type="spellEnd"/>
      <w:r w:rsidR="009D5E8F">
        <w:t xml:space="preserve"> IE consists of list of cells or list of </w:t>
      </w:r>
      <w:proofErr w:type="spellStart"/>
      <w:r w:rsidR="009D5E8F">
        <w:t>TAs.</w:t>
      </w:r>
      <w:proofErr w:type="spellEnd"/>
      <w:r w:rsidR="00111086">
        <w:t xml:space="preserve"> If a UE </w:t>
      </w:r>
      <w:proofErr w:type="gramStart"/>
      <w:r w:rsidR="00111086">
        <w:t>are capable of performing</w:t>
      </w:r>
      <w:proofErr w:type="gramEnd"/>
      <w:r w:rsidR="00111086">
        <w:t xml:space="preserve"> application layer related measurement and reporting, it will include the flag of </w:t>
      </w:r>
      <w:proofErr w:type="spellStart"/>
      <w:r w:rsidR="00111086" w:rsidRPr="00111086">
        <w:rPr>
          <w:i/>
          <w:iCs/>
        </w:rPr>
        <w:t>qoe-</w:t>
      </w:r>
      <w:r w:rsidR="00111086" w:rsidRPr="00111086">
        <w:rPr>
          <w:i/>
          <w:iCs/>
        </w:rPr>
        <w:lastRenderedPageBreak/>
        <w:t>MeasReport</w:t>
      </w:r>
      <w:proofErr w:type="spellEnd"/>
      <w:r w:rsidR="00111086">
        <w:rPr>
          <w:i/>
          <w:iCs/>
        </w:rPr>
        <w:t xml:space="preserve"> </w:t>
      </w:r>
      <w:r w:rsidR="00111086">
        <w:t xml:space="preserve">and </w:t>
      </w:r>
      <w:proofErr w:type="spellStart"/>
      <w:r w:rsidR="00111086" w:rsidRPr="00111086">
        <w:rPr>
          <w:i/>
          <w:iCs/>
        </w:rPr>
        <w:t>qoe</w:t>
      </w:r>
      <w:proofErr w:type="spellEnd"/>
      <w:r w:rsidR="00111086" w:rsidRPr="00111086">
        <w:rPr>
          <w:i/>
          <w:iCs/>
        </w:rPr>
        <w:t>-MTSI-</w:t>
      </w:r>
      <w:proofErr w:type="spellStart"/>
      <w:r w:rsidR="00111086" w:rsidRPr="00111086">
        <w:rPr>
          <w:i/>
          <w:iCs/>
        </w:rPr>
        <w:t>MeasReport</w:t>
      </w:r>
      <w:proofErr w:type="spellEnd"/>
      <w:r w:rsidR="00111086">
        <w:rPr>
          <w:i/>
          <w:iCs/>
        </w:rPr>
        <w:t xml:space="preserve"> </w:t>
      </w:r>
      <w:r w:rsidR="00111086">
        <w:t xml:space="preserve">in </w:t>
      </w:r>
      <w:proofErr w:type="spellStart"/>
      <w:r w:rsidR="00111086" w:rsidRPr="00111086">
        <w:rPr>
          <w:i/>
          <w:iCs/>
        </w:rPr>
        <w:t>MeasParameters</w:t>
      </w:r>
      <w:proofErr w:type="spellEnd"/>
      <w:r w:rsidR="00111086">
        <w:t xml:space="preserve"> IE in the </w:t>
      </w:r>
      <w:r w:rsidR="00111086" w:rsidRPr="00111086">
        <w:rPr>
          <w:i/>
          <w:iCs/>
        </w:rPr>
        <w:t>UE-EUTRA-Capability</w:t>
      </w:r>
      <w:r w:rsidR="00111086">
        <w:t xml:space="preserve"> IE</w:t>
      </w:r>
      <w:r w:rsidR="009D5E8F">
        <w:t xml:space="preserve"> to let the </w:t>
      </w:r>
      <w:proofErr w:type="spellStart"/>
      <w:r w:rsidR="009D5E8F">
        <w:t>eNB</w:t>
      </w:r>
      <w:proofErr w:type="spellEnd"/>
      <w:r w:rsidR="009D5E8F">
        <w:t xml:space="preserve"> know.</w:t>
      </w:r>
    </w:p>
    <w:p w14:paraId="407E9485" w14:textId="0C349FD1" w:rsidR="009D5E8F" w:rsidRDefault="009D5E8F" w:rsidP="009D5E8F">
      <w:pPr>
        <w:pStyle w:val="paragraph"/>
        <w:spacing w:before="0" w:beforeAutospacing="0" w:after="120" w:afterAutospacing="0"/>
        <w:textAlignment w:val="baseline"/>
      </w:pPr>
      <w:r>
        <w:t>According to the LS sent by RAN3[</w:t>
      </w:r>
      <w:r w:rsidR="00A21496">
        <w:t>1</w:t>
      </w:r>
      <w:r>
        <w:t xml:space="preserve">], RAN3 has agree that NR QoE reports are carriered over the control plane in the RAN. As a result, we think it is beneficial to reuse the </w:t>
      </w:r>
      <w:r w:rsidR="007D1F7F">
        <w:t>air-interface</w:t>
      </w:r>
      <w:r>
        <w:t xml:space="preserve"> LTE QMC procedure for NR.</w:t>
      </w:r>
    </w:p>
    <w:p w14:paraId="3B607E92" w14:textId="58BDCDEA" w:rsidR="009D5E8F" w:rsidRDefault="009D5E8F" w:rsidP="007D1F7F">
      <w:pPr>
        <w:pStyle w:val="paragraph"/>
        <w:spacing w:before="0" w:beforeAutospacing="0" w:after="120" w:afterAutospacing="0"/>
        <w:textAlignment w:val="baseline"/>
        <w:rPr>
          <w:rFonts w:ascii="Calibri" w:hAnsi="Calibri" w:cs="Calibri"/>
          <w:sz w:val="22"/>
          <w:szCs w:val="22"/>
          <w:lang w:val="en-GB"/>
        </w:rPr>
      </w:pPr>
    </w:p>
    <w:p w14:paraId="04916128" w14:textId="7ABDF22C" w:rsidR="007D1F7F" w:rsidRPr="00E0649F" w:rsidRDefault="007D1F7F" w:rsidP="00E0649F">
      <w:pPr>
        <w:pStyle w:val="paragraph"/>
        <w:spacing w:before="0" w:beforeAutospacing="0" w:after="120" w:afterAutospacing="0"/>
        <w:jc w:val="both"/>
        <w:textAlignment w:val="baseline"/>
        <w:rPr>
          <w:b/>
          <w:bCs/>
        </w:rPr>
      </w:pPr>
      <w:r w:rsidRPr="00E0649F">
        <w:rPr>
          <w:rFonts w:hint="eastAsia"/>
          <w:b/>
          <w:bCs/>
        </w:rPr>
        <w:t>P</w:t>
      </w:r>
      <w:r w:rsidRPr="00E0649F">
        <w:rPr>
          <w:b/>
          <w:bCs/>
        </w:rPr>
        <w:t xml:space="preserve">roposal 1: RAN2 to agree to reuse the air-interface LTE QMC procedure including using  </w:t>
      </w:r>
      <w:r w:rsidRPr="00E0649F">
        <w:rPr>
          <w:b/>
          <w:bCs/>
          <w:i/>
          <w:iCs/>
        </w:rPr>
        <w:t>RRCReconfiguration</w:t>
      </w:r>
      <w:r w:rsidRPr="00E0649F">
        <w:rPr>
          <w:b/>
          <w:bCs/>
        </w:rPr>
        <w:t xml:space="preserve"> message for</w:t>
      </w:r>
      <w:r w:rsidR="00E0649F" w:rsidRPr="00E0649F">
        <w:rPr>
          <w:b/>
          <w:bCs/>
        </w:rPr>
        <w:t xml:space="preserve"> app layer</w:t>
      </w:r>
      <w:r w:rsidRPr="00E0649F">
        <w:rPr>
          <w:b/>
          <w:bCs/>
        </w:rPr>
        <w:t xml:space="preserve"> measurement configuration and </w:t>
      </w:r>
      <w:r w:rsidR="00E0649F" w:rsidRPr="00E0649F">
        <w:rPr>
          <w:b/>
          <w:bCs/>
          <w:i/>
          <w:iCs/>
        </w:rPr>
        <w:t xml:space="preserve">MeasReportAppLayer </w:t>
      </w:r>
      <w:r w:rsidR="00E0649F" w:rsidRPr="00E0649F">
        <w:rPr>
          <w:b/>
          <w:bCs/>
        </w:rPr>
        <w:t>message for app layer measurement reporting.</w:t>
      </w:r>
    </w:p>
    <w:p w14:paraId="3D4F687E" w14:textId="7FE46B4C" w:rsidR="00B9771B" w:rsidRPr="009D5E8F" w:rsidRDefault="00B9771B" w:rsidP="000A0F9C"/>
    <w:p w14:paraId="7A454A1A" w14:textId="24F3F601" w:rsidR="007329DF" w:rsidRPr="00E0649F" w:rsidRDefault="003770B6" w:rsidP="00E0649F">
      <w:pPr>
        <w:pStyle w:val="af9"/>
        <w:numPr>
          <w:ilvl w:val="0"/>
          <w:numId w:val="3"/>
        </w:numPr>
        <w:ind w:firstLineChars="0"/>
        <w:rPr>
          <w:rFonts w:ascii="Arial" w:hAnsi="Arial" w:cs="Arial"/>
          <w:sz w:val="36"/>
          <w:szCs w:val="36"/>
        </w:rPr>
      </w:pPr>
      <w:r>
        <w:rPr>
          <w:rFonts w:ascii="Arial" w:hAnsi="Arial" w:cs="Arial"/>
          <w:sz w:val="36"/>
          <w:szCs w:val="36"/>
        </w:rPr>
        <w:t>Other aspects</w:t>
      </w:r>
    </w:p>
    <w:p w14:paraId="2715CAA2" w14:textId="05EF4E77" w:rsidR="005E0E1C" w:rsidRPr="005E0E1C" w:rsidRDefault="005E0E1C" w:rsidP="000A0F9C">
      <w:pPr>
        <w:rPr>
          <w:rFonts w:ascii="Arial" w:hAnsi="Arial" w:cs="Arial"/>
          <w:sz w:val="36"/>
          <w:szCs w:val="36"/>
        </w:rPr>
      </w:pPr>
      <w:r w:rsidRPr="005E0E1C">
        <w:rPr>
          <w:rFonts w:ascii="Arial" w:hAnsi="Arial" w:cs="Arial"/>
          <w:sz w:val="36"/>
          <w:szCs w:val="36"/>
        </w:rPr>
        <w:t xml:space="preserve">3.1 </w:t>
      </w:r>
      <w:r w:rsidR="003770B6" w:rsidRPr="005E0E1C">
        <w:rPr>
          <w:rFonts w:ascii="Arial" w:hAnsi="Arial" w:cs="Arial"/>
          <w:sz w:val="36"/>
          <w:szCs w:val="36"/>
        </w:rPr>
        <w:t>Extension</w:t>
      </w:r>
      <w:r w:rsidRPr="005E0E1C">
        <w:rPr>
          <w:rFonts w:ascii="Arial" w:hAnsi="Arial" w:cs="Arial"/>
          <w:sz w:val="36"/>
          <w:szCs w:val="36"/>
        </w:rPr>
        <w:t xml:space="preserve"> of the </w:t>
      </w:r>
      <w:proofErr w:type="spellStart"/>
      <w:r w:rsidRPr="005E0E1C">
        <w:rPr>
          <w:rFonts w:ascii="Arial" w:hAnsi="Arial" w:cs="Arial"/>
          <w:sz w:val="36"/>
          <w:szCs w:val="36"/>
        </w:rPr>
        <w:t>serviceType</w:t>
      </w:r>
      <w:proofErr w:type="spellEnd"/>
      <w:r w:rsidRPr="005E0E1C">
        <w:rPr>
          <w:rFonts w:ascii="Arial" w:hAnsi="Arial" w:cs="Arial"/>
          <w:sz w:val="36"/>
          <w:szCs w:val="36"/>
        </w:rPr>
        <w:t xml:space="preserve"> IE</w:t>
      </w:r>
    </w:p>
    <w:p w14:paraId="4DFA17F3" w14:textId="2143B3FE" w:rsidR="007329DF" w:rsidRDefault="00D87CB9" w:rsidP="000A0F9C">
      <w:r w:rsidRPr="00D87CB9">
        <w:t>According to the LS sent</w:t>
      </w:r>
      <w:r>
        <w:t xml:space="preserve"> by RAN3 [</w:t>
      </w:r>
      <w:r w:rsidR="00E634B8">
        <w:t>1</w:t>
      </w:r>
      <w:r>
        <w:t>], RAN3 has agreed to</w:t>
      </w:r>
      <w:r w:rsidR="005E0E1C">
        <w:t xml:space="preserve"> support 4 services types for Application Layer Measurement Collection and report for NR </w:t>
      </w:r>
      <w:proofErr w:type="spellStart"/>
      <w:r w:rsidR="005E0E1C">
        <w:t>QoE</w:t>
      </w:r>
      <w:proofErr w:type="spellEnd"/>
      <w:r w:rsidR="005E0E1C">
        <w:t xml:space="preserve">: streaming video, VR, MTSI, and MBMS. So accordingly, the </w:t>
      </w:r>
      <w:proofErr w:type="spellStart"/>
      <w:r w:rsidR="005E0E1C" w:rsidRPr="005E0E1C">
        <w:rPr>
          <w:i/>
          <w:iCs/>
        </w:rPr>
        <w:t>serviceType</w:t>
      </w:r>
      <w:proofErr w:type="spellEnd"/>
      <w:r w:rsidR="005E0E1C">
        <w:t xml:space="preserve"> IE defined in TS 36.331, as indicated as follows, should be further extended to include new service types. </w:t>
      </w:r>
    </w:p>
    <w:p w14:paraId="14021753" w14:textId="2F45928F" w:rsidR="005E0E1C" w:rsidRDefault="005E0E1C" w:rsidP="000A0F9C"/>
    <w:p w14:paraId="1B1455C3" w14:textId="6E0D07DD" w:rsidR="005E0E1C" w:rsidRPr="00D87CB9" w:rsidRDefault="005E0E1C" w:rsidP="000A0F9C">
      <w:r>
        <w:rPr>
          <w:noProof/>
        </w:rPr>
        <w:drawing>
          <wp:inline distT="0" distB="0" distL="0" distR="0" wp14:anchorId="04F38E38" wp14:editId="122A3037">
            <wp:extent cx="6120765" cy="333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33375"/>
                    </a:xfrm>
                    <a:prstGeom prst="rect">
                      <a:avLst/>
                    </a:prstGeom>
                  </pic:spPr>
                </pic:pic>
              </a:graphicData>
            </a:graphic>
          </wp:inline>
        </w:drawing>
      </w:r>
    </w:p>
    <w:p w14:paraId="00E63547" w14:textId="7662723C" w:rsidR="000A0F9C" w:rsidRDefault="000A0F9C" w:rsidP="000A0F9C">
      <w:pPr>
        <w:rPr>
          <w:b/>
          <w:bCs/>
        </w:rPr>
      </w:pPr>
      <w:r>
        <w:rPr>
          <w:b/>
          <w:bCs/>
        </w:rPr>
        <w:t>Proposal</w:t>
      </w:r>
      <w:r w:rsidRPr="004309CA">
        <w:rPr>
          <w:b/>
          <w:bCs/>
        </w:rPr>
        <w:t xml:space="preserve"> </w:t>
      </w:r>
      <w:r w:rsidR="005E0E1C">
        <w:rPr>
          <w:b/>
          <w:bCs/>
        </w:rPr>
        <w:t>2: RAN2 to agree th</w:t>
      </w:r>
      <w:r w:rsidR="0013632D">
        <w:rPr>
          <w:rFonts w:hint="eastAsia"/>
          <w:b/>
          <w:bCs/>
        </w:rPr>
        <w:t>a</w:t>
      </w:r>
      <w:r w:rsidR="005E0E1C">
        <w:rPr>
          <w:b/>
          <w:bCs/>
        </w:rPr>
        <w:t xml:space="preserve">t the </w:t>
      </w:r>
      <w:proofErr w:type="spellStart"/>
      <w:r w:rsidR="005E0E1C" w:rsidRPr="005E0E1C">
        <w:rPr>
          <w:b/>
          <w:bCs/>
          <w:i/>
          <w:iCs/>
        </w:rPr>
        <w:t>serviceType</w:t>
      </w:r>
      <w:proofErr w:type="spellEnd"/>
      <w:r w:rsidR="005E0E1C">
        <w:rPr>
          <w:b/>
          <w:bCs/>
          <w:i/>
          <w:iCs/>
        </w:rPr>
        <w:t xml:space="preserve"> </w:t>
      </w:r>
      <w:r w:rsidR="005E0E1C">
        <w:rPr>
          <w:b/>
          <w:bCs/>
        </w:rPr>
        <w:t>IE defined in TS 36.331 should be further extended to include new service type</w:t>
      </w:r>
      <w:r w:rsidR="00126ECB">
        <w:rPr>
          <w:b/>
          <w:bCs/>
        </w:rPr>
        <w:t xml:space="preserve"> </w:t>
      </w:r>
      <w:r w:rsidR="00126ECB">
        <w:rPr>
          <w:rFonts w:hint="eastAsia"/>
          <w:b/>
          <w:bCs/>
        </w:rPr>
        <w:t>for</w:t>
      </w:r>
      <w:r w:rsidR="00126ECB">
        <w:rPr>
          <w:b/>
          <w:bCs/>
        </w:rPr>
        <w:t xml:space="preserve"> 5G NR</w:t>
      </w:r>
      <w:r w:rsidR="005E0E1C">
        <w:rPr>
          <w:b/>
          <w:bCs/>
        </w:rPr>
        <w:t>.</w:t>
      </w:r>
    </w:p>
    <w:p w14:paraId="21BDA7BB" w14:textId="2757EE10" w:rsidR="005E0E1C" w:rsidRDefault="005E0E1C" w:rsidP="000A0F9C">
      <w:pPr>
        <w:rPr>
          <w:b/>
          <w:bCs/>
        </w:rPr>
      </w:pPr>
    </w:p>
    <w:p w14:paraId="5B6B8174" w14:textId="46159729" w:rsidR="005E0E1C" w:rsidRPr="005E0E1C" w:rsidRDefault="005E0E1C" w:rsidP="005E0E1C">
      <w:pPr>
        <w:pStyle w:val="af9"/>
        <w:numPr>
          <w:ilvl w:val="1"/>
          <w:numId w:val="3"/>
        </w:numPr>
        <w:ind w:firstLineChars="0"/>
        <w:rPr>
          <w:rFonts w:ascii="Arial" w:hAnsi="Arial" w:cs="Arial"/>
          <w:sz w:val="36"/>
          <w:szCs w:val="36"/>
        </w:rPr>
      </w:pPr>
      <w:r>
        <w:rPr>
          <w:rFonts w:ascii="Arial" w:hAnsi="Arial" w:cs="Arial"/>
          <w:sz w:val="36"/>
          <w:szCs w:val="36"/>
        </w:rPr>
        <w:t xml:space="preserve"> </w:t>
      </w:r>
      <w:r w:rsidRPr="005E0E1C">
        <w:rPr>
          <w:rFonts w:ascii="Arial" w:hAnsi="Arial" w:cs="Arial"/>
          <w:sz w:val="36"/>
          <w:szCs w:val="36"/>
        </w:rPr>
        <w:t>QMC continuity in NR</w:t>
      </w:r>
    </w:p>
    <w:p w14:paraId="6EC909E3" w14:textId="4086081F" w:rsidR="00E46DB9" w:rsidRDefault="005E0E1C" w:rsidP="005E0E1C">
      <w:pPr>
        <w:rPr>
          <w:szCs w:val="22"/>
        </w:rPr>
      </w:pPr>
      <w:r>
        <w:rPr>
          <w:rFonts w:hint="eastAsia"/>
          <w:szCs w:val="22"/>
        </w:rPr>
        <w:t>A</w:t>
      </w:r>
      <w:r>
        <w:rPr>
          <w:szCs w:val="22"/>
        </w:rPr>
        <w:t>ccording to the TS 28.405,</w:t>
      </w:r>
      <w:r w:rsidR="00E46DB9">
        <w:rPr>
          <w:szCs w:val="22"/>
        </w:rPr>
        <w:t xml:space="preserve"> measurement collection at handover is supported in LTE. Specifically, the implementation of handover between </w:t>
      </w:r>
      <w:proofErr w:type="spellStart"/>
      <w:r w:rsidR="00E46DB9">
        <w:rPr>
          <w:szCs w:val="22"/>
        </w:rPr>
        <w:t>eNBs</w:t>
      </w:r>
      <w:proofErr w:type="spellEnd"/>
      <w:r w:rsidR="00E46DB9">
        <w:rPr>
          <w:szCs w:val="22"/>
        </w:rPr>
        <w:t xml:space="preserve"> is illustrated in the following figure.</w:t>
      </w:r>
    </w:p>
    <w:p w14:paraId="114AB9BC" w14:textId="31720FC0" w:rsidR="00E46DB9" w:rsidRPr="005E0E1C" w:rsidRDefault="00E46DB9" w:rsidP="00C376DF">
      <w:pPr>
        <w:ind w:firstLineChars="250" w:firstLine="550"/>
        <w:rPr>
          <w:szCs w:val="22"/>
        </w:rPr>
      </w:pPr>
      <w:r w:rsidRPr="007B4F0A">
        <w:rPr>
          <w:noProof/>
        </w:rPr>
        <w:drawing>
          <wp:inline distT="0" distB="0" distL="0" distR="0" wp14:anchorId="257E2662" wp14:editId="1AF32DD1">
            <wp:extent cx="6029325" cy="2411730"/>
            <wp:effectExtent l="0" t="0" r="9525" b="7620"/>
            <wp:docPr id="3" name="图片 3"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日程表&#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2411730"/>
                    </a:xfrm>
                    <a:prstGeom prst="rect">
                      <a:avLst/>
                    </a:prstGeom>
                    <a:noFill/>
                    <a:ln>
                      <a:noFill/>
                    </a:ln>
                  </pic:spPr>
                </pic:pic>
              </a:graphicData>
            </a:graphic>
          </wp:inline>
        </w:drawing>
      </w:r>
    </w:p>
    <w:p w14:paraId="7354A577" w14:textId="61CCD381" w:rsidR="005E0E1C" w:rsidRPr="00E46DB9" w:rsidRDefault="00E46DB9" w:rsidP="000A0F9C">
      <w:r>
        <w:rPr>
          <w:rFonts w:hint="eastAsia"/>
          <w:b/>
          <w:bCs/>
        </w:rPr>
        <w:t xml:space="preserve"> </w:t>
      </w:r>
      <w:r>
        <w:rPr>
          <w:b/>
          <w:bCs/>
        </w:rPr>
        <w:t xml:space="preserve">                 </w:t>
      </w:r>
      <w:r w:rsidRPr="00E46DB9">
        <w:t>Figure 2: Handling of QMC activation in case of handover in LTE</w:t>
      </w:r>
    </w:p>
    <w:p w14:paraId="2CA31FC3" w14:textId="51964F14" w:rsidR="005E0E1C" w:rsidRDefault="0013632D" w:rsidP="000A0F9C">
      <w:r>
        <w:lastRenderedPageBreak/>
        <w:t>It could be found that</w:t>
      </w:r>
      <w:r w:rsidR="003444CD">
        <w:t xml:space="preserve"> the</w:t>
      </w:r>
      <w:r>
        <w:t xml:space="preserve"> </w:t>
      </w:r>
      <w:r w:rsidR="003444CD">
        <w:t xml:space="preserve">information of area scope is included in the </w:t>
      </w:r>
      <w:r w:rsidR="003444CD" w:rsidRPr="00D342DE">
        <w:rPr>
          <w:i/>
          <w:iCs/>
        </w:rPr>
        <w:t>Handover Request</w:t>
      </w:r>
      <w:r w:rsidR="003444CD">
        <w:t xml:space="preserve"> message. Upon reception of the message,</w:t>
      </w:r>
      <w:r w:rsidR="00D342DE">
        <w:t xml:space="preserve"> the </w:t>
      </w:r>
      <w:r w:rsidR="00E46DB9">
        <w:t xml:space="preserve">target </w:t>
      </w:r>
      <w:proofErr w:type="spellStart"/>
      <w:r w:rsidR="00E46DB9">
        <w:t>eNB</w:t>
      </w:r>
      <w:proofErr w:type="spellEnd"/>
      <w:r w:rsidR="00E46DB9">
        <w:t xml:space="preserve"> </w:t>
      </w:r>
      <w:r w:rsidR="00D342DE">
        <w:t>will</w:t>
      </w:r>
      <w:r w:rsidR="00E46DB9">
        <w:t xml:space="preserve"> check if the </w:t>
      </w:r>
      <w:r w:rsidR="00D342DE">
        <w:t xml:space="preserve">target cell is within the area scope. If so, a </w:t>
      </w:r>
      <w:proofErr w:type="spellStart"/>
      <w:r w:rsidR="00D342DE" w:rsidRPr="00D342DE">
        <w:rPr>
          <w:i/>
          <w:iCs/>
        </w:rPr>
        <w:t>WithinArea</w:t>
      </w:r>
      <w:proofErr w:type="spellEnd"/>
      <w:r w:rsidR="00D342DE">
        <w:rPr>
          <w:i/>
          <w:iCs/>
        </w:rPr>
        <w:t xml:space="preserve"> </w:t>
      </w:r>
      <w:r w:rsidR="00D342DE">
        <w:t xml:space="preserve">indication will be feedback towards the source </w:t>
      </w:r>
      <w:proofErr w:type="spellStart"/>
      <w:r w:rsidR="00D342DE">
        <w:t>eNB</w:t>
      </w:r>
      <w:proofErr w:type="spellEnd"/>
      <w:r w:rsidR="00D342DE">
        <w:t xml:space="preserve"> in the </w:t>
      </w:r>
      <w:r w:rsidR="00D342DE" w:rsidRPr="00D342DE">
        <w:rPr>
          <w:i/>
          <w:iCs/>
        </w:rPr>
        <w:t>Handover Request Ack</w:t>
      </w:r>
      <w:r w:rsidR="00D342DE">
        <w:t xml:space="preserve"> message</w:t>
      </w:r>
      <w:r w:rsidR="0001535F">
        <w:t xml:space="preserve">. Subsequently, the source </w:t>
      </w:r>
      <w:proofErr w:type="spellStart"/>
      <w:r w:rsidR="0001535F">
        <w:t>eNB</w:t>
      </w:r>
      <w:proofErr w:type="spellEnd"/>
      <w:r w:rsidR="0001535F">
        <w:t xml:space="preserve"> will send the </w:t>
      </w:r>
      <w:proofErr w:type="spellStart"/>
      <w:r w:rsidR="0001535F" w:rsidRPr="0001535F">
        <w:rPr>
          <w:i/>
          <w:iCs/>
        </w:rPr>
        <w:t>RRCConnectionReconfiguration</w:t>
      </w:r>
      <w:proofErr w:type="spellEnd"/>
      <w:r w:rsidR="0001535F">
        <w:t xml:space="preserve"> </w:t>
      </w:r>
      <w:proofErr w:type="spellStart"/>
      <w:r w:rsidR="0001535F">
        <w:t>msg</w:t>
      </w:r>
      <w:proofErr w:type="spellEnd"/>
      <w:r w:rsidR="0001535F">
        <w:t xml:space="preserve"> including the HO command and </w:t>
      </w:r>
      <w:proofErr w:type="spellStart"/>
      <w:r w:rsidR="0001535F" w:rsidRPr="0001535F">
        <w:rPr>
          <w:i/>
          <w:iCs/>
        </w:rPr>
        <w:t>WithinArea</w:t>
      </w:r>
      <w:proofErr w:type="spellEnd"/>
      <w:r w:rsidR="0001535F">
        <w:rPr>
          <w:i/>
          <w:iCs/>
        </w:rPr>
        <w:t xml:space="preserve"> </w:t>
      </w:r>
      <w:r w:rsidR="0001535F">
        <w:t>indication towards the UE. In such a way, after performing handover, the UE will start to send the</w:t>
      </w:r>
      <w:r w:rsidR="0060393C">
        <w:t xml:space="preserve"> app layer</w:t>
      </w:r>
      <w:r w:rsidR="0001535F">
        <w:t xml:space="preserve"> measurement report</w:t>
      </w:r>
      <w:r w:rsidR="0060393C">
        <w:t xml:space="preserve"> via </w:t>
      </w:r>
      <w:proofErr w:type="spellStart"/>
      <w:r w:rsidR="0060393C" w:rsidRPr="0060393C">
        <w:rPr>
          <w:i/>
          <w:iCs/>
        </w:rPr>
        <w:t>MeasReportAppLayer</w:t>
      </w:r>
      <w:proofErr w:type="spellEnd"/>
      <w:r w:rsidR="0060393C">
        <w:t xml:space="preserve"> message</w:t>
      </w:r>
      <w:r w:rsidR="0001535F">
        <w:t xml:space="preserve"> towards the target </w:t>
      </w:r>
      <w:proofErr w:type="spellStart"/>
      <w:r w:rsidR="0001535F">
        <w:t>eNB</w:t>
      </w:r>
      <w:proofErr w:type="spellEnd"/>
      <w:r w:rsidR="0060393C">
        <w:t xml:space="preserve">. </w:t>
      </w:r>
    </w:p>
    <w:p w14:paraId="0E648058" w14:textId="1DD68990" w:rsidR="0060393C" w:rsidRDefault="003770B6" w:rsidP="000A0F9C">
      <w:r>
        <w:t>Although in [</w:t>
      </w:r>
      <w:r w:rsidR="00E634B8">
        <w:t>2</w:t>
      </w:r>
      <w:r>
        <w:t>], there are two other methods</w:t>
      </w:r>
      <w:r w:rsidR="00E634B8">
        <w:t xml:space="preserve"> mentioned</w:t>
      </w:r>
      <w:r>
        <w:t>, e.g., configuring the entire area to the UE and sending release command to UE upon moving outside of the area</w:t>
      </w:r>
      <w:r w:rsidR="00F970BE">
        <w:t>. However, as mentioned</w:t>
      </w:r>
      <w:r w:rsidR="00E634B8">
        <w:t xml:space="preserve"> [2]</w:t>
      </w:r>
      <w:r w:rsidR="00F970BE">
        <w:t xml:space="preserve">, they result in more control-plane traffic and requires feedback indication specified by SA5, </w:t>
      </w:r>
      <w:r w:rsidR="0014012E">
        <w:t xml:space="preserve">respectively, which all require </w:t>
      </w:r>
      <w:r w:rsidR="00E634B8">
        <w:t xml:space="preserve">additional </w:t>
      </w:r>
      <w:r w:rsidR="0014012E">
        <w:t xml:space="preserve">specification effort. </w:t>
      </w:r>
      <w:r w:rsidR="0060393C">
        <w:rPr>
          <w:rFonts w:hint="eastAsia"/>
        </w:rPr>
        <w:t>I</w:t>
      </w:r>
      <w:r w:rsidR="0060393C">
        <w:t xml:space="preserve">n our opinion, </w:t>
      </w:r>
      <w:r w:rsidR="0014012E">
        <w:t>it is more beneficial to</w:t>
      </w:r>
      <w:r w:rsidR="0060393C">
        <w:t xml:space="preserve"> reuse QMC activation principle in case of handover in LTE for NR</w:t>
      </w:r>
      <w:r>
        <w:t xml:space="preserve">. </w:t>
      </w:r>
    </w:p>
    <w:p w14:paraId="246CC9D9" w14:textId="5401E592" w:rsidR="0060393C" w:rsidRPr="003770B6" w:rsidRDefault="0060393C" w:rsidP="000A0F9C">
      <w:pPr>
        <w:rPr>
          <w:b/>
          <w:bCs/>
        </w:rPr>
      </w:pPr>
      <w:r w:rsidRPr="003770B6">
        <w:rPr>
          <w:b/>
          <w:bCs/>
        </w:rPr>
        <w:t xml:space="preserve">Proposal 3: RAN2 to agree to </w:t>
      </w:r>
      <w:r w:rsidR="003770B6" w:rsidRPr="003770B6">
        <w:rPr>
          <w:b/>
          <w:bCs/>
        </w:rPr>
        <w:t>reuse QMC activation principle in case of handover in LTE for NR as well.</w:t>
      </w:r>
    </w:p>
    <w:p w14:paraId="66625675" w14:textId="41CDD9BA" w:rsidR="00A61340" w:rsidRPr="00A61340" w:rsidRDefault="003770B6" w:rsidP="00A61340">
      <w:pPr>
        <w:pStyle w:val="af9"/>
        <w:numPr>
          <w:ilvl w:val="1"/>
          <w:numId w:val="3"/>
        </w:numPr>
        <w:ind w:firstLineChars="0"/>
        <w:rPr>
          <w:rFonts w:ascii="Arial" w:hAnsi="Arial" w:cs="Arial"/>
          <w:sz w:val="36"/>
          <w:szCs w:val="36"/>
        </w:rPr>
      </w:pPr>
      <w:r>
        <w:rPr>
          <w:rFonts w:ascii="Arial" w:hAnsi="Arial" w:cs="Arial"/>
          <w:sz w:val="36"/>
          <w:szCs w:val="36"/>
        </w:rPr>
        <w:t xml:space="preserve"> </w:t>
      </w:r>
      <w:r w:rsidR="0014012E">
        <w:rPr>
          <w:rFonts w:ascii="Arial" w:hAnsi="Arial" w:cs="Arial"/>
          <w:sz w:val="36"/>
          <w:szCs w:val="36"/>
        </w:rPr>
        <w:t>App</w:t>
      </w:r>
      <w:r w:rsidR="00A61340">
        <w:rPr>
          <w:rFonts w:ascii="Arial" w:hAnsi="Arial" w:cs="Arial"/>
          <w:sz w:val="36"/>
          <w:szCs w:val="36"/>
        </w:rPr>
        <w:t xml:space="preserve"> </w:t>
      </w:r>
      <w:r w:rsidR="0014012E">
        <w:rPr>
          <w:rFonts w:ascii="Arial" w:hAnsi="Arial" w:cs="Arial"/>
          <w:sz w:val="36"/>
          <w:szCs w:val="36"/>
        </w:rPr>
        <w:t>layer</w:t>
      </w:r>
      <w:r w:rsidR="00A61340">
        <w:rPr>
          <w:rFonts w:ascii="Arial" w:hAnsi="Arial" w:cs="Arial"/>
          <w:sz w:val="36"/>
          <w:szCs w:val="36"/>
        </w:rPr>
        <w:t xml:space="preserve"> measurement open to </w:t>
      </w:r>
      <w:proofErr w:type="gramStart"/>
      <w:r w:rsidR="00A61340">
        <w:rPr>
          <w:rFonts w:ascii="Arial" w:hAnsi="Arial" w:cs="Arial"/>
          <w:sz w:val="36"/>
          <w:szCs w:val="36"/>
        </w:rPr>
        <w:t>RAN</w:t>
      </w:r>
      <w:proofErr w:type="gramEnd"/>
    </w:p>
    <w:p w14:paraId="1E9CC119" w14:textId="57DA4671" w:rsidR="00923E42" w:rsidRDefault="00A61340" w:rsidP="00A61340">
      <w:r w:rsidRPr="00A61340">
        <w:t>In LTE,</w:t>
      </w:r>
      <w:r>
        <w:t xml:space="preserve"> the app layer related measurement results will be encapsulated in RRC Container and transmitted towards the </w:t>
      </w:r>
      <w:proofErr w:type="spellStart"/>
      <w:r>
        <w:t>eNB</w:t>
      </w:r>
      <w:proofErr w:type="spellEnd"/>
      <w:r>
        <w:t xml:space="preserve"> via </w:t>
      </w:r>
      <w:proofErr w:type="spellStart"/>
      <w:r w:rsidRPr="0060393C">
        <w:rPr>
          <w:i/>
          <w:iCs/>
        </w:rPr>
        <w:t>MeasReportAppLayer</w:t>
      </w:r>
      <w:proofErr w:type="spellEnd"/>
      <w:r>
        <w:rPr>
          <w:i/>
          <w:iCs/>
        </w:rPr>
        <w:t xml:space="preserve"> </w:t>
      </w:r>
      <w:r>
        <w:t xml:space="preserve">msg. Subsequently, the </w:t>
      </w:r>
      <w:proofErr w:type="spellStart"/>
      <w:r>
        <w:t>eNB</w:t>
      </w:r>
      <w:proofErr w:type="spellEnd"/>
      <w:r>
        <w:t xml:space="preserve"> will send the RRC Container directly towards</w:t>
      </w:r>
      <w:r w:rsidR="00923E42">
        <w:t xml:space="preserve"> MCE.</w:t>
      </w:r>
    </w:p>
    <w:p w14:paraId="166C1CBB" w14:textId="08136C62" w:rsidR="00923E42" w:rsidRDefault="00923E42" w:rsidP="00A61340">
      <w:r>
        <w:t>For example, a</w:t>
      </w:r>
      <w:r w:rsidR="007A2C8A">
        <w:t>c</w:t>
      </w:r>
      <w:r>
        <w:t xml:space="preserve">cording to TS 26.247, </w:t>
      </w:r>
      <w:proofErr w:type="spellStart"/>
      <w:r>
        <w:t>QoE</w:t>
      </w:r>
      <w:proofErr w:type="spellEnd"/>
      <w:r>
        <w:t xml:space="preserve"> metric consists of the following information:</w:t>
      </w:r>
    </w:p>
    <w:p w14:paraId="4DAF3A84" w14:textId="306EDF12" w:rsidR="00A61340" w:rsidRDefault="00923E42" w:rsidP="00923E42">
      <w:pPr>
        <w:pStyle w:val="af9"/>
        <w:numPr>
          <w:ilvl w:val="0"/>
          <w:numId w:val="39"/>
        </w:numPr>
        <w:ind w:firstLineChars="0"/>
      </w:pPr>
      <w:r>
        <w:rPr>
          <w:rFonts w:hint="eastAsia"/>
        </w:rPr>
        <w:t>R</w:t>
      </w:r>
      <w:r>
        <w:t>epresentation Switch Events</w:t>
      </w:r>
    </w:p>
    <w:p w14:paraId="28707D52" w14:textId="6AFAD114" w:rsidR="00923E42" w:rsidRDefault="00923E42" w:rsidP="00923E42">
      <w:pPr>
        <w:pStyle w:val="af9"/>
        <w:numPr>
          <w:ilvl w:val="0"/>
          <w:numId w:val="39"/>
        </w:numPr>
        <w:ind w:firstLineChars="0"/>
      </w:pPr>
      <w:r>
        <w:rPr>
          <w:rFonts w:hint="eastAsia"/>
        </w:rPr>
        <w:t>A</w:t>
      </w:r>
      <w:r>
        <w:t>verage Throughput</w:t>
      </w:r>
    </w:p>
    <w:p w14:paraId="3333E92C" w14:textId="3A7CC9D5" w:rsidR="00923E42" w:rsidRDefault="00923E42" w:rsidP="00923E42">
      <w:pPr>
        <w:pStyle w:val="af9"/>
        <w:numPr>
          <w:ilvl w:val="0"/>
          <w:numId w:val="39"/>
        </w:numPr>
        <w:ind w:firstLineChars="0"/>
      </w:pPr>
      <w:r>
        <w:t>Initial Playout Delay</w:t>
      </w:r>
    </w:p>
    <w:p w14:paraId="6057C9EB" w14:textId="7884326C" w:rsidR="00923E42" w:rsidRDefault="00923E42" w:rsidP="00923E42">
      <w:pPr>
        <w:pStyle w:val="af9"/>
        <w:numPr>
          <w:ilvl w:val="0"/>
          <w:numId w:val="39"/>
        </w:numPr>
        <w:ind w:firstLineChars="0"/>
      </w:pPr>
      <w:r>
        <w:rPr>
          <w:rFonts w:hint="eastAsia"/>
        </w:rPr>
        <w:t>B</w:t>
      </w:r>
      <w:r>
        <w:t>uffer Level</w:t>
      </w:r>
    </w:p>
    <w:p w14:paraId="028F60A2" w14:textId="4BA09252" w:rsidR="00923E42" w:rsidRDefault="00923E42" w:rsidP="00923E42">
      <w:pPr>
        <w:pStyle w:val="af9"/>
        <w:numPr>
          <w:ilvl w:val="0"/>
          <w:numId w:val="39"/>
        </w:numPr>
        <w:ind w:firstLineChars="0"/>
      </w:pPr>
      <w:r>
        <w:rPr>
          <w:rFonts w:hint="eastAsia"/>
        </w:rPr>
        <w:t>P</w:t>
      </w:r>
      <w:r>
        <w:t>lay List</w:t>
      </w:r>
    </w:p>
    <w:p w14:paraId="6A1A2250" w14:textId="6C8AE8F1" w:rsidR="00923E42" w:rsidRDefault="00923E42" w:rsidP="00923E42">
      <w:pPr>
        <w:pStyle w:val="af9"/>
        <w:numPr>
          <w:ilvl w:val="0"/>
          <w:numId w:val="39"/>
        </w:numPr>
        <w:ind w:firstLineChars="0"/>
      </w:pPr>
      <w:r>
        <w:rPr>
          <w:rFonts w:hint="eastAsia"/>
        </w:rPr>
        <w:t>M</w:t>
      </w:r>
      <w:r>
        <w:t>PD information</w:t>
      </w:r>
    </w:p>
    <w:p w14:paraId="2817574B" w14:textId="62930F53" w:rsidR="00923E42" w:rsidRDefault="00923E42" w:rsidP="00923E42">
      <w:pPr>
        <w:pStyle w:val="af9"/>
        <w:numPr>
          <w:ilvl w:val="0"/>
          <w:numId w:val="39"/>
        </w:numPr>
        <w:ind w:firstLineChars="0"/>
      </w:pPr>
      <w:r>
        <w:rPr>
          <w:rFonts w:hint="eastAsia"/>
        </w:rPr>
        <w:t>P</w:t>
      </w:r>
      <w:r>
        <w:t>layout Delay for Media Start-up</w:t>
      </w:r>
    </w:p>
    <w:p w14:paraId="3EBFBF9D" w14:textId="3E9200BF" w:rsidR="00923E42" w:rsidRDefault="00923E42" w:rsidP="00923E42">
      <w:pPr>
        <w:pStyle w:val="af9"/>
        <w:numPr>
          <w:ilvl w:val="0"/>
          <w:numId w:val="39"/>
        </w:numPr>
        <w:ind w:firstLineChars="0"/>
      </w:pPr>
      <w:r>
        <w:rPr>
          <w:rFonts w:hint="eastAsia"/>
        </w:rPr>
        <w:t>D</w:t>
      </w:r>
      <w:r>
        <w:t>evice information</w:t>
      </w:r>
    </w:p>
    <w:p w14:paraId="41416113" w14:textId="741F284C" w:rsidR="00F17304" w:rsidRDefault="00923E42" w:rsidP="00923E42">
      <w:r>
        <w:rPr>
          <w:rFonts w:hint="eastAsia"/>
        </w:rPr>
        <w:t>A</w:t>
      </w:r>
      <w:r>
        <w:t>mong them, it seems that</w:t>
      </w:r>
      <w:r w:rsidR="00635A99">
        <w:t xml:space="preserve"> some of the information, e.g.,</w:t>
      </w:r>
      <w:r>
        <w:t xml:space="preserve"> Average Throughput, initial Playout Delay,</w:t>
      </w:r>
      <w:r w:rsidR="007A2C8A">
        <w:t xml:space="preserve"> Buffer Level might be related to RAN transmission performance and optimization. However, measurement quantities for throughput and transmission latency have already been defined </w:t>
      </w:r>
      <w:r w:rsidR="00F17304">
        <w:t>in 28.552 or 38.314</w:t>
      </w:r>
      <w:r w:rsidR="000518DA">
        <w:t xml:space="preserve">, such as Average DL UE throughput in </w:t>
      </w:r>
      <w:proofErr w:type="spellStart"/>
      <w:r w:rsidR="000518DA">
        <w:t>gNB</w:t>
      </w:r>
      <w:proofErr w:type="spellEnd"/>
      <w:r w:rsidR="000518DA">
        <w:t>, packet delay, etc.</w:t>
      </w:r>
      <w:r w:rsidR="007A2C8A">
        <w:t xml:space="preserve"> Exposing these App layer related measurement results to RAN, in our opinion, might be redundant.</w:t>
      </w:r>
      <w:r w:rsidR="00F17304">
        <w:t xml:space="preserve"> </w:t>
      </w:r>
    </w:p>
    <w:p w14:paraId="5843DB4A" w14:textId="63D8DD70" w:rsidR="00923E42" w:rsidRPr="00F17304" w:rsidRDefault="00F17304" w:rsidP="00923E42">
      <w:pPr>
        <w:rPr>
          <w:b/>
          <w:bCs/>
        </w:rPr>
      </w:pPr>
      <w:r w:rsidRPr="00F17304">
        <w:rPr>
          <w:b/>
          <w:bCs/>
        </w:rPr>
        <w:t>Observation 1: measurement quantities for throughput and transmission latency have been defined in TS 28.552 or Ts 38.314 already, making exposing App layer related measurement results to RAN redundant.</w:t>
      </w:r>
      <w:r w:rsidR="007A2C8A" w:rsidRPr="00F17304">
        <w:rPr>
          <w:b/>
          <w:bCs/>
        </w:rPr>
        <w:t xml:space="preserve">   </w:t>
      </w:r>
      <w:r w:rsidR="00923E42" w:rsidRPr="00F17304">
        <w:rPr>
          <w:b/>
          <w:bCs/>
        </w:rPr>
        <w:t xml:space="preserve"> </w:t>
      </w:r>
    </w:p>
    <w:p w14:paraId="6A3302ED" w14:textId="42043B87" w:rsidR="005E0E1C" w:rsidRDefault="005E0E1C" w:rsidP="000A0F9C">
      <w:pPr>
        <w:rPr>
          <w:b/>
          <w:bCs/>
        </w:rPr>
      </w:pPr>
    </w:p>
    <w:p w14:paraId="376C866E" w14:textId="596E0260" w:rsidR="005E0E1C" w:rsidRDefault="005E0E1C" w:rsidP="000A0F9C">
      <w:pPr>
        <w:rPr>
          <w:b/>
          <w:bCs/>
        </w:rPr>
      </w:pPr>
    </w:p>
    <w:p w14:paraId="6C5E0399" w14:textId="77777777" w:rsidR="005E0E1C" w:rsidRPr="005E0E1C" w:rsidRDefault="005E0E1C" w:rsidP="000A0F9C">
      <w:pPr>
        <w:rPr>
          <w:b/>
          <w:bCs/>
        </w:rPr>
      </w:pPr>
    </w:p>
    <w:p w14:paraId="3D0006EC" w14:textId="77777777" w:rsidR="0095442C" w:rsidRDefault="0095442C" w:rsidP="0095442C">
      <w:pPr>
        <w:pStyle w:val="1"/>
        <w:numPr>
          <w:ilvl w:val="0"/>
          <w:numId w:val="3"/>
        </w:numPr>
      </w:pPr>
      <w:r>
        <w:lastRenderedPageBreak/>
        <w:t>Conclusions</w:t>
      </w:r>
    </w:p>
    <w:p w14:paraId="45166E7D" w14:textId="1BC5F5DC"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2"/>
    <w:p w14:paraId="79765B41" w14:textId="77777777" w:rsidR="00F17304" w:rsidRPr="00E0649F" w:rsidRDefault="00F17304" w:rsidP="00F17304">
      <w:pPr>
        <w:pStyle w:val="paragraph"/>
        <w:spacing w:before="0" w:beforeAutospacing="0" w:after="120" w:afterAutospacing="0"/>
        <w:jc w:val="both"/>
        <w:textAlignment w:val="baseline"/>
        <w:rPr>
          <w:b/>
          <w:bCs/>
        </w:rPr>
      </w:pPr>
      <w:r w:rsidRPr="00E0649F">
        <w:rPr>
          <w:rFonts w:hint="eastAsia"/>
          <w:b/>
          <w:bCs/>
        </w:rPr>
        <w:t>P</w:t>
      </w:r>
      <w:r w:rsidRPr="00E0649F">
        <w:rPr>
          <w:b/>
          <w:bCs/>
        </w:rPr>
        <w:t xml:space="preserve">roposal 1: RAN2 to agree to reuse the air-interface LTE QMC procedure including using  </w:t>
      </w:r>
      <w:r w:rsidRPr="00E0649F">
        <w:rPr>
          <w:b/>
          <w:bCs/>
          <w:i/>
          <w:iCs/>
        </w:rPr>
        <w:t>RRCReconfiguration</w:t>
      </w:r>
      <w:r w:rsidRPr="00E0649F">
        <w:rPr>
          <w:b/>
          <w:bCs/>
        </w:rPr>
        <w:t xml:space="preserve"> message for app layer measurement configuration and </w:t>
      </w:r>
      <w:r w:rsidRPr="00E0649F">
        <w:rPr>
          <w:b/>
          <w:bCs/>
          <w:i/>
          <w:iCs/>
        </w:rPr>
        <w:t xml:space="preserve">MeasReportAppLayer </w:t>
      </w:r>
      <w:r w:rsidRPr="00E0649F">
        <w:rPr>
          <w:b/>
          <w:bCs/>
        </w:rPr>
        <w:t>message for app layer measurement reporting.</w:t>
      </w:r>
    </w:p>
    <w:p w14:paraId="72E78A4B" w14:textId="77777777" w:rsidR="00F17304" w:rsidRDefault="00F17304" w:rsidP="00F17304">
      <w:pPr>
        <w:rPr>
          <w:b/>
          <w:bCs/>
        </w:rPr>
      </w:pPr>
      <w:r>
        <w:rPr>
          <w:b/>
          <w:bCs/>
        </w:rPr>
        <w:t>Proposal</w:t>
      </w:r>
      <w:r w:rsidRPr="004309CA">
        <w:rPr>
          <w:b/>
          <w:bCs/>
        </w:rPr>
        <w:t xml:space="preserve"> </w:t>
      </w:r>
      <w:r>
        <w:rPr>
          <w:b/>
          <w:bCs/>
        </w:rPr>
        <w:t>2: RAN2 to agree th</w:t>
      </w:r>
      <w:r>
        <w:rPr>
          <w:rFonts w:hint="eastAsia"/>
          <w:b/>
          <w:bCs/>
        </w:rPr>
        <w:t>a</w:t>
      </w:r>
      <w:r>
        <w:rPr>
          <w:b/>
          <w:bCs/>
        </w:rPr>
        <w:t xml:space="preserve">t the </w:t>
      </w:r>
      <w:proofErr w:type="spellStart"/>
      <w:r w:rsidRPr="005E0E1C">
        <w:rPr>
          <w:b/>
          <w:bCs/>
          <w:i/>
          <w:iCs/>
        </w:rPr>
        <w:t>serviceType</w:t>
      </w:r>
      <w:proofErr w:type="spellEnd"/>
      <w:r>
        <w:rPr>
          <w:b/>
          <w:bCs/>
          <w:i/>
          <w:iCs/>
        </w:rPr>
        <w:t xml:space="preserve"> </w:t>
      </w:r>
      <w:r>
        <w:rPr>
          <w:b/>
          <w:bCs/>
        </w:rPr>
        <w:t>IE defined in TS 36.331 should be further extended to include new service type.</w:t>
      </w:r>
    </w:p>
    <w:p w14:paraId="27B22D08" w14:textId="58343413" w:rsidR="00F17304" w:rsidRDefault="00F17304" w:rsidP="0068057D">
      <w:pPr>
        <w:rPr>
          <w:b/>
          <w:bCs/>
        </w:rPr>
      </w:pPr>
      <w:r w:rsidRPr="003770B6">
        <w:rPr>
          <w:b/>
          <w:bCs/>
        </w:rPr>
        <w:t>Proposal 3: RAN2 to agree to reuse QMC activation principle in case of handover in LTE for NR as well.</w:t>
      </w:r>
    </w:p>
    <w:p w14:paraId="7E7F5433" w14:textId="59E3BB10" w:rsidR="0068057D" w:rsidRDefault="00F17304" w:rsidP="0068057D">
      <w:pPr>
        <w:rPr>
          <w:b/>
          <w:bCs/>
        </w:rPr>
      </w:pPr>
      <w:r w:rsidRPr="00F17304">
        <w:rPr>
          <w:b/>
          <w:bCs/>
        </w:rPr>
        <w:t xml:space="preserve">Observation 1: measurement quantities for throughput and transmission latency have been defined in TS 28.552 or Ts 38.314 already, </w:t>
      </w:r>
      <w:r w:rsidR="000518DA">
        <w:rPr>
          <w:b/>
          <w:bCs/>
        </w:rPr>
        <w:t>which makes</w:t>
      </w:r>
      <w:r w:rsidRPr="00F17304">
        <w:rPr>
          <w:b/>
          <w:bCs/>
        </w:rPr>
        <w:t xml:space="preserve"> exposing App layer related measurement results to RAN </w:t>
      </w:r>
      <w:r w:rsidR="000518DA">
        <w:rPr>
          <w:b/>
          <w:bCs/>
        </w:rPr>
        <w:t xml:space="preserve">may be </w:t>
      </w:r>
      <w:r w:rsidRPr="00F17304">
        <w:rPr>
          <w:b/>
          <w:bCs/>
        </w:rPr>
        <w:t xml:space="preserve">redundant.   </w:t>
      </w:r>
    </w:p>
    <w:p w14:paraId="108C401D" w14:textId="6F845034" w:rsidR="00A21496" w:rsidRDefault="00A21496" w:rsidP="0068057D">
      <w:pPr>
        <w:rPr>
          <w:b/>
          <w:bCs/>
        </w:rPr>
      </w:pPr>
    </w:p>
    <w:p w14:paraId="4205D985" w14:textId="13F354AF" w:rsidR="00A21496" w:rsidRPr="00C376DF" w:rsidRDefault="00A21496" w:rsidP="0068057D">
      <w:pPr>
        <w:rPr>
          <w:rFonts w:ascii="Arial" w:hAnsi="Arial" w:cs="Arial"/>
          <w:b/>
          <w:bCs/>
          <w:sz w:val="36"/>
          <w:szCs w:val="36"/>
        </w:rPr>
      </w:pPr>
      <w:r w:rsidRPr="00C376DF">
        <w:rPr>
          <w:rFonts w:ascii="Arial" w:hAnsi="Arial" w:cs="Arial"/>
          <w:b/>
          <w:bCs/>
          <w:sz w:val="36"/>
          <w:szCs w:val="36"/>
        </w:rPr>
        <w:t>Reference:</w:t>
      </w:r>
    </w:p>
    <w:p w14:paraId="7A5D89CA" w14:textId="77777777" w:rsidR="00E634B8" w:rsidRDefault="00A21496" w:rsidP="0068057D">
      <w:pPr>
        <w:rPr>
          <w:szCs w:val="22"/>
        </w:rPr>
      </w:pPr>
      <w:r w:rsidRPr="00A21496">
        <w:rPr>
          <w:szCs w:val="22"/>
        </w:rPr>
        <w:t>[1] R2-2008728</w:t>
      </w:r>
      <w:r>
        <w:rPr>
          <w:szCs w:val="22"/>
        </w:rPr>
        <w:t xml:space="preserve">, </w:t>
      </w:r>
      <w:r w:rsidRPr="00A21496">
        <w:rPr>
          <w:szCs w:val="22"/>
        </w:rPr>
        <w:t xml:space="preserve">LS on Transport of NR </w:t>
      </w:r>
      <w:proofErr w:type="spellStart"/>
      <w:r w:rsidRPr="00A21496">
        <w:rPr>
          <w:szCs w:val="22"/>
        </w:rPr>
        <w:t>QoE</w:t>
      </w:r>
      <w:proofErr w:type="spellEnd"/>
      <w:r w:rsidRPr="00A21496">
        <w:rPr>
          <w:szCs w:val="22"/>
        </w:rPr>
        <w:t xml:space="preserve"> Reports in the RAN</w:t>
      </w:r>
      <w:r>
        <w:rPr>
          <w:szCs w:val="22"/>
        </w:rPr>
        <w:t>, RAN3</w:t>
      </w:r>
      <w:r w:rsidR="00E634B8">
        <w:rPr>
          <w:szCs w:val="22"/>
        </w:rPr>
        <w:t>.</w:t>
      </w:r>
    </w:p>
    <w:p w14:paraId="79048906" w14:textId="0B705885" w:rsidR="00A21496" w:rsidRPr="00A21496" w:rsidRDefault="00E634B8" w:rsidP="0068057D">
      <w:pPr>
        <w:rPr>
          <w:szCs w:val="22"/>
        </w:rPr>
      </w:pPr>
      <w:r>
        <w:rPr>
          <w:szCs w:val="22"/>
        </w:rPr>
        <w:t xml:space="preserve">[2] </w:t>
      </w:r>
      <w:r>
        <w:t>R2-2010004,</w:t>
      </w:r>
      <w:r w:rsidR="00A21496">
        <w:rPr>
          <w:szCs w:val="22"/>
        </w:rPr>
        <w:t xml:space="preserve"> </w:t>
      </w:r>
      <w:r w:rsidRPr="00E634B8">
        <w:rPr>
          <w:szCs w:val="22"/>
        </w:rPr>
        <w:t xml:space="preserve">Mobility Support for NR </w:t>
      </w:r>
      <w:proofErr w:type="spellStart"/>
      <w:r w:rsidRPr="00E634B8">
        <w:rPr>
          <w:szCs w:val="22"/>
        </w:rPr>
        <w:t>QoE</w:t>
      </w:r>
      <w:proofErr w:type="spellEnd"/>
      <w:r w:rsidRPr="00E634B8">
        <w:rPr>
          <w:szCs w:val="22"/>
        </w:rPr>
        <w:t xml:space="preserve"> Management</w:t>
      </w:r>
      <w:r>
        <w:rPr>
          <w:szCs w:val="22"/>
        </w:rPr>
        <w:t>, Ericsson.</w:t>
      </w:r>
    </w:p>
    <w:sectPr w:rsidR="00A21496" w:rsidRPr="00A21496"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59828" w14:textId="77777777" w:rsidR="00232691" w:rsidRDefault="00232691">
      <w:pPr>
        <w:spacing w:after="0" w:line="240" w:lineRule="auto"/>
      </w:pPr>
      <w:r>
        <w:separator/>
      </w:r>
    </w:p>
  </w:endnote>
  <w:endnote w:type="continuationSeparator" w:id="0">
    <w:p w14:paraId="3BCF04A2" w14:textId="77777777" w:rsidR="00232691" w:rsidRDefault="00232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B294C" w14:textId="77777777" w:rsidR="00232691" w:rsidRDefault="00232691">
      <w:pPr>
        <w:spacing w:after="0" w:line="240" w:lineRule="auto"/>
      </w:pPr>
      <w:r>
        <w:separator/>
      </w:r>
    </w:p>
  </w:footnote>
  <w:footnote w:type="continuationSeparator" w:id="0">
    <w:p w14:paraId="53684225" w14:textId="77777777" w:rsidR="00232691" w:rsidRDefault="002326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9"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979"/>
        </w:tabs>
        <w:ind w:left="979" w:hanging="360"/>
      </w:pPr>
      <w:rPr>
        <w:rFonts w:ascii="Courier New" w:hAnsi="Courier New" w:cs="Courier New" w:hint="default"/>
      </w:rPr>
    </w:lvl>
    <w:lvl w:ilvl="2" w:tplc="04090005">
      <w:start w:val="1"/>
      <w:numFmt w:val="bullet"/>
      <w:lvlText w:val=""/>
      <w:lvlJc w:val="left"/>
      <w:pPr>
        <w:tabs>
          <w:tab w:val="num" w:pos="1699"/>
        </w:tabs>
        <w:ind w:left="1699" w:hanging="360"/>
      </w:pPr>
      <w:rPr>
        <w:rFonts w:ascii="Wingdings" w:hAnsi="Wingdings" w:hint="default"/>
      </w:rPr>
    </w:lvl>
    <w:lvl w:ilvl="3" w:tplc="04090001">
      <w:start w:val="1"/>
      <w:numFmt w:val="bullet"/>
      <w:lvlText w:val=""/>
      <w:lvlJc w:val="left"/>
      <w:pPr>
        <w:tabs>
          <w:tab w:val="num" w:pos="2419"/>
        </w:tabs>
        <w:ind w:left="2419" w:hanging="360"/>
      </w:pPr>
      <w:rPr>
        <w:rFonts w:ascii="Symbol" w:hAnsi="Symbol" w:hint="default"/>
      </w:rPr>
    </w:lvl>
    <w:lvl w:ilvl="4" w:tplc="04090003">
      <w:start w:val="1"/>
      <w:numFmt w:val="bullet"/>
      <w:lvlText w:val="o"/>
      <w:lvlJc w:val="left"/>
      <w:pPr>
        <w:tabs>
          <w:tab w:val="num" w:pos="3139"/>
        </w:tabs>
        <w:ind w:left="3139" w:hanging="360"/>
      </w:pPr>
      <w:rPr>
        <w:rFonts w:ascii="Courier New" w:hAnsi="Courier New" w:cs="Courier New" w:hint="default"/>
      </w:rPr>
    </w:lvl>
    <w:lvl w:ilvl="5" w:tplc="04090005">
      <w:start w:val="1"/>
      <w:numFmt w:val="bullet"/>
      <w:lvlText w:val=""/>
      <w:lvlJc w:val="left"/>
      <w:pPr>
        <w:tabs>
          <w:tab w:val="num" w:pos="3859"/>
        </w:tabs>
        <w:ind w:left="3859" w:hanging="360"/>
      </w:pPr>
      <w:rPr>
        <w:rFonts w:ascii="Wingdings" w:hAnsi="Wingdings" w:hint="default"/>
      </w:rPr>
    </w:lvl>
    <w:lvl w:ilvl="6" w:tplc="04090001">
      <w:start w:val="1"/>
      <w:numFmt w:val="bullet"/>
      <w:lvlText w:val=""/>
      <w:lvlJc w:val="left"/>
      <w:pPr>
        <w:tabs>
          <w:tab w:val="num" w:pos="4579"/>
        </w:tabs>
        <w:ind w:left="4579" w:hanging="360"/>
      </w:pPr>
      <w:rPr>
        <w:rFonts w:ascii="Symbol" w:hAnsi="Symbol" w:hint="default"/>
      </w:rPr>
    </w:lvl>
    <w:lvl w:ilvl="7" w:tplc="04090003">
      <w:start w:val="1"/>
      <w:numFmt w:val="bullet"/>
      <w:lvlText w:val="o"/>
      <w:lvlJc w:val="left"/>
      <w:pPr>
        <w:tabs>
          <w:tab w:val="num" w:pos="5299"/>
        </w:tabs>
        <w:ind w:left="5299" w:hanging="360"/>
      </w:pPr>
      <w:rPr>
        <w:rFonts w:ascii="Courier New" w:hAnsi="Courier New" w:cs="Courier New" w:hint="default"/>
      </w:rPr>
    </w:lvl>
    <w:lvl w:ilvl="8" w:tplc="04090005">
      <w:start w:val="1"/>
      <w:numFmt w:val="bullet"/>
      <w:lvlText w:val=""/>
      <w:lvlJc w:val="left"/>
      <w:pPr>
        <w:tabs>
          <w:tab w:val="num" w:pos="6019"/>
        </w:tabs>
        <w:ind w:left="6019" w:hanging="360"/>
      </w:pPr>
      <w:rPr>
        <w:rFonts w:ascii="Wingdings" w:hAnsi="Wingdings" w:hint="default"/>
      </w:rPr>
    </w:lvl>
  </w:abstractNum>
  <w:abstractNum w:abstractNumId="33"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2"/>
  </w:num>
  <w:num w:numId="3">
    <w:abstractNumId w:val="35"/>
  </w:num>
  <w:num w:numId="4">
    <w:abstractNumId w:val="6"/>
  </w:num>
  <w:num w:numId="5">
    <w:abstractNumId w:val="1"/>
  </w:num>
  <w:num w:numId="6">
    <w:abstractNumId w:val="14"/>
  </w:num>
  <w:num w:numId="7">
    <w:abstractNumId w:val="5"/>
  </w:num>
  <w:num w:numId="8">
    <w:abstractNumId w:val="34"/>
  </w:num>
  <w:num w:numId="9">
    <w:abstractNumId w:val="12"/>
  </w:num>
  <w:num w:numId="10">
    <w:abstractNumId w:val="9"/>
  </w:num>
  <w:num w:numId="11">
    <w:abstractNumId w:val="8"/>
  </w:num>
  <w:num w:numId="12">
    <w:abstractNumId w:val="37"/>
  </w:num>
  <w:num w:numId="13">
    <w:abstractNumId w:val="19"/>
  </w:num>
  <w:num w:numId="14">
    <w:abstractNumId w:val="26"/>
  </w:num>
  <w:num w:numId="15">
    <w:abstractNumId w:val="28"/>
  </w:num>
  <w:num w:numId="16">
    <w:abstractNumId w:val="31"/>
  </w:num>
  <w:num w:numId="17">
    <w:abstractNumId w:val="11"/>
  </w:num>
  <w:num w:numId="18">
    <w:abstractNumId w:val="0"/>
  </w:num>
  <w:num w:numId="19">
    <w:abstractNumId w:val="10"/>
  </w:num>
  <w:num w:numId="20">
    <w:abstractNumId w:val="22"/>
  </w:num>
  <w:num w:numId="21">
    <w:abstractNumId w:val="17"/>
  </w:num>
  <w:num w:numId="22">
    <w:abstractNumId w:val="20"/>
  </w:num>
  <w:num w:numId="23">
    <w:abstractNumId w:val="24"/>
  </w:num>
  <w:num w:numId="24">
    <w:abstractNumId w:val="2"/>
  </w:num>
  <w:num w:numId="25">
    <w:abstractNumId w:val="36"/>
  </w:num>
  <w:num w:numId="26">
    <w:abstractNumId w:val="7"/>
  </w:num>
  <w:num w:numId="27">
    <w:abstractNumId w:val="16"/>
  </w:num>
  <w:num w:numId="28">
    <w:abstractNumId w:val="21"/>
  </w:num>
  <w:num w:numId="29">
    <w:abstractNumId w:val="4"/>
  </w:num>
  <w:num w:numId="30">
    <w:abstractNumId w:val="29"/>
  </w:num>
  <w:num w:numId="31">
    <w:abstractNumId w:val="15"/>
  </w:num>
  <w:num w:numId="32">
    <w:abstractNumId w:val="38"/>
  </w:num>
  <w:num w:numId="33">
    <w:abstractNumId w:val="25"/>
  </w:num>
  <w:num w:numId="34">
    <w:abstractNumId w:val="27"/>
  </w:num>
  <w:num w:numId="35">
    <w:abstractNumId w:val="23"/>
  </w:num>
  <w:num w:numId="36">
    <w:abstractNumId w:val="33"/>
  </w:num>
  <w:num w:numId="37">
    <w:abstractNumId w:val="3"/>
  </w:num>
  <w:num w:numId="38">
    <w:abstractNumId w:val="30"/>
  </w:num>
  <w:num w:numId="3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7841"/>
    <w:rsid w:val="00057D4F"/>
    <w:rsid w:val="00060866"/>
    <w:rsid w:val="0006110E"/>
    <w:rsid w:val="00061AF1"/>
    <w:rsid w:val="000620FA"/>
    <w:rsid w:val="0006279D"/>
    <w:rsid w:val="00062C01"/>
    <w:rsid w:val="00063D5C"/>
    <w:rsid w:val="00064948"/>
    <w:rsid w:val="00064984"/>
    <w:rsid w:val="00064A57"/>
    <w:rsid w:val="00064B50"/>
    <w:rsid w:val="00064CF1"/>
    <w:rsid w:val="00065513"/>
    <w:rsid w:val="00066915"/>
    <w:rsid w:val="0006754D"/>
    <w:rsid w:val="0007067A"/>
    <w:rsid w:val="00070914"/>
    <w:rsid w:val="00071DE3"/>
    <w:rsid w:val="000723DF"/>
    <w:rsid w:val="00075AF8"/>
    <w:rsid w:val="000761EB"/>
    <w:rsid w:val="000836D0"/>
    <w:rsid w:val="00083A7E"/>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3B77"/>
    <w:rsid w:val="001041B8"/>
    <w:rsid w:val="00104B12"/>
    <w:rsid w:val="00104E02"/>
    <w:rsid w:val="00104F85"/>
    <w:rsid w:val="00106D0F"/>
    <w:rsid w:val="001072F6"/>
    <w:rsid w:val="00111086"/>
    <w:rsid w:val="001110CD"/>
    <w:rsid w:val="00111F3E"/>
    <w:rsid w:val="00112354"/>
    <w:rsid w:val="001127AE"/>
    <w:rsid w:val="0011350A"/>
    <w:rsid w:val="001141C8"/>
    <w:rsid w:val="00115666"/>
    <w:rsid w:val="00115741"/>
    <w:rsid w:val="0011638C"/>
    <w:rsid w:val="0012047F"/>
    <w:rsid w:val="00120571"/>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31C2"/>
    <w:rsid w:val="001936D1"/>
    <w:rsid w:val="001957CD"/>
    <w:rsid w:val="00195E21"/>
    <w:rsid w:val="001960C8"/>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933"/>
    <w:rsid w:val="00200F21"/>
    <w:rsid w:val="00203A04"/>
    <w:rsid w:val="0020504D"/>
    <w:rsid w:val="00205E07"/>
    <w:rsid w:val="0020630A"/>
    <w:rsid w:val="002065A6"/>
    <w:rsid w:val="002071CD"/>
    <w:rsid w:val="00207325"/>
    <w:rsid w:val="0020758F"/>
    <w:rsid w:val="002077BE"/>
    <w:rsid w:val="00207907"/>
    <w:rsid w:val="00210D38"/>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8D"/>
    <w:rsid w:val="002959D0"/>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37FFD"/>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3F9"/>
    <w:rsid w:val="00356971"/>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F6F"/>
    <w:rsid w:val="003915D9"/>
    <w:rsid w:val="00392A1F"/>
    <w:rsid w:val="00393A9C"/>
    <w:rsid w:val="00394081"/>
    <w:rsid w:val="00394732"/>
    <w:rsid w:val="00394DDF"/>
    <w:rsid w:val="003951F4"/>
    <w:rsid w:val="0039661C"/>
    <w:rsid w:val="00397024"/>
    <w:rsid w:val="00397442"/>
    <w:rsid w:val="003974EA"/>
    <w:rsid w:val="003A06D4"/>
    <w:rsid w:val="003A0BA7"/>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663"/>
    <w:rsid w:val="004044A9"/>
    <w:rsid w:val="00404D39"/>
    <w:rsid w:val="004056A1"/>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4938"/>
    <w:rsid w:val="0046506F"/>
    <w:rsid w:val="00465DA3"/>
    <w:rsid w:val="00466615"/>
    <w:rsid w:val="00467C9D"/>
    <w:rsid w:val="00467DC5"/>
    <w:rsid w:val="00470640"/>
    <w:rsid w:val="0047169A"/>
    <w:rsid w:val="0047205F"/>
    <w:rsid w:val="00472170"/>
    <w:rsid w:val="004723D6"/>
    <w:rsid w:val="004744B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AA8"/>
    <w:rsid w:val="004E13D8"/>
    <w:rsid w:val="004E1CA5"/>
    <w:rsid w:val="004E3041"/>
    <w:rsid w:val="004E30D9"/>
    <w:rsid w:val="004E38C2"/>
    <w:rsid w:val="004E4336"/>
    <w:rsid w:val="004E473D"/>
    <w:rsid w:val="004E5F54"/>
    <w:rsid w:val="004F07CB"/>
    <w:rsid w:val="004F1E0C"/>
    <w:rsid w:val="004F22C8"/>
    <w:rsid w:val="004F2485"/>
    <w:rsid w:val="004F2535"/>
    <w:rsid w:val="004F4A2A"/>
    <w:rsid w:val="004F5519"/>
    <w:rsid w:val="004F5F04"/>
    <w:rsid w:val="004F61FF"/>
    <w:rsid w:val="004F6FAE"/>
    <w:rsid w:val="004F7745"/>
    <w:rsid w:val="004F7DB0"/>
    <w:rsid w:val="00500815"/>
    <w:rsid w:val="00500CE8"/>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41BB"/>
    <w:rsid w:val="00534302"/>
    <w:rsid w:val="005346DC"/>
    <w:rsid w:val="005347FF"/>
    <w:rsid w:val="00535839"/>
    <w:rsid w:val="00535FE3"/>
    <w:rsid w:val="005379EC"/>
    <w:rsid w:val="0054032E"/>
    <w:rsid w:val="0054137E"/>
    <w:rsid w:val="005419B0"/>
    <w:rsid w:val="00542AE4"/>
    <w:rsid w:val="00542D7A"/>
    <w:rsid w:val="005433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A49"/>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2BE"/>
    <w:rsid w:val="005F046B"/>
    <w:rsid w:val="005F09CD"/>
    <w:rsid w:val="005F15EE"/>
    <w:rsid w:val="005F1CD9"/>
    <w:rsid w:val="005F2DBC"/>
    <w:rsid w:val="005F3348"/>
    <w:rsid w:val="005F3676"/>
    <w:rsid w:val="005F4298"/>
    <w:rsid w:val="005F4D80"/>
    <w:rsid w:val="005F6811"/>
    <w:rsid w:val="005F72DE"/>
    <w:rsid w:val="005F74A9"/>
    <w:rsid w:val="006008AE"/>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3714"/>
    <w:rsid w:val="0064474B"/>
    <w:rsid w:val="00644981"/>
    <w:rsid w:val="00644B5E"/>
    <w:rsid w:val="00644EFD"/>
    <w:rsid w:val="0064515D"/>
    <w:rsid w:val="00646A44"/>
    <w:rsid w:val="00646D83"/>
    <w:rsid w:val="0065088A"/>
    <w:rsid w:val="00651CB3"/>
    <w:rsid w:val="00652103"/>
    <w:rsid w:val="00652B89"/>
    <w:rsid w:val="006533F9"/>
    <w:rsid w:val="00653BE6"/>
    <w:rsid w:val="0065490C"/>
    <w:rsid w:val="0065605A"/>
    <w:rsid w:val="00656311"/>
    <w:rsid w:val="00656802"/>
    <w:rsid w:val="00657CCB"/>
    <w:rsid w:val="0066020F"/>
    <w:rsid w:val="006609F9"/>
    <w:rsid w:val="00661B43"/>
    <w:rsid w:val="006622AF"/>
    <w:rsid w:val="0066244E"/>
    <w:rsid w:val="0066696E"/>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32AA"/>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BB9"/>
    <w:rsid w:val="007153AB"/>
    <w:rsid w:val="007154A9"/>
    <w:rsid w:val="007158AA"/>
    <w:rsid w:val="00717526"/>
    <w:rsid w:val="00720351"/>
    <w:rsid w:val="0072044E"/>
    <w:rsid w:val="0072108D"/>
    <w:rsid w:val="007214AC"/>
    <w:rsid w:val="00723633"/>
    <w:rsid w:val="00724F37"/>
    <w:rsid w:val="007305CE"/>
    <w:rsid w:val="00730B91"/>
    <w:rsid w:val="0073133A"/>
    <w:rsid w:val="007321C1"/>
    <w:rsid w:val="007325CC"/>
    <w:rsid w:val="007329B8"/>
    <w:rsid w:val="007329DF"/>
    <w:rsid w:val="0073316B"/>
    <w:rsid w:val="0073394F"/>
    <w:rsid w:val="00734039"/>
    <w:rsid w:val="00734E94"/>
    <w:rsid w:val="007366D6"/>
    <w:rsid w:val="00737720"/>
    <w:rsid w:val="00737AFA"/>
    <w:rsid w:val="00737B5A"/>
    <w:rsid w:val="00743584"/>
    <w:rsid w:val="007435EE"/>
    <w:rsid w:val="007437AF"/>
    <w:rsid w:val="007445FF"/>
    <w:rsid w:val="0075062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D0768"/>
    <w:rsid w:val="007D108D"/>
    <w:rsid w:val="007D1F7F"/>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655E"/>
    <w:rsid w:val="00896783"/>
    <w:rsid w:val="00896B52"/>
    <w:rsid w:val="008976A4"/>
    <w:rsid w:val="008A078C"/>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3551"/>
    <w:rsid w:val="0090548D"/>
    <w:rsid w:val="009062B9"/>
    <w:rsid w:val="00906440"/>
    <w:rsid w:val="00906674"/>
    <w:rsid w:val="009116DA"/>
    <w:rsid w:val="0091183B"/>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662"/>
    <w:rsid w:val="00986757"/>
    <w:rsid w:val="00987A72"/>
    <w:rsid w:val="00987DF5"/>
    <w:rsid w:val="00990EC3"/>
    <w:rsid w:val="009910BE"/>
    <w:rsid w:val="00992342"/>
    <w:rsid w:val="009931AE"/>
    <w:rsid w:val="00993CB9"/>
    <w:rsid w:val="00994418"/>
    <w:rsid w:val="00995DE2"/>
    <w:rsid w:val="00996BC6"/>
    <w:rsid w:val="00997422"/>
    <w:rsid w:val="009A1B5C"/>
    <w:rsid w:val="009A274E"/>
    <w:rsid w:val="009A2D1C"/>
    <w:rsid w:val="009A2FAC"/>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5666"/>
    <w:rsid w:val="00A469F2"/>
    <w:rsid w:val="00A471BC"/>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134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256D"/>
    <w:rsid w:val="00B03391"/>
    <w:rsid w:val="00B03FEE"/>
    <w:rsid w:val="00B04393"/>
    <w:rsid w:val="00B0454D"/>
    <w:rsid w:val="00B05EE7"/>
    <w:rsid w:val="00B06F34"/>
    <w:rsid w:val="00B07466"/>
    <w:rsid w:val="00B07C7E"/>
    <w:rsid w:val="00B07F79"/>
    <w:rsid w:val="00B10046"/>
    <w:rsid w:val="00B1038E"/>
    <w:rsid w:val="00B10A0D"/>
    <w:rsid w:val="00B11646"/>
    <w:rsid w:val="00B12C80"/>
    <w:rsid w:val="00B12D29"/>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46E"/>
    <w:rsid w:val="00C171C9"/>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4056"/>
    <w:rsid w:val="00C540C5"/>
    <w:rsid w:val="00C54699"/>
    <w:rsid w:val="00C55D52"/>
    <w:rsid w:val="00C5799D"/>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6A28"/>
    <w:rsid w:val="00C8017E"/>
    <w:rsid w:val="00C80B3A"/>
    <w:rsid w:val="00C81671"/>
    <w:rsid w:val="00C81D70"/>
    <w:rsid w:val="00C82715"/>
    <w:rsid w:val="00C82CE7"/>
    <w:rsid w:val="00C82D0B"/>
    <w:rsid w:val="00C846AB"/>
    <w:rsid w:val="00C87AFF"/>
    <w:rsid w:val="00C9063C"/>
    <w:rsid w:val="00C9086C"/>
    <w:rsid w:val="00C90D14"/>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9D3"/>
    <w:rsid w:val="00CC31BB"/>
    <w:rsid w:val="00CC513B"/>
    <w:rsid w:val="00CC5200"/>
    <w:rsid w:val="00CC63FF"/>
    <w:rsid w:val="00CC691D"/>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5A2"/>
    <w:rsid w:val="00D402E6"/>
    <w:rsid w:val="00D433EA"/>
    <w:rsid w:val="00D43A07"/>
    <w:rsid w:val="00D44305"/>
    <w:rsid w:val="00D44F6A"/>
    <w:rsid w:val="00D45B6A"/>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E007F3"/>
    <w:rsid w:val="00E01DA2"/>
    <w:rsid w:val="00E02B6C"/>
    <w:rsid w:val="00E043FD"/>
    <w:rsid w:val="00E04524"/>
    <w:rsid w:val="00E04C78"/>
    <w:rsid w:val="00E05082"/>
    <w:rsid w:val="00E05A5D"/>
    <w:rsid w:val="00E05AD2"/>
    <w:rsid w:val="00E05FE1"/>
    <w:rsid w:val="00E0649F"/>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EEB"/>
    <w:rsid w:val="00E60894"/>
    <w:rsid w:val="00E608C7"/>
    <w:rsid w:val="00E62BFE"/>
    <w:rsid w:val="00E634B8"/>
    <w:rsid w:val="00E637C6"/>
    <w:rsid w:val="00E63A5A"/>
    <w:rsid w:val="00E64518"/>
    <w:rsid w:val="00E6678C"/>
    <w:rsid w:val="00E66AEC"/>
    <w:rsid w:val="00E67198"/>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D098A"/>
    <w:rsid w:val="00ED11DE"/>
    <w:rsid w:val="00ED1E54"/>
    <w:rsid w:val="00ED29B9"/>
    <w:rsid w:val="00ED5693"/>
    <w:rsid w:val="00ED5981"/>
    <w:rsid w:val="00ED648A"/>
    <w:rsid w:val="00ED6579"/>
    <w:rsid w:val="00ED666D"/>
    <w:rsid w:val="00ED7AA9"/>
    <w:rsid w:val="00EE0E28"/>
    <w:rsid w:val="00EE198E"/>
    <w:rsid w:val="00EE2110"/>
    <w:rsid w:val="00EE31FD"/>
    <w:rsid w:val="00EE3380"/>
    <w:rsid w:val="00EE3CF8"/>
    <w:rsid w:val="00EE4275"/>
    <w:rsid w:val="00EE53B7"/>
    <w:rsid w:val="00EE53F0"/>
    <w:rsid w:val="00EE66EE"/>
    <w:rsid w:val="00EE779E"/>
    <w:rsid w:val="00EE7F6D"/>
    <w:rsid w:val="00EE7FB4"/>
    <w:rsid w:val="00EF017D"/>
    <w:rsid w:val="00EF03D3"/>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614D"/>
    <w:rsid w:val="00F27090"/>
    <w:rsid w:val="00F27EDE"/>
    <w:rsid w:val="00F30D72"/>
    <w:rsid w:val="00F32DDB"/>
    <w:rsid w:val="00F346BA"/>
    <w:rsid w:val="00F34E9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6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2</cp:revision>
  <cp:lastPrinted>2019-12-04T04:04:00Z</cp:lastPrinted>
  <dcterms:created xsi:type="dcterms:W3CDTF">2021-01-15T01:16:00Z</dcterms:created>
  <dcterms:modified xsi:type="dcterms:W3CDTF">2021-01-15T01:16:00Z</dcterms:modified>
</cp:coreProperties>
</file>