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310120" w14:textId="77777777" w:rsidR="004E51D4" w:rsidRDefault="00D93528">
      <w:pPr>
        <w:tabs>
          <w:tab w:val="left" w:pos="1985"/>
        </w:tabs>
        <w:spacing w:after="0"/>
        <w:rPr>
          <w:rFonts w:ascii="Arial" w:eastAsia="Arial" w:hAnsi="Arial" w:cs="Arial"/>
          <w:b/>
          <w:sz w:val="24"/>
          <w:szCs w:val="24"/>
        </w:rPr>
      </w:pPr>
      <w:r>
        <w:rPr>
          <w:rFonts w:ascii="Arial" w:eastAsia="Arial" w:hAnsi="Arial" w:cs="Arial"/>
          <w:b/>
          <w:sz w:val="24"/>
          <w:szCs w:val="24"/>
        </w:rPr>
        <w:t xml:space="preserve">3GPP TSG RAN </w:t>
      </w:r>
      <w:r>
        <w:rPr>
          <w:rFonts w:ascii="Arial" w:eastAsia="Arial" w:hAnsi="Arial" w:cs="Arial"/>
          <w:b/>
          <w:color w:val="FF0000"/>
          <w:sz w:val="24"/>
          <w:szCs w:val="24"/>
        </w:rPr>
        <w:t>WG2</w:t>
      </w:r>
      <w:r>
        <w:rPr>
          <w:rFonts w:ascii="Arial" w:eastAsia="Arial" w:hAnsi="Arial" w:cs="Arial"/>
          <w:b/>
          <w:sz w:val="24"/>
          <w:szCs w:val="24"/>
        </w:rPr>
        <w:t xml:space="preserve"> #113-e</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w:t>
      </w:r>
      <w:r>
        <w:rPr>
          <w:rFonts w:ascii="Arial" w:eastAsia="Arial" w:hAnsi="Arial" w:cs="Arial"/>
          <w:b/>
          <w:sz w:val="24"/>
          <w:szCs w:val="24"/>
        </w:rPr>
        <w:tab/>
      </w:r>
      <w:r>
        <w:rPr>
          <w:rFonts w:ascii="Arial" w:eastAsia="Arial" w:hAnsi="Arial" w:cs="Arial"/>
          <w:b/>
          <w:color w:val="FF0000"/>
          <w:sz w:val="24"/>
          <w:szCs w:val="24"/>
        </w:rPr>
        <w:t>R2</w:t>
      </w:r>
      <w:r>
        <w:rPr>
          <w:rFonts w:ascii="Arial" w:eastAsia="Arial" w:hAnsi="Arial" w:cs="Arial"/>
          <w:b/>
          <w:sz w:val="24"/>
          <w:szCs w:val="24"/>
        </w:rPr>
        <w:t>-</w:t>
      </w:r>
      <w:r w:rsidRPr="00AF440B">
        <w:rPr>
          <w:rFonts w:ascii="Arial" w:eastAsia="Arial" w:hAnsi="Arial" w:cs="Arial"/>
          <w:b/>
          <w:sz w:val="24"/>
          <w:szCs w:val="24"/>
        </w:rPr>
        <w:t>2100541</w:t>
      </w:r>
    </w:p>
    <w:p w14:paraId="4C04E4A4" w14:textId="77777777" w:rsidR="004E51D4" w:rsidRDefault="00D93528">
      <w:pPr>
        <w:tabs>
          <w:tab w:val="left" w:pos="1985"/>
        </w:tabs>
        <w:spacing w:after="0"/>
        <w:rPr>
          <w:rFonts w:ascii="Arial" w:eastAsia="Arial" w:hAnsi="Arial" w:cs="Arial"/>
          <w:b/>
          <w:sz w:val="24"/>
          <w:szCs w:val="24"/>
        </w:rPr>
      </w:pPr>
      <w:r>
        <w:rPr>
          <w:rFonts w:ascii="Arial" w:eastAsia="Arial" w:hAnsi="Arial" w:cs="Arial"/>
          <w:b/>
          <w:sz w:val="24"/>
          <w:szCs w:val="24"/>
        </w:rPr>
        <w:t>e-Meeting, January 25th – February 5th, 2021</w:t>
      </w:r>
    </w:p>
    <w:p w14:paraId="72C4545F" w14:textId="77777777" w:rsidR="004E51D4" w:rsidRDefault="004E51D4">
      <w:pPr>
        <w:tabs>
          <w:tab w:val="left" w:pos="1985"/>
        </w:tabs>
        <w:spacing w:after="0"/>
        <w:rPr>
          <w:rFonts w:ascii="Arial" w:eastAsia="Arial" w:hAnsi="Arial" w:cs="Arial"/>
          <w:b/>
          <w:sz w:val="24"/>
          <w:szCs w:val="24"/>
        </w:rPr>
      </w:pPr>
    </w:p>
    <w:p w14:paraId="70E5B6D2" w14:textId="77777777" w:rsidR="004E51D4" w:rsidRDefault="00D93528">
      <w:pPr>
        <w:tabs>
          <w:tab w:val="left" w:pos="1985"/>
        </w:tabs>
        <w:spacing w:after="0"/>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t>9.2.3</w:t>
      </w:r>
    </w:p>
    <w:p w14:paraId="37A38F4D" w14:textId="447CD2AC" w:rsidR="004E51D4" w:rsidRDefault="00D93528">
      <w:pPr>
        <w:tabs>
          <w:tab w:val="left" w:pos="1985"/>
        </w:tabs>
        <w:spacing w:after="0"/>
        <w:rPr>
          <w:rFonts w:ascii="Arial" w:eastAsia="Arial" w:hAnsi="Arial" w:cs="Arial"/>
          <w:sz w:val="24"/>
          <w:szCs w:val="24"/>
          <w:highlight w:val="yellow"/>
        </w:rPr>
      </w:pPr>
      <w:r>
        <w:rPr>
          <w:rFonts w:ascii="Arial" w:eastAsia="Arial" w:hAnsi="Arial" w:cs="Arial"/>
          <w:b/>
          <w:sz w:val="24"/>
          <w:szCs w:val="24"/>
        </w:rPr>
        <w:t xml:space="preserve">Source: </w:t>
      </w:r>
      <w:r>
        <w:rPr>
          <w:rFonts w:ascii="Arial" w:eastAsia="Arial" w:hAnsi="Arial" w:cs="Arial"/>
          <w:b/>
          <w:sz w:val="24"/>
          <w:szCs w:val="24"/>
        </w:rPr>
        <w:tab/>
      </w:r>
      <w:r>
        <w:rPr>
          <w:rFonts w:ascii="Arial" w:eastAsia="Arial" w:hAnsi="Arial" w:cs="Arial"/>
          <w:sz w:val="24"/>
          <w:szCs w:val="24"/>
        </w:rPr>
        <w:t xml:space="preserve">Gatehouse, </w:t>
      </w:r>
      <w:proofErr w:type="spellStart"/>
      <w:r>
        <w:rPr>
          <w:rFonts w:ascii="Arial" w:eastAsia="Arial" w:hAnsi="Arial" w:cs="Arial"/>
          <w:sz w:val="24"/>
          <w:szCs w:val="24"/>
        </w:rPr>
        <w:t>Sateliot</w:t>
      </w:r>
      <w:proofErr w:type="spellEnd"/>
    </w:p>
    <w:p w14:paraId="18BD3DF0" w14:textId="77777777" w:rsidR="004E51D4" w:rsidRDefault="00D93528">
      <w:pPr>
        <w:tabs>
          <w:tab w:val="left" w:pos="1985"/>
        </w:tabs>
        <w:spacing w:after="0"/>
        <w:rPr>
          <w:rFonts w:ascii="Arial" w:eastAsia="Arial" w:hAnsi="Arial" w:cs="Arial"/>
          <w:sz w:val="24"/>
          <w:szCs w:val="24"/>
        </w:rPr>
      </w:pPr>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r>
      <w:r>
        <w:rPr>
          <w:rFonts w:ascii="Arial" w:eastAsia="Arial" w:hAnsi="Arial" w:cs="Arial"/>
          <w:sz w:val="24"/>
          <w:szCs w:val="24"/>
        </w:rPr>
        <w:t>Discussion on the service link discontinuity and affected procedures for NB-IoT NTN</w:t>
      </w:r>
    </w:p>
    <w:p w14:paraId="2EFDE62C" w14:textId="77777777" w:rsidR="004E51D4" w:rsidRDefault="00D93528">
      <w:pPr>
        <w:pBdr>
          <w:bottom w:val="single" w:sz="12" w:space="1" w:color="000000"/>
        </w:pBdr>
        <w:tabs>
          <w:tab w:val="left" w:pos="1985"/>
        </w:tabs>
        <w:spacing w:after="480"/>
        <w:rPr>
          <w:rFonts w:ascii="Arial" w:eastAsia="Arial" w:hAnsi="Arial" w:cs="Arial"/>
          <w:sz w:val="24"/>
          <w:szCs w:val="24"/>
        </w:rPr>
      </w:pPr>
      <w:r>
        <w:rPr>
          <w:rFonts w:ascii="Arial" w:eastAsia="Arial" w:hAnsi="Arial" w:cs="Arial"/>
          <w:b/>
          <w:sz w:val="24"/>
          <w:szCs w:val="24"/>
        </w:rPr>
        <w:t>Document for:</w:t>
      </w:r>
      <w:r>
        <w:rPr>
          <w:rFonts w:ascii="Arial" w:eastAsia="Arial" w:hAnsi="Arial" w:cs="Arial"/>
          <w:sz w:val="24"/>
          <w:szCs w:val="24"/>
        </w:rPr>
        <w:tab/>
        <w:t>Discussion and Decision</w:t>
      </w:r>
    </w:p>
    <w:p w14:paraId="5D73F27C" w14:textId="77777777" w:rsidR="004E51D4" w:rsidRDefault="00D93528">
      <w:pPr>
        <w:pStyle w:val="Heading1"/>
      </w:pPr>
      <w:r>
        <w:t>1. Introduction</w:t>
      </w:r>
    </w:p>
    <w:p w14:paraId="442A6A58" w14:textId="77777777" w:rsidR="004E51D4" w:rsidRDefault="00D93528">
      <w:pPr>
        <w:spacing w:before="0" w:after="120"/>
      </w:pPr>
      <w:r>
        <w:t xml:space="preserve">In RAN1#103 meeting, contribution [1] proposed to include the consideration of an NB-IoT NTN scenario for </w:t>
      </w:r>
      <w:r>
        <w:t>small satell</w:t>
      </w:r>
      <w:r>
        <w:t xml:space="preserve">ites such as </w:t>
      </w:r>
      <w:r>
        <w:t xml:space="preserve">CubeSats as part of the IoT NTN SI work [2]. The main motivation was to ensure that 3GPP is able to come up with an adaptation/enhancement of the NB-IoT protocol for NTN that is also suitable for deployment in such scenarios, which are likely </w:t>
      </w:r>
      <w:r>
        <w:t>to be characterized by a restricted link budget due to limitations in the transmit power, antenna gains and number of beams that can be supported in microsatellite platforms such as Cube</w:t>
      </w:r>
      <w:r>
        <w:t>S</w:t>
      </w:r>
      <w:r>
        <w:t>ats.</w:t>
      </w:r>
    </w:p>
    <w:p w14:paraId="2A3E9001" w14:textId="77777777" w:rsidR="004E51D4" w:rsidRDefault="00D93528">
      <w:pPr>
        <w:spacing w:before="0" w:after="120"/>
        <w:rPr>
          <w:i/>
          <w:u w:val="single"/>
        </w:rPr>
      </w:pPr>
      <w:r>
        <w:t>Discussion was held during the meeting, leading to the following</w:t>
      </w:r>
      <w:r>
        <w:t xml:space="preserve"> conclusions/recommendations on the way forward </w:t>
      </w:r>
      <w:proofErr w:type="spellStart"/>
      <w:r>
        <w:t>wrt</w:t>
      </w:r>
      <w:proofErr w:type="spellEnd"/>
      <w:r>
        <w:t xml:space="preserve"> the consideration to be given to </w:t>
      </w:r>
      <w:r>
        <w:rPr>
          <w:i/>
        </w:rPr>
        <w:t>cube satellite</w:t>
      </w:r>
      <w:r>
        <w:t xml:space="preserve"> scenarios [3]:</w:t>
      </w:r>
    </w:p>
    <w:tbl>
      <w:tblPr>
        <w:tblStyle w:val="a"/>
        <w:tblW w:w="9495" w:type="dxa"/>
        <w:tblInd w:w="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0"/>
        <w:gridCol w:w="7995"/>
      </w:tblGrid>
      <w:tr w:rsidR="004E51D4" w14:paraId="45A09E49" w14:textId="77777777">
        <w:tc>
          <w:tcPr>
            <w:tcW w:w="1500" w:type="dxa"/>
            <w:shd w:val="clear" w:color="auto" w:fill="auto"/>
            <w:tcMar>
              <w:top w:w="100" w:type="dxa"/>
              <w:left w:w="100" w:type="dxa"/>
              <w:bottom w:w="100" w:type="dxa"/>
              <w:right w:w="100" w:type="dxa"/>
            </w:tcMar>
          </w:tcPr>
          <w:p w14:paraId="3D274EA1" w14:textId="77777777" w:rsidR="004E51D4" w:rsidRDefault="00D93528">
            <w:pPr>
              <w:widowControl w:val="0"/>
              <w:pBdr>
                <w:top w:val="nil"/>
                <w:left w:val="nil"/>
                <w:bottom w:val="nil"/>
                <w:right w:val="nil"/>
                <w:between w:val="nil"/>
              </w:pBdr>
              <w:spacing w:before="0" w:after="0"/>
              <w:jc w:val="left"/>
              <w:rPr>
                <w:b/>
              </w:rPr>
            </w:pPr>
            <w:r>
              <w:rPr>
                <w:b/>
              </w:rPr>
              <w:t>IoT NTN Scenarios</w:t>
            </w:r>
          </w:p>
        </w:tc>
        <w:tc>
          <w:tcPr>
            <w:tcW w:w="7995" w:type="dxa"/>
            <w:shd w:val="clear" w:color="auto" w:fill="auto"/>
            <w:tcMar>
              <w:top w:w="100" w:type="dxa"/>
              <w:left w:w="100" w:type="dxa"/>
              <w:bottom w:w="100" w:type="dxa"/>
              <w:right w:w="100" w:type="dxa"/>
            </w:tcMar>
          </w:tcPr>
          <w:p w14:paraId="28004F48" w14:textId="77777777" w:rsidR="004E51D4" w:rsidRDefault="00D93528">
            <w:pPr>
              <w:spacing w:before="240" w:after="240"/>
              <w:rPr>
                <w:i/>
              </w:rPr>
            </w:pPr>
            <w:r>
              <w:rPr>
                <w:i/>
              </w:rPr>
              <w:t>It was observed that Cube satellite is one type of LEO satellite covered by either scenario B or C. There was no consensus on agreeing parameters specific to Cube satellites (i.e. maximum beam diameter). Moderator view is that more discussion needed on Cub</w:t>
            </w:r>
            <w:r>
              <w:rPr>
                <w:i/>
              </w:rPr>
              <w:t>e satellite scenarios in RAN1#104e.</w:t>
            </w:r>
          </w:p>
          <w:p w14:paraId="2EEE3A00" w14:textId="77777777" w:rsidR="004E51D4" w:rsidRDefault="00D93528">
            <w:pPr>
              <w:spacing w:before="240" w:after="240"/>
              <w:ind w:left="360" w:hanging="360"/>
              <w:rPr>
                <w:i/>
              </w:rPr>
            </w:pPr>
            <w:r>
              <w:rPr>
                <w:i/>
                <w:sz w:val="14"/>
                <w:szCs w:val="14"/>
              </w:rPr>
              <w:t xml:space="preserve"> </w:t>
            </w:r>
            <w:r>
              <w:rPr>
                <w:b/>
                <w:i/>
                <w:highlight w:val="cyan"/>
                <w:u w:val="single"/>
              </w:rPr>
              <w:t>FL recommendation on Cube satellites</w:t>
            </w:r>
            <w:r>
              <w:rPr>
                <w:i/>
              </w:rPr>
              <w:t>: Companies are encouraged to further discuss and contribute in RAN1#104e on Cube satellites scenarios.</w:t>
            </w:r>
          </w:p>
          <w:p w14:paraId="0433D85D" w14:textId="77777777" w:rsidR="004E51D4" w:rsidRDefault="00D93528">
            <w:pPr>
              <w:spacing w:before="240" w:after="240"/>
              <w:ind w:left="1080" w:hanging="360"/>
              <w:rPr>
                <w:i/>
              </w:rPr>
            </w:pPr>
            <w:r>
              <w:rPr>
                <w:rFonts w:ascii="Courier New" w:eastAsia="Courier New" w:hAnsi="Courier New" w:cs="Courier New"/>
                <w:i/>
              </w:rPr>
              <w:t>o</w:t>
            </w:r>
            <w:r>
              <w:rPr>
                <w:i/>
                <w:sz w:val="14"/>
                <w:szCs w:val="14"/>
              </w:rPr>
              <w:t xml:space="preserve">    </w:t>
            </w:r>
            <w:r>
              <w:rPr>
                <w:i/>
              </w:rPr>
              <w:t>Cube satellite scenarios is a special case of scenario B or C of IoT NTN, where cube satellite has the size and power limitations typically associated with microsatellites and low-density constellations [2].</w:t>
            </w:r>
          </w:p>
          <w:p w14:paraId="54000A67" w14:textId="77777777" w:rsidR="004E51D4" w:rsidRDefault="00D93528">
            <w:pPr>
              <w:spacing w:before="240" w:after="240"/>
              <w:ind w:left="1080" w:hanging="360"/>
              <w:rPr>
                <w:i/>
              </w:rPr>
            </w:pPr>
            <w:r>
              <w:rPr>
                <w:rFonts w:ascii="Courier New" w:eastAsia="Courier New" w:hAnsi="Courier New" w:cs="Courier New"/>
                <w:i/>
              </w:rPr>
              <w:t>o</w:t>
            </w:r>
            <w:r>
              <w:rPr>
                <w:i/>
                <w:sz w:val="14"/>
                <w:szCs w:val="14"/>
              </w:rPr>
              <w:t xml:space="preserve">    </w:t>
            </w:r>
            <w:r>
              <w:rPr>
                <w:i/>
              </w:rPr>
              <w:t>Companies can consider aspects related to</w:t>
            </w:r>
          </w:p>
          <w:p w14:paraId="209BE81D" w14:textId="77777777" w:rsidR="004E51D4" w:rsidRDefault="00D93528">
            <w:pPr>
              <w:spacing w:before="240" w:after="240"/>
              <w:ind w:left="1800" w:hanging="360"/>
              <w:rPr>
                <w:i/>
              </w:rPr>
            </w:pPr>
            <w:r>
              <w:rPr>
                <w:i/>
              </w:rPr>
              <w:t>§</w:t>
            </w:r>
            <w:r>
              <w:rPr>
                <w:i/>
                <w:sz w:val="14"/>
                <w:szCs w:val="14"/>
              </w:rPr>
              <w:t xml:space="preserve">  </w:t>
            </w:r>
            <w:r>
              <w:rPr>
                <w:i/>
              </w:rPr>
              <w:t>Restricted link budget consistent with extreme coverage assumption, due to relatively much smaller maximum transmission power, smaller antenna gains and number of beams.</w:t>
            </w:r>
          </w:p>
          <w:p w14:paraId="18245A15" w14:textId="77777777" w:rsidR="004E51D4" w:rsidRDefault="00D93528">
            <w:pPr>
              <w:spacing w:before="240" w:after="240"/>
              <w:ind w:left="1800" w:hanging="360"/>
              <w:rPr>
                <w:i/>
              </w:rPr>
            </w:pPr>
            <w:r>
              <w:rPr>
                <w:i/>
              </w:rPr>
              <w:t>§</w:t>
            </w:r>
            <w:r>
              <w:rPr>
                <w:i/>
                <w:sz w:val="14"/>
                <w:szCs w:val="14"/>
              </w:rPr>
              <w:t xml:space="preserve">  </w:t>
            </w:r>
            <w:r>
              <w:rPr>
                <w:b/>
                <w:i/>
                <w:highlight w:val="cyan"/>
                <w:u w:val="single"/>
              </w:rPr>
              <w:t>Discontinuous service link</w:t>
            </w:r>
            <w:r>
              <w:rPr>
                <w:i/>
              </w:rPr>
              <w:t xml:space="preserve"> coverage due to very sparse satellite constellations w</w:t>
            </w:r>
            <w:r>
              <w:rPr>
                <w:i/>
              </w:rPr>
              <w:t>here UE devices can remain long periods of time without being able to detect a satellite cell.</w:t>
            </w:r>
          </w:p>
        </w:tc>
      </w:tr>
    </w:tbl>
    <w:p w14:paraId="3DE53B60" w14:textId="77777777" w:rsidR="004E51D4" w:rsidRDefault="004E51D4">
      <w:pPr>
        <w:spacing w:before="0" w:after="120"/>
      </w:pPr>
    </w:p>
    <w:p w14:paraId="1E239816" w14:textId="77777777" w:rsidR="004E51D4" w:rsidRDefault="00D93528">
      <w:pPr>
        <w:spacing w:before="0" w:after="120"/>
      </w:pPr>
      <w:r>
        <w:t xml:space="preserve">Authors of this contribution believe support for discontinuous service link coverage will require adaptations by RAN WG2. It’s worth noting that discontinuous </w:t>
      </w:r>
      <w:r>
        <w:t>service link coverage is not restricted to scenarios with microsatellites/CubeSats but applies to any LEO scenario where the size of the constellation and footprint of satellites cannot guarantee that terminals always have visibility with one or more satel</w:t>
      </w:r>
      <w:r>
        <w:t>lites.</w:t>
      </w:r>
    </w:p>
    <w:p w14:paraId="568E3F09" w14:textId="77777777" w:rsidR="004E51D4" w:rsidRDefault="00D93528">
      <w:pPr>
        <w:spacing w:before="0" w:after="120"/>
      </w:pPr>
      <w:r>
        <w:t>The purpose of this contribution is to highlight areas which should be included under the study item FS-LTE-NBIOT-</w:t>
      </w:r>
      <w:proofErr w:type="spellStart"/>
      <w:r>
        <w:t>eMTC</w:t>
      </w:r>
      <w:proofErr w:type="spellEnd"/>
      <w:r>
        <w:t>-NTN.</w:t>
      </w:r>
    </w:p>
    <w:p w14:paraId="2A151B35" w14:textId="77777777" w:rsidR="004E51D4" w:rsidRDefault="00D93528">
      <w:pPr>
        <w:spacing w:before="0" w:after="120"/>
      </w:pPr>
      <w:r>
        <w:lastRenderedPageBreak/>
        <w:t>Based on above, this contribution provides:</w:t>
      </w:r>
    </w:p>
    <w:p w14:paraId="06C1790E" w14:textId="77777777" w:rsidR="004E51D4" w:rsidRDefault="00D93528">
      <w:pPr>
        <w:numPr>
          <w:ilvl w:val="0"/>
          <w:numId w:val="1"/>
        </w:numPr>
        <w:spacing w:before="0" w:after="0"/>
      </w:pPr>
      <w:r>
        <w:t>A description of the characteristics of low density LEO constellations that resul</w:t>
      </w:r>
      <w:r>
        <w:t>t in service link discontinuity. [Section 2]</w:t>
      </w:r>
    </w:p>
    <w:p w14:paraId="474DB56C" w14:textId="77777777" w:rsidR="004E51D4" w:rsidRDefault="00D93528">
      <w:pPr>
        <w:numPr>
          <w:ilvl w:val="0"/>
          <w:numId w:val="1"/>
        </w:numPr>
        <w:spacing w:before="0" w:after="0"/>
      </w:pPr>
      <w:r>
        <w:t>A description of procedures for which adaptation may be required. [Section 3]</w:t>
      </w:r>
    </w:p>
    <w:p w14:paraId="0B35D7F0" w14:textId="77777777" w:rsidR="004E51D4" w:rsidRDefault="004E51D4">
      <w:pPr>
        <w:pBdr>
          <w:top w:val="nil"/>
          <w:left w:val="nil"/>
          <w:bottom w:val="nil"/>
          <w:right w:val="nil"/>
          <w:between w:val="nil"/>
        </w:pBdr>
        <w:spacing w:before="0" w:after="0"/>
      </w:pPr>
    </w:p>
    <w:p w14:paraId="2BA9D4A7" w14:textId="77777777" w:rsidR="004E51D4" w:rsidRDefault="004E51D4">
      <w:pPr>
        <w:pBdr>
          <w:top w:val="nil"/>
          <w:left w:val="nil"/>
          <w:bottom w:val="nil"/>
          <w:right w:val="nil"/>
          <w:between w:val="nil"/>
        </w:pBdr>
        <w:spacing w:before="0" w:after="0"/>
        <w:ind w:left="720"/>
        <w:rPr>
          <w:color w:val="000000"/>
        </w:rPr>
      </w:pPr>
    </w:p>
    <w:p w14:paraId="2D4FC291" w14:textId="77777777" w:rsidR="004E51D4" w:rsidRDefault="00D93528">
      <w:pPr>
        <w:pStyle w:val="Heading1"/>
      </w:pPr>
      <w:bookmarkStart w:id="0" w:name="_95bgma4cgvf8" w:colFirst="0" w:colLast="0"/>
      <w:bookmarkEnd w:id="0"/>
      <w:r>
        <w:t>2. Low Density Constellations</w:t>
      </w:r>
    </w:p>
    <w:p w14:paraId="67E7FB7B" w14:textId="77777777" w:rsidR="004E51D4" w:rsidRDefault="00D93528">
      <w:pPr>
        <w:rPr>
          <w:highlight w:val="yellow"/>
        </w:rPr>
      </w:pPr>
      <w:r>
        <w:t xml:space="preserve">From a cost, complexity and service performance perspective, a LEO constellation of a low number of </w:t>
      </w:r>
      <w:r>
        <w:t>small satellites as CubeSats</w:t>
      </w:r>
      <w:r>
        <w:t xml:space="preserve"> (e.g. in the order of tens of satellites) would be sufficient to address the needs of many IoT and M2M applications. </w:t>
      </w:r>
    </w:p>
    <w:p w14:paraId="49A79079" w14:textId="77777777" w:rsidR="004E51D4" w:rsidRDefault="00D93528">
      <w:pPr>
        <w:tabs>
          <w:tab w:val="left" w:pos="0"/>
        </w:tabs>
      </w:pPr>
      <w:r>
        <w:t>There exi</w:t>
      </w:r>
      <w:r>
        <w:t>st different kinds of low throughput IoT/M2M services totally tolerant to the delay that can work under the scenario of a discontinuous coverage. For example, in smart agriculture applications, small messages, few messages per day, large delays are not a s</w:t>
      </w:r>
      <w:r>
        <w:t xml:space="preserve">ervice problem and can be perfectly achieved by a satellite network with lack of continuous coverage. More examples are maritime use cases for </w:t>
      </w:r>
      <w:proofErr w:type="spellStart"/>
      <w:r>
        <w:t>non critical</w:t>
      </w:r>
      <w:proofErr w:type="spellEnd"/>
      <w:r>
        <w:t xml:space="preserve"> asset tracking where today a data logger is already used, another example is livestock monitoring du</w:t>
      </w:r>
      <w:r>
        <w:t xml:space="preserve">ring pasture in rural areas and in general any </w:t>
      </w:r>
      <w:proofErr w:type="spellStart"/>
      <w:r>
        <w:t>non critical</w:t>
      </w:r>
      <w:proofErr w:type="spellEnd"/>
      <w:r>
        <w:t xml:space="preserve"> asset tracking in landline, environmental monitoring, wildlife monitoring and so on. </w:t>
      </w:r>
    </w:p>
    <w:p w14:paraId="3C5E5649" w14:textId="77777777" w:rsidR="004E51D4" w:rsidRDefault="00D93528">
      <w:r>
        <w:t xml:space="preserve">This means that the service link will only be available for the time </w:t>
      </w:r>
      <w:r>
        <w:t>that the terminal is</w:t>
      </w:r>
      <w:r>
        <w:t xml:space="preserve"> within  coverage of </w:t>
      </w:r>
      <w:r>
        <w:t>one of the satellites of the constellation. Only rarely – if ever – a UE will be in coverage by more than one satellite. The time in-between coverage (i.e. revisit time) may extend up to several hours. To have some illustrative values</w:t>
      </w:r>
      <w:r>
        <w:t>, Table 1 provides the</w:t>
      </w:r>
      <w:r>
        <w:t xml:space="preserve"> average and maximum revisit time for a reference uniform Walker constellation and for an ad-hoc constellation, based on the analysis reported in [4]. The type of satellites considered are CubeSats, with a service area defined by a conical field of view wi</w:t>
      </w:r>
      <w:r>
        <w:t>th half angle 45 degrees (equivalent to a maximum elevation of ~40 degrees for terminals). This leads to a maximum duration of a satellite pass over a given terminal of ~148 seconds. The Walker constellation features six evenly distributed orbital planes a</w:t>
      </w:r>
      <w:r>
        <w:t>t an inclination of 86.4 degrees (same inclination as the Iridium constellation) and an altitude of 500 km. Two cases are considered: one satellite per orbit plane (6 satellite constellation) and six satellites per orbit plane (36 satellite constellation).</w:t>
      </w:r>
      <w:r>
        <w:t xml:space="preserve"> In contrast, the ad-hoc constellation is generated from selecting the launch opportunities in a given timeframe. </w:t>
      </w:r>
    </w:p>
    <w:p w14:paraId="0A2110AE" w14:textId="77777777" w:rsidR="004E51D4" w:rsidRDefault="004E51D4"/>
    <w:tbl>
      <w:tblPr>
        <w:tblStyle w:val="a0"/>
        <w:tblW w:w="96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12"/>
        <w:gridCol w:w="3213"/>
        <w:gridCol w:w="3213"/>
      </w:tblGrid>
      <w:tr w:rsidR="004E51D4" w14:paraId="68E687C3" w14:textId="77777777">
        <w:tc>
          <w:tcPr>
            <w:tcW w:w="3212" w:type="dxa"/>
            <w:tcBorders>
              <w:top w:val="single" w:sz="8" w:space="0" w:color="FFFFFF"/>
              <w:left w:val="single" w:sz="8" w:space="0" w:color="FFFFFF"/>
            </w:tcBorders>
            <w:shd w:val="clear" w:color="auto" w:fill="auto"/>
            <w:tcMar>
              <w:top w:w="100" w:type="dxa"/>
              <w:left w:w="100" w:type="dxa"/>
              <w:bottom w:w="100" w:type="dxa"/>
              <w:right w:w="100" w:type="dxa"/>
            </w:tcMar>
          </w:tcPr>
          <w:p w14:paraId="318994BD" w14:textId="77777777" w:rsidR="004E51D4" w:rsidRDefault="004E51D4">
            <w:pPr>
              <w:widowControl w:val="0"/>
              <w:pBdr>
                <w:top w:val="nil"/>
                <w:left w:val="nil"/>
                <w:bottom w:val="nil"/>
                <w:right w:val="nil"/>
                <w:between w:val="nil"/>
              </w:pBdr>
              <w:spacing w:before="0" w:after="0"/>
              <w:jc w:val="left"/>
            </w:pPr>
          </w:p>
        </w:tc>
        <w:tc>
          <w:tcPr>
            <w:tcW w:w="3212" w:type="dxa"/>
            <w:shd w:val="clear" w:color="auto" w:fill="D9D9D9"/>
            <w:tcMar>
              <w:top w:w="100" w:type="dxa"/>
              <w:left w:w="100" w:type="dxa"/>
              <w:bottom w:w="100" w:type="dxa"/>
              <w:right w:w="100" w:type="dxa"/>
            </w:tcMar>
          </w:tcPr>
          <w:p w14:paraId="061BF2FA" w14:textId="77777777" w:rsidR="004E51D4" w:rsidRDefault="00D93528">
            <w:pPr>
              <w:widowControl w:val="0"/>
              <w:pBdr>
                <w:top w:val="nil"/>
                <w:left w:val="nil"/>
                <w:bottom w:val="nil"/>
                <w:right w:val="nil"/>
                <w:between w:val="nil"/>
              </w:pBdr>
              <w:spacing w:before="0" w:after="0"/>
              <w:jc w:val="left"/>
            </w:pPr>
            <w:r>
              <w:t>Average revisit time</w:t>
            </w:r>
          </w:p>
        </w:tc>
        <w:tc>
          <w:tcPr>
            <w:tcW w:w="3212" w:type="dxa"/>
            <w:shd w:val="clear" w:color="auto" w:fill="D9D9D9"/>
            <w:tcMar>
              <w:top w:w="100" w:type="dxa"/>
              <w:left w:w="100" w:type="dxa"/>
              <w:bottom w:w="100" w:type="dxa"/>
              <w:right w:w="100" w:type="dxa"/>
            </w:tcMar>
          </w:tcPr>
          <w:p w14:paraId="79450BE7" w14:textId="77777777" w:rsidR="004E51D4" w:rsidRDefault="00D93528">
            <w:pPr>
              <w:widowControl w:val="0"/>
              <w:pBdr>
                <w:top w:val="nil"/>
                <w:left w:val="nil"/>
                <w:bottom w:val="nil"/>
                <w:right w:val="nil"/>
                <w:between w:val="nil"/>
              </w:pBdr>
              <w:spacing w:before="0" w:after="0"/>
              <w:jc w:val="left"/>
            </w:pPr>
            <w:r>
              <w:t>Maximum response time</w:t>
            </w:r>
          </w:p>
        </w:tc>
      </w:tr>
      <w:tr w:rsidR="004E51D4" w14:paraId="4EC0A9FD" w14:textId="77777777">
        <w:tc>
          <w:tcPr>
            <w:tcW w:w="3212" w:type="dxa"/>
            <w:shd w:val="clear" w:color="auto" w:fill="EFEFEF"/>
            <w:tcMar>
              <w:top w:w="100" w:type="dxa"/>
              <w:left w:w="100" w:type="dxa"/>
              <w:bottom w:w="100" w:type="dxa"/>
              <w:right w:w="100" w:type="dxa"/>
            </w:tcMar>
          </w:tcPr>
          <w:p w14:paraId="6EF344F0" w14:textId="77777777" w:rsidR="004E51D4" w:rsidRDefault="00D93528">
            <w:pPr>
              <w:widowControl w:val="0"/>
              <w:pBdr>
                <w:top w:val="nil"/>
                <w:left w:val="nil"/>
                <w:bottom w:val="nil"/>
                <w:right w:val="nil"/>
                <w:between w:val="nil"/>
              </w:pBdr>
              <w:spacing w:before="0" w:after="0"/>
              <w:jc w:val="left"/>
            </w:pPr>
            <w:r>
              <w:t>Walker constellation (6 planes, 1 satellite per plane)</w:t>
            </w:r>
          </w:p>
        </w:tc>
        <w:tc>
          <w:tcPr>
            <w:tcW w:w="3212" w:type="dxa"/>
            <w:shd w:val="clear" w:color="auto" w:fill="auto"/>
            <w:tcMar>
              <w:top w:w="100" w:type="dxa"/>
              <w:left w:w="100" w:type="dxa"/>
              <w:bottom w:w="100" w:type="dxa"/>
              <w:right w:w="100" w:type="dxa"/>
            </w:tcMar>
          </w:tcPr>
          <w:p w14:paraId="05A8AA1F" w14:textId="77777777" w:rsidR="004E51D4" w:rsidRDefault="00D93528">
            <w:pPr>
              <w:widowControl w:val="0"/>
              <w:pBdr>
                <w:top w:val="nil"/>
                <w:left w:val="nil"/>
                <w:bottom w:val="nil"/>
                <w:right w:val="nil"/>
                <w:between w:val="nil"/>
              </w:pBdr>
              <w:spacing w:before="0" w:after="0"/>
              <w:jc w:val="left"/>
            </w:pPr>
            <w:r>
              <w:t>8 h</w:t>
            </w:r>
          </w:p>
        </w:tc>
        <w:tc>
          <w:tcPr>
            <w:tcW w:w="3212" w:type="dxa"/>
            <w:shd w:val="clear" w:color="auto" w:fill="auto"/>
            <w:tcMar>
              <w:top w:w="100" w:type="dxa"/>
              <w:left w:w="100" w:type="dxa"/>
              <w:bottom w:w="100" w:type="dxa"/>
              <w:right w:w="100" w:type="dxa"/>
            </w:tcMar>
          </w:tcPr>
          <w:p w14:paraId="32930F59" w14:textId="77777777" w:rsidR="004E51D4" w:rsidRDefault="00D93528">
            <w:pPr>
              <w:widowControl w:val="0"/>
              <w:pBdr>
                <w:top w:val="nil"/>
                <w:left w:val="nil"/>
                <w:bottom w:val="nil"/>
                <w:right w:val="nil"/>
                <w:between w:val="nil"/>
              </w:pBdr>
              <w:spacing w:before="0" w:after="0"/>
              <w:jc w:val="left"/>
            </w:pPr>
            <w:r>
              <w:t>12 h</w:t>
            </w:r>
          </w:p>
        </w:tc>
      </w:tr>
      <w:tr w:rsidR="004E51D4" w14:paraId="63ECC832" w14:textId="77777777">
        <w:tc>
          <w:tcPr>
            <w:tcW w:w="3212" w:type="dxa"/>
            <w:shd w:val="clear" w:color="auto" w:fill="EFEFEF"/>
            <w:tcMar>
              <w:top w:w="100" w:type="dxa"/>
              <w:left w:w="100" w:type="dxa"/>
              <w:bottom w:w="100" w:type="dxa"/>
              <w:right w:w="100" w:type="dxa"/>
            </w:tcMar>
          </w:tcPr>
          <w:p w14:paraId="504634E3" w14:textId="77777777" w:rsidR="004E51D4" w:rsidRDefault="00D93528">
            <w:pPr>
              <w:widowControl w:val="0"/>
              <w:spacing w:before="0" w:after="0"/>
              <w:jc w:val="left"/>
            </w:pPr>
            <w:r>
              <w:t>Walker constellation (6 planes, 6 satellites per plane)</w:t>
            </w:r>
          </w:p>
        </w:tc>
        <w:tc>
          <w:tcPr>
            <w:tcW w:w="3212" w:type="dxa"/>
            <w:shd w:val="clear" w:color="auto" w:fill="auto"/>
            <w:tcMar>
              <w:top w:w="100" w:type="dxa"/>
              <w:left w:w="100" w:type="dxa"/>
              <w:bottom w:w="100" w:type="dxa"/>
              <w:right w:w="100" w:type="dxa"/>
            </w:tcMar>
          </w:tcPr>
          <w:p w14:paraId="3067CA79" w14:textId="77777777" w:rsidR="004E51D4" w:rsidRDefault="00D93528">
            <w:pPr>
              <w:widowControl w:val="0"/>
              <w:pBdr>
                <w:top w:val="nil"/>
                <w:left w:val="nil"/>
                <w:bottom w:val="nil"/>
                <w:right w:val="nil"/>
                <w:between w:val="nil"/>
              </w:pBdr>
              <w:spacing w:before="0" w:after="0"/>
              <w:jc w:val="left"/>
            </w:pPr>
            <w:r>
              <w:t>0.8 h</w:t>
            </w:r>
          </w:p>
        </w:tc>
        <w:tc>
          <w:tcPr>
            <w:tcW w:w="3212" w:type="dxa"/>
            <w:shd w:val="clear" w:color="auto" w:fill="auto"/>
            <w:tcMar>
              <w:top w:w="100" w:type="dxa"/>
              <w:left w:w="100" w:type="dxa"/>
              <w:bottom w:w="100" w:type="dxa"/>
              <w:right w:w="100" w:type="dxa"/>
            </w:tcMar>
          </w:tcPr>
          <w:p w14:paraId="18CF4DEA" w14:textId="77777777" w:rsidR="004E51D4" w:rsidRDefault="00D93528">
            <w:pPr>
              <w:widowControl w:val="0"/>
              <w:pBdr>
                <w:top w:val="nil"/>
                <w:left w:val="nil"/>
                <w:bottom w:val="nil"/>
                <w:right w:val="nil"/>
                <w:between w:val="nil"/>
              </w:pBdr>
              <w:spacing w:before="0" w:after="0"/>
              <w:jc w:val="left"/>
            </w:pPr>
            <w:r>
              <w:t>2 h</w:t>
            </w:r>
          </w:p>
        </w:tc>
      </w:tr>
      <w:tr w:rsidR="004E51D4" w14:paraId="363032C6" w14:textId="77777777">
        <w:tc>
          <w:tcPr>
            <w:tcW w:w="3212" w:type="dxa"/>
            <w:shd w:val="clear" w:color="auto" w:fill="EFEFEF"/>
            <w:tcMar>
              <w:top w:w="100" w:type="dxa"/>
              <w:left w:w="100" w:type="dxa"/>
              <w:bottom w:w="100" w:type="dxa"/>
              <w:right w:w="100" w:type="dxa"/>
            </w:tcMar>
          </w:tcPr>
          <w:p w14:paraId="0DC91D3A" w14:textId="77777777" w:rsidR="004E51D4" w:rsidRDefault="00D93528">
            <w:pPr>
              <w:widowControl w:val="0"/>
              <w:spacing w:before="0" w:after="0"/>
              <w:jc w:val="left"/>
            </w:pPr>
            <w:r>
              <w:t>Ad-hoc constellation (30 satellites)</w:t>
            </w:r>
          </w:p>
        </w:tc>
        <w:tc>
          <w:tcPr>
            <w:tcW w:w="3212" w:type="dxa"/>
            <w:shd w:val="clear" w:color="auto" w:fill="auto"/>
            <w:tcMar>
              <w:top w:w="100" w:type="dxa"/>
              <w:left w:w="100" w:type="dxa"/>
              <w:bottom w:w="100" w:type="dxa"/>
              <w:right w:w="100" w:type="dxa"/>
            </w:tcMar>
          </w:tcPr>
          <w:p w14:paraId="77730598" w14:textId="77777777" w:rsidR="004E51D4" w:rsidRDefault="00D93528">
            <w:pPr>
              <w:widowControl w:val="0"/>
              <w:pBdr>
                <w:top w:val="nil"/>
                <w:left w:val="nil"/>
                <w:bottom w:val="nil"/>
                <w:right w:val="nil"/>
                <w:between w:val="nil"/>
              </w:pBdr>
              <w:spacing w:before="0" w:after="0"/>
              <w:jc w:val="left"/>
            </w:pPr>
            <w:r>
              <w:t>0.7 h</w:t>
            </w:r>
          </w:p>
        </w:tc>
        <w:tc>
          <w:tcPr>
            <w:tcW w:w="3212" w:type="dxa"/>
            <w:shd w:val="clear" w:color="auto" w:fill="auto"/>
            <w:tcMar>
              <w:top w:w="100" w:type="dxa"/>
              <w:left w:w="100" w:type="dxa"/>
              <w:bottom w:w="100" w:type="dxa"/>
              <w:right w:w="100" w:type="dxa"/>
            </w:tcMar>
          </w:tcPr>
          <w:p w14:paraId="12AA9C05" w14:textId="77777777" w:rsidR="004E51D4" w:rsidRDefault="00D93528">
            <w:pPr>
              <w:widowControl w:val="0"/>
              <w:pBdr>
                <w:top w:val="nil"/>
                <w:left w:val="nil"/>
                <w:bottom w:val="nil"/>
                <w:right w:val="nil"/>
                <w:between w:val="nil"/>
              </w:pBdr>
              <w:spacing w:before="0" w:after="0"/>
              <w:jc w:val="left"/>
            </w:pPr>
            <w:r>
              <w:t>9 h</w:t>
            </w:r>
          </w:p>
        </w:tc>
      </w:tr>
    </w:tbl>
    <w:p w14:paraId="7218B04A" w14:textId="77777777" w:rsidR="004E51D4" w:rsidRDefault="00D93528">
      <w:pPr>
        <w:jc w:val="center"/>
      </w:pPr>
      <w:r>
        <w:rPr>
          <w:b/>
        </w:rPr>
        <w:t>Table 1.</w:t>
      </w:r>
      <w:r>
        <w:t xml:space="preserve"> Average and maximum revisit times in uniform Walker and ad-hoc low density constellations</w:t>
      </w:r>
    </w:p>
    <w:p w14:paraId="38300955" w14:textId="77777777" w:rsidR="004E51D4" w:rsidRDefault="004E51D4">
      <w:pPr>
        <w:jc w:val="center"/>
      </w:pPr>
    </w:p>
    <w:p w14:paraId="25E2E4DC" w14:textId="77777777" w:rsidR="004E51D4" w:rsidRDefault="00D93528">
      <w:pPr>
        <w:pStyle w:val="Heading1"/>
      </w:pPr>
      <w:r>
        <w:t>3. Affected Procedures</w:t>
      </w:r>
    </w:p>
    <w:p w14:paraId="0C72A3BE" w14:textId="77777777" w:rsidR="004E51D4" w:rsidRDefault="00D93528">
      <w:r>
        <w:t>A discontinuous service link has impact on multiple procedures (not necessarily a complete list):</w:t>
      </w:r>
    </w:p>
    <w:p w14:paraId="25005F01" w14:textId="77777777" w:rsidR="004E51D4" w:rsidRDefault="00D93528">
      <w:pPr>
        <w:numPr>
          <w:ilvl w:val="0"/>
          <w:numId w:val="2"/>
        </w:numPr>
        <w:pBdr>
          <w:top w:val="nil"/>
          <w:left w:val="nil"/>
          <w:bottom w:val="nil"/>
          <w:right w:val="nil"/>
          <w:between w:val="nil"/>
        </w:pBdr>
        <w:spacing w:after="0"/>
        <w:rPr>
          <w:color w:val="000000"/>
        </w:rPr>
      </w:pPr>
      <w:r>
        <w:rPr>
          <w:color w:val="000000"/>
        </w:rPr>
        <w:t>Cell selection</w:t>
      </w:r>
    </w:p>
    <w:p w14:paraId="1A497EEF" w14:textId="77777777" w:rsidR="004E51D4" w:rsidRDefault="00D93528">
      <w:pPr>
        <w:numPr>
          <w:ilvl w:val="0"/>
          <w:numId w:val="2"/>
        </w:numPr>
        <w:pBdr>
          <w:top w:val="nil"/>
          <w:left w:val="nil"/>
          <w:bottom w:val="nil"/>
          <w:right w:val="nil"/>
          <w:between w:val="nil"/>
        </w:pBdr>
        <w:spacing w:before="0" w:after="0"/>
        <w:rPr>
          <w:color w:val="000000"/>
        </w:rPr>
      </w:pPr>
      <w:r>
        <w:rPr>
          <w:color w:val="000000"/>
        </w:rPr>
        <w:lastRenderedPageBreak/>
        <w:t>Cell-reselection</w:t>
      </w:r>
    </w:p>
    <w:p w14:paraId="10975AF0" w14:textId="77777777" w:rsidR="004E51D4" w:rsidRDefault="00D93528">
      <w:pPr>
        <w:numPr>
          <w:ilvl w:val="0"/>
          <w:numId w:val="2"/>
        </w:numPr>
        <w:pBdr>
          <w:top w:val="nil"/>
          <w:left w:val="nil"/>
          <w:bottom w:val="nil"/>
          <w:right w:val="nil"/>
          <w:between w:val="nil"/>
        </w:pBdr>
        <w:spacing w:before="0" w:after="0"/>
        <w:rPr>
          <w:color w:val="000000"/>
        </w:rPr>
      </w:pPr>
      <w:r>
        <w:rPr>
          <w:color w:val="000000"/>
        </w:rPr>
        <w:t>Extended Discontinuous Reception (</w:t>
      </w:r>
      <w:proofErr w:type="spellStart"/>
      <w:r>
        <w:rPr>
          <w:color w:val="000000"/>
        </w:rPr>
        <w:t>eDRX</w:t>
      </w:r>
      <w:proofErr w:type="spellEnd"/>
      <w:r>
        <w:rPr>
          <w:color w:val="000000"/>
        </w:rPr>
        <w:t>) and paging</w:t>
      </w:r>
    </w:p>
    <w:p w14:paraId="198860F0" w14:textId="77777777" w:rsidR="004E51D4" w:rsidRDefault="00D93528">
      <w:pPr>
        <w:numPr>
          <w:ilvl w:val="0"/>
          <w:numId w:val="2"/>
        </w:numPr>
        <w:pBdr>
          <w:top w:val="nil"/>
          <w:left w:val="nil"/>
          <w:bottom w:val="nil"/>
          <w:right w:val="nil"/>
          <w:between w:val="nil"/>
        </w:pBdr>
        <w:spacing w:before="0"/>
        <w:rPr>
          <w:color w:val="000000"/>
        </w:rPr>
      </w:pPr>
      <w:r>
        <w:rPr>
          <w:color w:val="000000"/>
        </w:rPr>
        <w:t>Power saving mode (PSM)</w:t>
      </w:r>
    </w:p>
    <w:p w14:paraId="1FFB900F" w14:textId="77777777" w:rsidR="004E51D4" w:rsidRDefault="004E51D4"/>
    <w:p w14:paraId="10D2641F" w14:textId="77777777" w:rsidR="004E51D4" w:rsidRDefault="00D93528">
      <w:pPr>
        <w:pStyle w:val="Heading2"/>
      </w:pPr>
      <w:r>
        <w:t>3.1. Cell Selection</w:t>
      </w:r>
    </w:p>
    <w:p w14:paraId="7257B67A" w14:textId="77777777" w:rsidR="004E51D4" w:rsidRDefault="00D93528">
      <w:r>
        <w:t>A UE waking up at a particular</w:t>
      </w:r>
      <w:r>
        <w:t xml:space="preserve"> time cannot be guaranteed coverage from a satellite cell. Two cases are relevant</w:t>
      </w:r>
    </w:p>
    <w:p w14:paraId="2A004F85" w14:textId="77777777" w:rsidR="004E51D4" w:rsidRDefault="00D93528">
      <w:pPr>
        <w:numPr>
          <w:ilvl w:val="0"/>
          <w:numId w:val="3"/>
        </w:numPr>
        <w:pBdr>
          <w:top w:val="nil"/>
          <w:left w:val="nil"/>
          <w:bottom w:val="nil"/>
          <w:right w:val="nil"/>
          <w:between w:val="nil"/>
        </w:pBdr>
        <w:spacing w:after="0"/>
        <w:rPr>
          <w:color w:val="000000"/>
        </w:rPr>
      </w:pPr>
      <w:r>
        <w:rPr>
          <w:color w:val="000000"/>
        </w:rPr>
        <w:t>UE has no ephemeris data for the constellation</w:t>
      </w:r>
    </w:p>
    <w:p w14:paraId="68F77C0D" w14:textId="77777777" w:rsidR="004E51D4" w:rsidRDefault="00D93528">
      <w:pPr>
        <w:numPr>
          <w:ilvl w:val="0"/>
          <w:numId w:val="3"/>
        </w:numPr>
        <w:pBdr>
          <w:top w:val="nil"/>
          <w:left w:val="nil"/>
          <w:bottom w:val="nil"/>
          <w:right w:val="nil"/>
          <w:between w:val="nil"/>
        </w:pBdr>
        <w:spacing w:before="0"/>
        <w:rPr>
          <w:color w:val="000000"/>
        </w:rPr>
      </w:pPr>
      <w:r>
        <w:rPr>
          <w:color w:val="000000"/>
        </w:rPr>
        <w:t>UE has ephemeris data for the constellation</w:t>
      </w:r>
    </w:p>
    <w:p w14:paraId="795EFDA6" w14:textId="77777777" w:rsidR="004E51D4" w:rsidRDefault="00D93528">
      <w:r>
        <w:t xml:space="preserve">In case a) the UE must synchronize to the first possible cell and acquire system </w:t>
      </w:r>
      <w:proofErr w:type="spellStart"/>
      <w:r>
        <w:t>information.This</w:t>
      </w:r>
      <w:proofErr w:type="spellEnd"/>
      <w:r>
        <w:t xml:space="preserve"> includes  ephemeris data through a new type of SIB which shall be acquired to optimize later cell-(re)selection.</w:t>
      </w:r>
    </w:p>
    <w:p w14:paraId="4C35BDF8" w14:textId="77777777" w:rsidR="004E51D4" w:rsidRDefault="00D93528">
      <w:r>
        <w:t xml:space="preserve">In case b) the UE can wake up while it is in </w:t>
      </w:r>
      <w:r>
        <w:t>coverage of a satellite cell using the ephemeris data and it can know when it will again be out of coverage.</w:t>
      </w:r>
    </w:p>
    <w:p w14:paraId="44C5A5E4" w14:textId="77777777" w:rsidR="004E51D4" w:rsidRDefault="00D93528">
      <w:pPr>
        <w:tabs>
          <w:tab w:val="left" w:pos="0"/>
        </w:tabs>
        <w:rPr>
          <w:b/>
        </w:rPr>
      </w:pPr>
      <w:r>
        <w:rPr>
          <w:b/>
        </w:rPr>
        <w:t>Proposal #1: RAN2 to evaluate how system information (including ephemeris data in a new type of SIB) can support a system with discontinuous servic</w:t>
      </w:r>
      <w:r>
        <w:rPr>
          <w:b/>
        </w:rPr>
        <w:t>e link.</w:t>
      </w:r>
    </w:p>
    <w:p w14:paraId="6D79EAA6" w14:textId="77777777" w:rsidR="004E51D4" w:rsidRDefault="004E51D4">
      <w:pPr>
        <w:tabs>
          <w:tab w:val="left" w:pos="0"/>
        </w:tabs>
        <w:rPr>
          <w:b/>
        </w:rPr>
      </w:pPr>
    </w:p>
    <w:p w14:paraId="792BE5CD" w14:textId="77777777" w:rsidR="004E51D4" w:rsidRDefault="00D93528">
      <w:pPr>
        <w:pStyle w:val="Heading2"/>
      </w:pPr>
      <w:r>
        <w:t>3.2. Cell-reselection</w:t>
      </w:r>
    </w:p>
    <w:p w14:paraId="241BE149" w14:textId="77777777" w:rsidR="004E51D4" w:rsidRDefault="00D93528">
      <w:r>
        <w:t xml:space="preserve">A UE will often only be in coverage of a single satellite. Neighbor cell measurements will not provide useful information and the UE will eventually fall off the network. It will then need to wait for the next opportunity to </w:t>
      </w:r>
      <w:r>
        <w:t>do cell-selection - when in coverage of the same or another satellite of the constellation.</w:t>
      </w:r>
    </w:p>
    <w:p w14:paraId="5C9E7214" w14:textId="77777777" w:rsidR="004E51D4" w:rsidRDefault="00D93528">
      <w:pPr>
        <w:rPr>
          <w:b/>
        </w:rPr>
      </w:pPr>
      <w:r>
        <w:rPr>
          <w:b/>
        </w:rPr>
        <w:t>Proposal #2: RAN2 to evaluate the applicability of cell-reselection in context of a system with discontinuous service link.</w:t>
      </w:r>
    </w:p>
    <w:p w14:paraId="458B4AD2" w14:textId="77777777" w:rsidR="004E51D4" w:rsidRDefault="004E51D4">
      <w:pPr>
        <w:pBdr>
          <w:top w:val="nil"/>
          <w:left w:val="nil"/>
          <w:bottom w:val="nil"/>
          <w:right w:val="nil"/>
          <w:between w:val="nil"/>
        </w:pBdr>
        <w:rPr>
          <w:b/>
          <w:color w:val="000000"/>
          <w:sz w:val="20"/>
          <w:szCs w:val="20"/>
        </w:rPr>
      </w:pPr>
    </w:p>
    <w:p w14:paraId="0BC2472A" w14:textId="77777777" w:rsidR="004E51D4" w:rsidRDefault="00D93528">
      <w:pPr>
        <w:pStyle w:val="Heading2"/>
      </w:pPr>
      <w:r>
        <w:t>3.3. Extended Discontinuous Reception (</w:t>
      </w:r>
      <w:proofErr w:type="spellStart"/>
      <w:r>
        <w:t>eDRX</w:t>
      </w:r>
      <w:proofErr w:type="spellEnd"/>
      <w:r>
        <w:t>) and paging</w:t>
      </w:r>
    </w:p>
    <w:p w14:paraId="3730C6D0" w14:textId="77777777" w:rsidR="004E51D4" w:rsidRDefault="00D93528">
      <w:r>
        <w:t xml:space="preserve">A UE which is not always in coverage of a satellite will need to synchronize to a satellite and (re)-start </w:t>
      </w:r>
      <w:proofErr w:type="spellStart"/>
      <w:r>
        <w:t>eDRX</w:t>
      </w:r>
      <w:proofErr w:type="spellEnd"/>
      <w:r>
        <w:t xml:space="preserve"> to receive </w:t>
      </w:r>
      <w:proofErr w:type="spellStart"/>
      <w:r>
        <w:t>pagings</w:t>
      </w:r>
      <w:proofErr w:type="spellEnd"/>
      <w:r>
        <w:t xml:space="preserve">. This implies a similar situation as in power save mode where the UE is during the sleep cycle not able to receive </w:t>
      </w:r>
      <w:proofErr w:type="spellStart"/>
      <w:r>
        <w:t>pagings</w:t>
      </w:r>
      <w:proofErr w:type="spellEnd"/>
      <w:r>
        <w:t>.</w:t>
      </w:r>
    </w:p>
    <w:p w14:paraId="6547E803" w14:textId="77777777" w:rsidR="004E51D4" w:rsidRDefault="00D93528">
      <w:pPr>
        <w:rPr>
          <w:b/>
        </w:rPr>
      </w:pPr>
      <w:r>
        <w:rPr>
          <w:b/>
        </w:rPr>
        <w:t>P</w:t>
      </w:r>
      <w:r>
        <w:rPr>
          <w:b/>
        </w:rPr>
        <w:t xml:space="preserve">roposal #3: RAN2 to evaluate </w:t>
      </w:r>
      <w:proofErr w:type="spellStart"/>
      <w:r>
        <w:rPr>
          <w:b/>
        </w:rPr>
        <w:t>eDRX</w:t>
      </w:r>
      <w:proofErr w:type="spellEnd"/>
      <w:r>
        <w:rPr>
          <w:b/>
        </w:rPr>
        <w:t xml:space="preserve"> and paging concept in context of a system with discontinuous service link.</w:t>
      </w:r>
    </w:p>
    <w:p w14:paraId="129C9BC0" w14:textId="77777777" w:rsidR="004E51D4" w:rsidRDefault="004E51D4">
      <w:pPr>
        <w:rPr>
          <w:b/>
        </w:rPr>
      </w:pPr>
      <w:bookmarkStart w:id="1" w:name="_fzhw0onqj1lp" w:colFirst="0" w:colLast="0"/>
      <w:bookmarkEnd w:id="1"/>
    </w:p>
    <w:p w14:paraId="1D0FD45E" w14:textId="77777777" w:rsidR="004E51D4" w:rsidRDefault="00D93528">
      <w:pPr>
        <w:pStyle w:val="Heading2"/>
      </w:pPr>
      <w:bookmarkStart w:id="2" w:name="_rj0p9bc44lkj" w:colFirst="0" w:colLast="0"/>
      <w:bookmarkEnd w:id="2"/>
      <w:r>
        <w:t>3.4. Power Saving Mode (PSM)</w:t>
      </w:r>
    </w:p>
    <w:p w14:paraId="0352D5CC" w14:textId="77777777" w:rsidR="004E51D4" w:rsidRDefault="00D93528">
      <w:pPr>
        <w:spacing w:before="0" w:after="120"/>
      </w:pPr>
      <w:r>
        <w:t>Ephemeris data provided through a new SIB must be accurate to support a long power save cycle.</w:t>
      </w:r>
    </w:p>
    <w:p w14:paraId="1BE096B4" w14:textId="77777777" w:rsidR="004E51D4" w:rsidRDefault="00D93528">
      <w:pPr>
        <w:spacing w:before="0" w:after="120"/>
      </w:pPr>
      <w:r>
        <w:t>Also a UE which is not</w:t>
      </w:r>
      <w:r>
        <w:t xml:space="preserve"> always in coverage of a satellite will need to have its wake-up period aligned with satellite coverage. Otherwise energy will be wasted searching for the cell – or it will just immediately start sleeping again until the next satellite coverage occurs. Pag</w:t>
      </w:r>
      <w:r>
        <w:t xml:space="preserve">ing will also often be unsuccessful as the UE is not in coverage at the planned time. </w:t>
      </w:r>
    </w:p>
    <w:p w14:paraId="12023596" w14:textId="77777777" w:rsidR="004E51D4" w:rsidRDefault="00D93528">
      <w:pPr>
        <w:rPr>
          <w:sz w:val="24"/>
          <w:szCs w:val="24"/>
        </w:rPr>
      </w:pPr>
      <w:r>
        <w:rPr>
          <w:b/>
        </w:rPr>
        <w:t>Proposal #4: RAN2 to evaluate how PSM mode can be adapted to support a system with discontinuous service link.</w:t>
      </w:r>
    </w:p>
    <w:p w14:paraId="79CE7CD4" w14:textId="77777777" w:rsidR="004E51D4" w:rsidRDefault="00D93528">
      <w:pPr>
        <w:pStyle w:val="Heading1"/>
      </w:pPr>
      <w:r>
        <w:lastRenderedPageBreak/>
        <w:t>4. Summary and Conclusions</w:t>
      </w:r>
    </w:p>
    <w:p w14:paraId="0197B9D8" w14:textId="77777777" w:rsidR="004E51D4" w:rsidRDefault="00D93528">
      <w:r>
        <w:t>In this contribution, we discus</w:t>
      </w:r>
      <w:r>
        <w:t>s the opportunity for 3GPP to support discontinuous service link as part of the IoT NTN SI work. The relevance was justified and characteristics provided. Procedures which are affected and falling in the RAN2 scope were listed with associated proposed stud</w:t>
      </w:r>
      <w:r>
        <w:t>y items.</w:t>
      </w:r>
    </w:p>
    <w:p w14:paraId="34C14B71" w14:textId="77777777" w:rsidR="004E51D4" w:rsidRDefault="00D93528">
      <w:pPr>
        <w:spacing w:before="0" w:after="120" w:line="280" w:lineRule="auto"/>
      </w:pPr>
      <w:r>
        <w:t>The following study items are proposed :</w:t>
      </w:r>
    </w:p>
    <w:p w14:paraId="7677FBD3" w14:textId="77777777" w:rsidR="004E51D4" w:rsidRDefault="00D93528">
      <w:pPr>
        <w:tabs>
          <w:tab w:val="left" w:pos="0"/>
        </w:tabs>
        <w:rPr>
          <w:b/>
        </w:rPr>
      </w:pPr>
      <w:r>
        <w:rPr>
          <w:b/>
        </w:rPr>
        <w:t>Proposal #1: RAN2 to evaluate how system information (including ephemeris data in a new type of SIB) can support a system with discontinuous service link.</w:t>
      </w:r>
    </w:p>
    <w:p w14:paraId="7404C7D2" w14:textId="77777777" w:rsidR="004E51D4" w:rsidRDefault="00D93528">
      <w:pPr>
        <w:rPr>
          <w:b/>
        </w:rPr>
      </w:pPr>
      <w:r>
        <w:rPr>
          <w:b/>
        </w:rPr>
        <w:t>Proposal #2: RAN2 to evaluate the applicability of cell-reselection in context of a system with discontinuous service link.</w:t>
      </w:r>
    </w:p>
    <w:p w14:paraId="7672B6C0" w14:textId="77777777" w:rsidR="004E51D4" w:rsidRDefault="00D93528">
      <w:pPr>
        <w:rPr>
          <w:u w:val="single"/>
        </w:rPr>
      </w:pPr>
      <w:bookmarkStart w:id="3" w:name="_gjdgxs" w:colFirst="0" w:colLast="0"/>
      <w:bookmarkEnd w:id="3"/>
      <w:r>
        <w:rPr>
          <w:b/>
        </w:rPr>
        <w:t xml:space="preserve">Proposal #3: RAN2 to evaluate </w:t>
      </w:r>
      <w:proofErr w:type="spellStart"/>
      <w:r>
        <w:rPr>
          <w:b/>
        </w:rPr>
        <w:t>eDRX</w:t>
      </w:r>
      <w:proofErr w:type="spellEnd"/>
      <w:r>
        <w:rPr>
          <w:b/>
        </w:rPr>
        <w:t xml:space="preserve"> and paging concept in context of a system with discontinuous service link.</w:t>
      </w:r>
    </w:p>
    <w:p w14:paraId="29D9E082" w14:textId="77777777" w:rsidR="004E51D4" w:rsidRDefault="00D93528">
      <w:r>
        <w:rPr>
          <w:b/>
        </w:rPr>
        <w:t>Proposal #4: RAN2 to e</w:t>
      </w:r>
      <w:r>
        <w:rPr>
          <w:b/>
        </w:rPr>
        <w:t>valuate how PSM mode can be adapted to support a system with discontinuous service link.</w:t>
      </w:r>
    </w:p>
    <w:p w14:paraId="26869F57" w14:textId="77777777" w:rsidR="004E51D4" w:rsidRDefault="00D93528">
      <w:pPr>
        <w:pStyle w:val="Heading1"/>
      </w:pPr>
      <w:r>
        <w:t xml:space="preserve">5. List of referenced documents </w:t>
      </w:r>
    </w:p>
    <w:p w14:paraId="159B845B" w14:textId="77777777" w:rsidR="004E51D4" w:rsidRDefault="004E51D4">
      <w:pPr>
        <w:shd w:val="clear" w:color="auto" w:fill="FFFFFF"/>
        <w:spacing w:before="0" w:after="0" w:line="261" w:lineRule="auto"/>
      </w:pPr>
    </w:p>
    <w:p w14:paraId="0A314FEF" w14:textId="77777777" w:rsidR="004E51D4" w:rsidRDefault="00D93528">
      <w:pPr>
        <w:numPr>
          <w:ilvl w:val="0"/>
          <w:numId w:val="4"/>
        </w:numPr>
        <w:pBdr>
          <w:top w:val="nil"/>
          <w:left w:val="nil"/>
          <w:bottom w:val="nil"/>
          <w:right w:val="nil"/>
          <w:between w:val="nil"/>
        </w:pBdr>
        <w:spacing w:after="60"/>
        <w:ind w:left="230"/>
        <w:rPr>
          <w:color w:val="000000"/>
        </w:rPr>
      </w:pPr>
      <w:r>
        <w:t xml:space="preserve">R1-2009098, “Discussion on scenarios applicable to NB-IoT NTN, Gatehouse, </w:t>
      </w:r>
      <w:proofErr w:type="spellStart"/>
      <w:r>
        <w:t>Sateliot</w:t>
      </w:r>
      <w:proofErr w:type="spellEnd"/>
      <w:r>
        <w:t>, 3GPP TSG RAN WG1 #103 e-Meeting, October 26th – N</w:t>
      </w:r>
      <w:r>
        <w:t>ovember 13th, 2020</w:t>
      </w:r>
    </w:p>
    <w:p w14:paraId="20D43222" w14:textId="77777777" w:rsidR="004E51D4" w:rsidRDefault="00D93528">
      <w:pPr>
        <w:numPr>
          <w:ilvl w:val="0"/>
          <w:numId w:val="4"/>
        </w:numPr>
        <w:pBdr>
          <w:top w:val="nil"/>
          <w:left w:val="nil"/>
          <w:bottom w:val="nil"/>
          <w:right w:val="nil"/>
          <w:between w:val="nil"/>
        </w:pBdr>
        <w:spacing w:after="60"/>
        <w:ind w:left="230"/>
        <w:rPr>
          <w:color w:val="000000"/>
        </w:rPr>
      </w:pPr>
      <w:r>
        <w:t>RP-193235</w:t>
      </w:r>
      <w:r>
        <w:rPr>
          <w:color w:val="000000"/>
        </w:rPr>
        <w:t>, “Study on NB-Io/</w:t>
      </w:r>
      <w:proofErr w:type="spellStart"/>
      <w:r>
        <w:rPr>
          <w:color w:val="000000"/>
        </w:rPr>
        <w:t>eMTC</w:t>
      </w:r>
      <w:proofErr w:type="spellEnd"/>
      <w:r>
        <w:rPr>
          <w:color w:val="000000"/>
        </w:rPr>
        <w:t xml:space="preserve"> support for Non-Terrestrial Network”, MediaTek Inc</w:t>
      </w:r>
      <w:r>
        <w:t xml:space="preserve">, </w:t>
      </w:r>
      <w:r>
        <w:rPr>
          <w:color w:val="000000"/>
        </w:rPr>
        <w:t xml:space="preserve">3GPP TSG RAN Meeting #86 </w:t>
      </w:r>
      <w:r>
        <w:rPr>
          <w:color w:val="000000"/>
        </w:rPr>
        <w:tab/>
      </w:r>
      <w:proofErr w:type="spellStart"/>
      <w:r>
        <w:rPr>
          <w:color w:val="000000"/>
        </w:rPr>
        <w:t>Sitges</w:t>
      </w:r>
      <w:proofErr w:type="spellEnd"/>
      <w:r>
        <w:rPr>
          <w:color w:val="000000"/>
        </w:rPr>
        <w:t>, Spain, December 9-31, 2019</w:t>
      </w:r>
    </w:p>
    <w:p w14:paraId="0793FF92" w14:textId="77777777" w:rsidR="004E51D4" w:rsidRDefault="00D93528">
      <w:pPr>
        <w:numPr>
          <w:ilvl w:val="0"/>
          <w:numId w:val="4"/>
        </w:numPr>
        <w:pBdr>
          <w:top w:val="nil"/>
          <w:left w:val="nil"/>
          <w:bottom w:val="nil"/>
          <w:right w:val="nil"/>
          <w:between w:val="nil"/>
        </w:pBdr>
        <w:spacing w:after="60"/>
        <w:ind w:left="230"/>
      </w:pPr>
      <w:r>
        <w:t>R1-2008868 “</w:t>
      </w:r>
      <w:r>
        <w:t>Email summary discussion on Scenarios applicable to NB-IoT/</w:t>
      </w:r>
      <w:proofErr w:type="spellStart"/>
      <w:r>
        <w:t>eMTC</w:t>
      </w:r>
      <w:proofErr w:type="spellEnd"/>
      <w:r>
        <w:t>” (RAN1 103 summary AI 8.15.1).</w:t>
      </w:r>
    </w:p>
    <w:p w14:paraId="53C046E0" w14:textId="77777777" w:rsidR="004E51D4" w:rsidRDefault="00D93528">
      <w:pPr>
        <w:numPr>
          <w:ilvl w:val="0"/>
          <w:numId w:val="4"/>
        </w:numPr>
        <w:pBdr>
          <w:top w:val="nil"/>
          <w:left w:val="nil"/>
          <w:bottom w:val="nil"/>
          <w:right w:val="nil"/>
          <w:between w:val="nil"/>
        </w:pBdr>
        <w:spacing w:after="60"/>
        <w:ind w:left="230"/>
      </w:pPr>
      <w:proofErr w:type="spellStart"/>
      <w:r>
        <w:t>Marinan</w:t>
      </w:r>
      <w:proofErr w:type="spellEnd"/>
      <w:r>
        <w:t>, Anne Dorothy, “From CubeSats to constellations : systems design and performance analysis”, Massachusetts Institute of Technology. Department of Aeronaut</w:t>
      </w:r>
      <w:r>
        <w:t>ics and Astronautics. Available online at https://dspace.mit.edu/handle/1721.1/85807</w:t>
      </w:r>
    </w:p>
    <w:p w14:paraId="126BDA1E" w14:textId="77777777" w:rsidR="004E51D4" w:rsidRDefault="004E51D4">
      <w:pPr>
        <w:pBdr>
          <w:top w:val="nil"/>
          <w:left w:val="nil"/>
          <w:bottom w:val="nil"/>
          <w:right w:val="nil"/>
          <w:between w:val="nil"/>
        </w:pBdr>
        <w:spacing w:after="60"/>
        <w:ind w:left="6031"/>
      </w:pPr>
    </w:p>
    <w:p w14:paraId="4E9B631A" w14:textId="77777777" w:rsidR="004E51D4" w:rsidRDefault="004E51D4">
      <w:pPr>
        <w:shd w:val="clear" w:color="auto" w:fill="FFFFFF"/>
        <w:spacing w:before="0" w:after="0" w:line="261" w:lineRule="auto"/>
      </w:pPr>
    </w:p>
    <w:p w14:paraId="3A35AABF" w14:textId="77777777" w:rsidR="004E51D4" w:rsidRDefault="004E51D4">
      <w:pPr>
        <w:shd w:val="clear" w:color="auto" w:fill="FFFFFF"/>
        <w:spacing w:before="0" w:after="0" w:line="261" w:lineRule="auto"/>
      </w:pPr>
    </w:p>
    <w:p w14:paraId="37E4341C" w14:textId="77777777" w:rsidR="004E51D4" w:rsidRDefault="004E51D4">
      <w:pPr>
        <w:shd w:val="clear" w:color="auto" w:fill="FFFFFF"/>
        <w:spacing w:before="0" w:after="0" w:line="261" w:lineRule="auto"/>
      </w:pPr>
    </w:p>
    <w:p w14:paraId="48AFDE07" w14:textId="77777777" w:rsidR="004E51D4" w:rsidRDefault="004E51D4">
      <w:pPr>
        <w:shd w:val="clear" w:color="auto" w:fill="FFFFFF"/>
        <w:spacing w:before="0" w:after="0" w:line="261" w:lineRule="auto"/>
      </w:pPr>
    </w:p>
    <w:p w14:paraId="1DE593CD" w14:textId="77777777" w:rsidR="004E51D4" w:rsidRDefault="004E51D4">
      <w:pPr>
        <w:shd w:val="clear" w:color="auto" w:fill="FFFFFF"/>
        <w:spacing w:before="0" w:after="0" w:line="261" w:lineRule="auto"/>
      </w:pPr>
    </w:p>
    <w:p w14:paraId="0B63F079" w14:textId="77777777" w:rsidR="004E51D4" w:rsidRDefault="004E51D4">
      <w:pPr>
        <w:shd w:val="clear" w:color="auto" w:fill="FFFFFF"/>
        <w:spacing w:before="0" w:after="0" w:line="261" w:lineRule="auto"/>
      </w:pPr>
    </w:p>
    <w:p w14:paraId="140D12FF" w14:textId="77777777" w:rsidR="004E51D4" w:rsidRDefault="004E51D4">
      <w:pPr>
        <w:shd w:val="clear" w:color="auto" w:fill="FFFFFF"/>
        <w:spacing w:before="0" w:after="0" w:line="261" w:lineRule="auto"/>
      </w:pPr>
    </w:p>
    <w:p w14:paraId="549E8D96" w14:textId="77777777" w:rsidR="004E51D4" w:rsidRDefault="004E51D4">
      <w:pPr>
        <w:shd w:val="clear" w:color="auto" w:fill="FFFFFF"/>
        <w:spacing w:before="0" w:after="0" w:line="261" w:lineRule="auto"/>
      </w:pPr>
    </w:p>
    <w:p w14:paraId="61AAA23C" w14:textId="77777777" w:rsidR="004E51D4" w:rsidRDefault="004E51D4">
      <w:pPr>
        <w:shd w:val="clear" w:color="auto" w:fill="FFFFFF"/>
        <w:spacing w:before="0" w:after="0" w:line="261" w:lineRule="auto"/>
      </w:pPr>
    </w:p>
    <w:p w14:paraId="6A1EC377" w14:textId="77777777" w:rsidR="004E51D4" w:rsidRDefault="004E51D4">
      <w:pPr>
        <w:shd w:val="clear" w:color="auto" w:fill="FFFFFF"/>
        <w:spacing w:before="0" w:after="0" w:line="261" w:lineRule="auto"/>
      </w:pPr>
    </w:p>
    <w:p w14:paraId="393DAD1C" w14:textId="77777777" w:rsidR="004E51D4" w:rsidRDefault="004E51D4">
      <w:pPr>
        <w:pBdr>
          <w:top w:val="nil"/>
          <w:left w:val="nil"/>
          <w:bottom w:val="nil"/>
          <w:right w:val="nil"/>
          <w:between w:val="nil"/>
        </w:pBdr>
        <w:spacing w:after="60"/>
      </w:pPr>
    </w:p>
    <w:p w14:paraId="0E26CED6" w14:textId="77777777" w:rsidR="004E51D4" w:rsidRDefault="004E51D4">
      <w:pPr>
        <w:pBdr>
          <w:top w:val="nil"/>
          <w:left w:val="nil"/>
          <w:bottom w:val="nil"/>
          <w:right w:val="nil"/>
          <w:between w:val="nil"/>
        </w:pBdr>
        <w:spacing w:after="60"/>
      </w:pPr>
    </w:p>
    <w:p w14:paraId="01D99C0C" w14:textId="77777777" w:rsidR="004E51D4" w:rsidRDefault="004E51D4">
      <w:pPr>
        <w:pBdr>
          <w:top w:val="nil"/>
          <w:left w:val="nil"/>
          <w:bottom w:val="nil"/>
          <w:right w:val="nil"/>
          <w:between w:val="nil"/>
        </w:pBdr>
        <w:spacing w:after="60"/>
      </w:pPr>
    </w:p>
    <w:sectPr w:rsidR="004E51D4">
      <w:pgSz w:w="11906" w:h="16838"/>
      <w:pgMar w:top="1418"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2B136E"/>
    <w:multiLevelType w:val="multilevel"/>
    <w:tmpl w:val="0958D9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19A14A7"/>
    <w:multiLevelType w:val="multilevel"/>
    <w:tmpl w:val="ED02EE2A"/>
    <w:lvl w:ilvl="0">
      <w:start w:val="1"/>
      <w:numFmt w:val="decimal"/>
      <w:lvlText w:val="[%1]"/>
      <w:lvlJc w:val="left"/>
      <w:pPr>
        <w:ind w:left="6031"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650943E5"/>
    <w:multiLevelType w:val="multilevel"/>
    <w:tmpl w:val="CBE237C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6C42B33"/>
    <w:multiLevelType w:val="multilevel"/>
    <w:tmpl w:val="FEFCCFB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51D4"/>
    <w:rsid w:val="004E51D4"/>
    <w:rsid w:val="00AF440B"/>
    <w:rsid w:val="00D935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50A5"/>
  <w15:docId w15:val="{1910F35D-3FCA-4426-B27A-31FCA25C1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sz w:val="22"/>
        <w:szCs w:val="22"/>
        <w:lang w:val="en-US" w:eastAsia="en-GB" w:bidi="ar-SA"/>
      </w:rPr>
    </w:rPrDefault>
    <w:pPrDefault>
      <w:pPr>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tabs>
        <w:tab w:val="left" w:pos="0"/>
      </w:tabs>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unhideWhenUsed/>
    <w:qFormat/>
    <w:pPr>
      <w:keepNext/>
      <w:tabs>
        <w:tab w:val="left" w:pos="0"/>
      </w:tabs>
      <w:jc w:val="left"/>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ind w:left="300" w:hanging="2000"/>
      <w:outlineLvl w:val="2"/>
    </w:pPr>
    <w:rPr>
      <w:rFonts w:ascii="Arial" w:eastAsia="Arial" w:hAnsi="Arial" w:cs="Arial"/>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1410</Words>
  <Characters>8038</Characters>
  <Application>Microsoft Office Word</Application>
  <DocSecurity>0</DocSecurity>
  <Lines>66</Lines>
  <Paragraphs>18</Paragraphs>
  <ScaleCrop>false</ScaleCrop>
  <Company/>
  <LinksUpToDate>false</LinksUpToDate>
  <CharactersWithSpaces>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van der Pool</cp:lastModifiedBy>
  <cp:revision>3</cp:revision>
  <dcterms:created xsi:type="dcterms:W3CDTF">2021-01-13T16:03:00Z</dcterms:created>
  <dcterms:modified xsi:type="dcterms:W3CDTF">2021-01-13T16:04:00Z</dcterms:modified>
</cp:coreProperties>
</file>