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444255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w:t>
      </w:r>
      <w:r w:rsidR="00036205">
        <w:rPr>
          <w:bCs/>
          <w:noProof w:val="0"/>
          <w:sz w:val="24"/>
          <w:szCs w:val="24"/>
        </w:rPr>
        <w:t>1</w:t>
      </w:r>
      <w:r w:rsidR="00C571C2">
        <w:rPr>
          <w:bCs/>
          <w:noProof w:val="0"/>
          <w:sz w:val="24"/>
          <w:szCs w:val="24"/>
        </w:rPr>
        <w:t>00511</w:t>
      </w:r>
    </w:p>
    <w:p w14:paraId="11776FA6" w14:textId="068DEF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36205">
        <w:rPr>
          <w:rFonts w:eastAsia="SimSun"/>
          <w:bCs/>
          <w:sz w:val="24"/>
          <w:szCs w:val="24"/>
          <w:lang w:eastAsia="zh-CN"/>
        </w:rPr>
        <w:t>5</w:t>
      </w:r>
      <w:r w:rsidR="00885B22">
        <w:rPr>
          <w:rFonts w:eastAsia="SimSun"/>
          <w:bCs/>
          <w:sz w:val="24"/>
          <w:szCs w:val="24"/>
          <w:lang w:eastAsia="zh-CN"/>
        </w:rPr>
        <w:t>th of</w:t>
      </w:r>
      <w:r w:rsidR="00036205">
        <w:rPr>
          <w:rFonts w:eastAsia="SimSun"/>
          <w:bCs/>
          <w:sz w:val="24"/>
          <w:szCs w:val="24"/>
          <w:lang w:eastAsia="zh-CN"/>
        </w:rPr>
        <w:t xml:space="preserve"> January</w:t>
      </w:r>
      <w:r w:rsidR="000F034D" w:rsidRPr="006574C0">
        <w:rPr>
          <w:rFonts w:eastAsia="SimSun"/>
          <w:bCs/>
          <w:sz w:val="24"/>
          <w:szCs w:val="24"/>
          <w:lang w:eastAsia="zh-CN"/>
        </w:rPr>
        <w:t xml:space="preserve"> – </w:t>
      </w:r>
      <w:r w:rsidR="00036205">
        <w:rPr>
          <w:rFonts w:eastAsia="SimSun"/>
          <w:bCs/>
          <w:sz w:val="24"/>
          <w:szCs w:val="24"/>
          <w:lang w:eastAsia="zh-CN"/>
        </w:rPr>
        <w:t>5</w:t>
      </w:r>
      <w:r w:rsidR="00885B22" w:rsidRPr="00885B22">
        <w:rPr>
          <w:rFonts w:eastAsia="SimSun"/>
          <w:bCs/>
          <w:sz w:val="24"/>
          <w:szCs w:val="24"/>
          <w:vertAlign w:val="superscript"/>
          <w:lang w:eastAsia="zh-CN"/>
        </w:rPr>
        <w:t>th</w:t>
      </w:r>
      <w:r w:rsidR="00885B22">
        <w:rPr>
          <w:rFonts w:eastAsia="SimSun"/>
          <w:bCs/>
          <w:sz w:val="24"/>
          <w:szCs w:val="24"/>
          <w:lang w:eastAsia="zh-CN"/>
        </w:rPr>
        <w:t xml:space="preserve"> of</w:t>
      </w:r>
      <w:r w:rsidR="00036205">
        <w:rPr>
          <w:rFonts w:eastAsia="SimSun"/>
          <w:bCs/>
          <w:sz w:val="24"/>
          <w:szCs w:val="24"/>
          <w:lang w:eastAsia="zh-CN"/>
        </w:rPr>
        <w:t xml:space="preserve"> February</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09D5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7236">
        <w:rPr>
          <w:rFonts w:cs="Arial"/>
          <w:b/>
          <w:bCs/>
          <w:sz w:val="24"/>
          <w:lang w:eastAsia="ja-JP"/>
        </w:rPr>
        <w:t>9</w:t>
      </w:r>
      <w:r w:rsidR="00036205">
        <w:rPr>
          <w:rFonts w:cs="Arial"/>
          <w:b/>
          <w:bCs/>
          <w:sz w:val="24"/>
          <w:lang w:eastAsia="ja-JP"/>
        </w:rPr>
        <w:t>.</w:t>
      </w:r>
      <w:r w:rsidR="00C07236">
        <w:rPr>
          <w:rFonts w:cs="Arial"/>
          <w:b/>
          <w:bCs/>
          <w:sz w:val="24"/>
          <w:lang w:eastAsia="ja-JP"/>
        </w:rPr>
        <w:t>2</w:t>
      </w:r>
      <w:r w:rsidR="00036205">
        <w:rPr>
          <w:rFonts w:cs="Arial"/>
          <w:b/>
          <w:bCs/>
          <w:sz w:val="24"/>
          <w:lang w:eastAsia="ja-JP"/>
        </w:rPr>
        <w:t>.</w:t>
      </w:r>
      <w:r w:rsidR="00C571C2">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FB9B2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7236">
        <w:rPr>
          <w:rFonts w:ascii="Arial" w:hAnsi="Arial" w:cs="Arial"/>
          <w:b/>
          <w:bCs/>
          <w:sz w:val="24"/>
        </w:rPr>
        <w:t>NB-IoT/eMTC Features Applicability for NTN</w:t>
      </w:r>
    </w:p>
    <w:p w14:paraId="0A6B1AE6" w14:textId="77777777" w:rsidR="0011699F" w:rsidRPr="00B266B0" w:rsidRDefault="00A209D6" w:rsidP="0011699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699F" w:rsidRPr="002A3B52">
        <w:rPr>
          <w:rFonts w:ascii="Arial" w:hAnsi="Arial" w:cs="Arial"/>
          <w:b/>
          <w:bCs/>
          <w:sz w:val="24"/>
        </w:rPr>
        <w:t>FS_LTE_NBIOT_eMTC_NTN</w:t>
      </w:r>
      <w:r w:rsidR="0011699F">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2991DFEB" w14:textId="41DDE470" w:rsidR="00846011" w:rsidRDefault="0011699F" w:rsidP="00581213">
      <w:pPr>
        <w:jc w:val="both"/>
      </w:pPr>
      <w:r>
        <w:t>One of the important aspect to be studied as part of the IoT-NTN study item is the applicability and specification impact of the features introduced for terrestrial cellular IoT system from Rel-13 to Rel-17. In this discussion paper we analyse the NB-IoT /eMTC features introduced in past 4 3GPP releases for consideration in the IoT-NTN study item. We also propose to prioritise the applicability of features based on the benefits and relevance for NTN scenarios.</w:t>
      </w:r>
    </w:p>
    <w:p w14:paraId="2BBFF540" w14:textId="375B92B5" w:rsidR="00A209D6" w:rsidRPr="006E13D1" w:rsidRDefault="00A209D6" w:rsidP="00A209D6">
      <w:pPr>
        <w:pStyle w:val="Heading1"/>
      </w:pPr>
      <w:r w:rsidRPr="006E13D1">
        <w:t>2</w:t>
      </w:r>
      <w:r w:rsidRPr="006E13D1">
        <w:tab/>
      </w:r>
      <w:r w:rsidR="00BB2426">
        <w:t>Discussion</w:t>
      </w:r>
    </w:p>
    <w:p w14:paraId="66F4A97A" w14:textId="1FA95B2E" w:rsidR="00C07236" w:rsidRPr="00520A14" w:rsidRDefault="00C07236" w:rsidP="00C07236">
      <w:r>
        <w:t xml:space="preserve">NB-IoT/eMTC systems evolved from Rel-13 until now </w:t>
      </w:r>
      <w:proofErr w:type="spellStart"/>
      <w:r>
        <w:t>upto</w:t>
      </w:r>
      <w:proofErr w:type="spellEnd"/>
      <w:r>
        <w:t xml:space="preserve"> Rel-16 with various features introduced focusing on enhancements for energy consumption, coverage and network operation aspects. Many of these features are not applicable</w:t>
      </w:r>
      <w:r w:rsidR="0004663C">
        <w:t xml:space="preserve"> for NR over terrestrial network</w:t>
      </w:r>
      <w:r>
        <w:t xml:space="preserve">. For some features the way the feature is implemented are different from the NR implementations. </w:t>
      </w:r>
      <w:r w:rsidR="00185889">
        <w:t xml:space="preserve">So </w:t>
      </w:r>
      <w:r>
        <w:t>we propose the study also identify and analyse the NTN applicability of NB-IoT specific features.</w:t>
      </w:r>
    </w:p>
    <w:p w14:paraId="531692FF" w14:textId="77777777" w:rsidR="00C07236" w:rsidRDefault="00C07236" w:rsidP="00C07236">
      <w:r>
        <w:t xml:space="preserve">The basic functionality for NB-IoT/eMTC devices introduced in Rel-13 are power saving and coverage enhancements. </w:t>
      </w:r>
    </w:p>
    <w:p w14:paraId="24122D23" w14:textId="77777777" w:rsidR="00C07236" w:rsidRDefault="00C07236" w:rsidP="00C07236">
      <w:r>
        <w:t xml:space="preserve">For power saving, extended DRX and power saving functionality with UE entering into deep sleep mode without any network monitoring for long time was supported.  In addition the idle mode RRM measurements are further relaxed to reduce the power consumption.  </w:t>
      </w:r>
    </w:p>
    <w:p w14:paraId="685A4BCA" w14:textId="77777777" w:rsidR="00C07236" w:rsidRDefault="00C07236" w:rsidP="00C07236">
      <w:r>
        <w:t>Extended coverage is supported with blind physical layer transmissions for all the channels. For common channels such as PBCH and System Information maximum repetitions applicable for extended coverage are used. For other channels number of repetitions based on the coverage condition of the UE is applied with additional blind decoding attempts.  The maximum repetitions associated with each coverage level are configurable via system information. For connected mode operation, the number of repetitions are controlled via dedicated signalling. UE assistance information about coverage level may be required to fine tune the number of repetitions.</w:t>
      </w:r>
    </w:p>
    <w:p w14:paraId="6B1A6770" w14:textId="6AE84DD6" w:rsidR="00C07236" w:rsidRDefault="00C07236" w:rsidP="00C07236">
      <w:r>
        <w:t xml:space="preserve">Further releases of NB-IoT/eMTC enhances the basic functionality to further improve the power saving, network efficiency and operational enhancements. Below table provides the brief list of NB-IoT/eMTC features introduced </w:t>
      </w:r>
      <w:proofErr w:type="spellStart"/>
      <w:r>
        <w:t>upto</w:t>
      </w:r>
      <w:proofErr w:type="spellEnd"/>
      <w:r>
        <w:t xml:space="preserve"> Rel-1</w:t>
      </w:r>
      <w:r w:rsidR="0004663C">
        <w:t>7</w:t>
      </w:r>
    </w:p>
    <w:p w14:paraId="6EFF1278" w14:textId="77777777" w:rsidR="00C07236" w:rsidRDefault="00C07236" w:rsidP="00C07236">
      <w:r>
        <w:rPr>
          <w:noProof/>
        </w:rPr>
        <w:lastRenderedPageBreak/>
        <w:drawing>
          <wp:inline distT="0" distB="0" distL="0" distR="0" wp14:anchorId="71F60399" wp14:editId="05F4EE62">
            <wp:extent cx="6369683" cy="2636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369683" cy="2636520"/>
                    </a:xfrm>
                    <a:prstGeom prst="rect">
                      <a:avLst/>
                    </a:prstGeom>
                  </pic:spPr>
                </pic:pic>
              </a:graphicData>
            </a:graphic>
          </wp:inline>
        </w:drawing>
      </w:r>
    </w:p>
    <w:p w14:paraId="4A747D41" w14:textId="77777777" w:rsidR="00C07236" w:rsidRDefault="00C07236" w:rsidP="00C07236">
      <w:pPr>
        <w:rPr>
          <w:b/>
          <w:bCs/>
        </w:rPr>
      </w:pPr>
      <w:r w:rsidRPr="00167DBF">
        <w:rPr>
          <w:b/>
          <w:bCs/>
        </w:rPr>
        <w:t>Proposal 1:</w:t>
      </w:r>
      <w:r>
        <w:rPr>
          <w:b/>
          <w:bCs/>
        </w:rPr>
        <w:t xml:space="preserve"> </w:t>
      </w:r>
      <w:r w:rsidRPr="00167DBF">
        <w:rPr>
          <w:b/>
          <w:bCs/>
        </w:rPr>
        <w:t>IoT-NTN study should include the impact analysis and applicability of existing IoT features for NTN.</w:t>
      </w:r>
    </w:p>
    <w:p w14:paraId="72053117" w14:textId="4191C6D9" w:rsidR="00166072" w:rsidRPr="00C84A0D" w:rsidRDefault="00166072" w:rsidP="00166072">
      <w:pPr>
        <w:spacing w:after="160" w:line="259" w:lineRule="auto"/>
      </w:pPr>
      <w:r w:rsidRPr="00C84A0D">
        <w:t>As the NTN cell coverage is</w:t>
      </w:r>
      <w:r w:rsidR="000A2B47">
        <w:t xml:space="preserve"> potentially</w:t>
      </w:r>
      <w:r w:rsidRPr="00C84A0D">
        <w:t xml:space="preserve"> several times larger than terr</w:t>
      </w:r>
      <w:r>
        <w:t>e</w:t>
      </w:r>
      <w:r w:rsidRPr="00C84A0D">
        <w:t>strial coverage, the device density per cell is expected to be higher in NTN cells.</w:t>
      </w:r>
      <w:r>
        <w:t xml:space="preserve">  </w:t>
      </w:r>
      <w:r w:rsidRPr="00C84A0D">
        <w:t>In such cases, single carrier operation is not sufficient to handle the device density of NTN cell. Hence multi-carrier operation with non-anchor carriers is essential for NB-IoT over NTN.</w:t>
      </w:r>
      <w:r>
        <w:t xml:space="preserve"> As this feature is essential for IoT-NTN operation, the baseline release for adaptation should be Rel-14.</w:t>
      </w:r>
    </w:p>
    <w:p w14:paraId="4C393764" w14:textId="77777777" w:rsidR="00166072" w:rsidRPr="00C84A0D" w:rsidRDefault="00166072" w:rsidP="00166072">
      <w:pPr>
        <w:rPr>
          <w:b/>
          <w:bCs/>
        </w:rPr>
      </w:pPr>
      <w:r w:rsidRPr="00C84A0D">
        <w:rPr>
          <w:b/>
          <w:bCs/>
        </w:rPr>
        <w:t>Proposal 2:</w:t>
      </w:r>
      <w:r>
        <w:rPr>
          <w:b/>
          <w:bCs/>
        </w:rPr>
        <w:t xml:space="preserve"> </w:t>
      </w:r>
      <w:r w:rsidRPr="00C84A0D">
        <w:rPr>
          <w:b/>
          <w:bCs/>
        </w:rPr>
        <w:t>For NB-IoT over NTN, Rel-14 NB-IoT functionality is assumed as baseline functionality with support of non-anchor carrier operation for idle mode operation as mandatory capability.</w:t>
      </w:r>
    </w:p>
    <w:p w14:paraId="4A0ED0DE" w14:textId="77777777" w:rsidR="00166072" w:rsidRDefault="00166072" w:rsidP="00166072">
      <w:pPr>
        <w:spacing w:after="160" w:line="259" w:lineRule="auto"/>
      </w:pPr>
      <w:r>
        <w:t xml:space="preserve">As energy efficiency is key aspect for IoT-NTN operation, the features relevant for energy efficiency should be prioritised for analysis on applicability for IoT-NTN.  The key features required for energy efficient operations are </w:t>
      </w:r>
    </w:p>
    <w:p w14:paraId="356FB0D0" w14:textId="77777777" w:rsidR="00166072" w:rsidRPr="000A03FC" w:rsidRDefault="00166072" w:rsidP="00166072">
      <w:pPr>
        <w:pStyle w:val="ListParagraph"/>
        <w:numPr>
          <w:ilvl w:val="0"/>
          <w:numId w:val="23"/>
        </w:numPr>
        <w:spacing w:after="160" w:line="259" w:lineRule="auto"/>
        <w:rPr>
          <w:rFonts w:ascii="Times New Roman" w:hAnsi="Times New Roman"/>
        </w:rPr>
      </w:pPr>
      <w:r w:rsidRPr="000A03FC">
        <w:rPr>
          <w:rFonts w:ascii="Times New Roman" w:hAnsi="Times New Roman"/>
        </w:rPr>
        <w:t xml:space="preserve">Mobile originated Early Data Transmission </w:t>
      </w:r>
    </w:p>
    <w:p w14:paraId="18DEDF13" w14:textId="77777777" w:rsidR="00166072" w:rsidRDefault="00166072" w:rsidP="00166072">
      <w:pPr>
        <w:pStyle w:val="ListParagraph"/>
        <w:numPr>
          <w:ilvl w:val="0"/>
          <w:numId w:val="23"/>
        </w:numPr>
        <w:spacing w:after="160" w:line="259" w:lineRule="auto"/>
        <w:rPr>
          <w:rFonts w:ascii="Times New Roman" w:hAnsi="Times New Roman"/>
        </w:rPr>
      </w:pPr>
      <w:r w:rsidRPr="000A03FC">
        <w:rPr>
          <w:rFonts w:ascii="Times New Roman" w:hAnsi="Times New Roman"/>
        </w:rPr>
        <w:t>Pre-configured uplink resources</w:t>
      </w:r>
    </w:p>
    <w:p w14:paraId="3920A8A1" w14:textId="776BD19A" w:rsidR="00166072" w:rsidRPr="000A03FC" w:rsidRDefault="000A2B47" w:rsidP="00166072">
      <w:pPr>
        <w:pStyle w:val="ListParagraph"/>
        <w:numPr>
          <w:ilvl w:val="0"/>
          <w:numId w:val="23"/>
        </w:numPr>
        <w:spacing w:after="160" w:line="259" w:lineRule="auto"/>
        <w:rPr>
          <w:rFonts w:ascii="Times New Roman" w:hAnsi="Times New Roman"/>
        </w:rPr>
      </w:pPr>
      <w:r>
        <w:rPr>
          <w:rFonts w:ascii="Times New Roman" w:hAnsi="Times New Roman"/>
        </w:rPr>
        <w:t xml:space="preserve">(group) </w:t>
      </w:r>
      <w:r w:rsidR="00166072" w:rsidRPr="000A03FC">
        <w:rPr>
          <w:rFonts w:ascii="Times New Roman" w:hAnsi="Times New Roman"/>
        </w:rPr>
        <w:t>Wake-up Signal Support.</w:t>
      </w:r>
    </w:p>
    <w:p w14:paraId="34F20254" w14:textId="77777777" w:rsidR="00166072" w:rsidRDefault="00166072" w:rsidP="00166072">
      <w:pPr>
        <w:pStyle w:val="ListParagraph"/>
        <w:numPr>
          <w:ilvl w:val="0"/>
          <w:numId w:val="23"/>
        </w:numPr>
        <w:spacing w:after="160" w:line="259" w:lineRule="auto"/>
        <w:rPr>
          <w:rFonts w:ascii="Times New Roman" w:hAnsi="Times New Roman"/>
        </w:rPr>
      </w:pPr>
      <w:r>
        <w:rPr>
          <w:rFonts w:ascii="Times New Roman" w:hAnsi="Times New Roman"/>
        </w:rPr>
        <w:t>Relaxed monitoring</w:t>
      </w:r>
    </w:p>
    <w:p w14:paraId="43502230" w14:textId="77777777" w:rsidR="00166072" w:rsidRPr="000A03FC" w:rsidRDefault="00166072" w:rsidP="00166072">
      <w:pPr>
        <w:pStyle w:val="ListParagraph"/>
        <w:numPr>
          <w:ilvl w:val="0"/>
          <w:numId w:val="23"/>
        </w:numPr>
        <w:spacing w:after="160" w:line="259" w:lineRule="auto"/>
        <w:rPr>
          <w:rFonts w:ascii="Times New Roman" w:hAnsi="Times New Roman"/>
        </w:rPr>
      </w:pPr>
      <w:r w:rsidRPr="000A03FC">
        <w:rPr>
          <w:rFonts w:ascii="Times New Roman" w:hAnsi="Times New Roman"/>
        </w:rPr>
        <w:t xml:space="preserve">Quick Release of RRC Connection </w:t>
      </w:r>
    </w:p>
    <w:p w14:paraId="743C64D3" w14:textId="11A3AF2A" w:rsidR="00166072" w:rsidRPr="00564801" w:rsidRDefault="00166072" w:rsidP="00166072">
      <w:pPr>
        <w:spacing w:after="160" w:line="259" w:lineRule="auto"/>
      </w:pPr>
      <w:r>
        <w:t>Above features are applicable for both NB-IoT and eMTC. There are some features specific to eMTC such as sub PRB operations</w:t>
      </w:r>
      <w:r w:rsidR="000A2B47">
        <w:t>, which</w:t>
      </w:r>
      <w:r>
        <w:t xml:space="preserve"> also improve the energy consumption of the devices. </w:t>
      </w:r>
    </w:p>
    <w:p w14:paraId="4BF4E73E" w14:textId="77777777" w:rsidR="00166072" w:rsidRPr="000A03FC" w:rsidRDefault="00166072" w:rsidP="00166072">
      <w:pPr>
        <w:jc w:val="both"/>
        <w:rPr>
          <w:b/>
          <w:bCs/>
        </w:rPr>
      </w:pPr>
      <w:r w:rsidRPr="000A03FC">
        <w:rPr>
          <w:b/>
          <w:bCs/>
        </w:rPr>
        <w:t>Proposal 3: IoT Features which enhances the energy efficiency of the device should be considered for adaptation for NTN operation with high priority.</w:t>
      </w:r>
    </w:p>
    <w:p w14:paraId="0D580148" w14:textId="0B8263A3" w:rsidR="00166072" w:rsidRPr="000A03FC" w:rsidRDefault="00166072" w:rsidP="00166072">
      <w:pPr>
        <w:jc w:val="both"/>
      </w:pPr>
      <w:r>
        <w:t xml:space="preserve">As the initial release for IoT-NTN aims to provide minimum throughput performance with improved energy efficiency, the features which enhances throughput performance can be considered in later releases for adaptation to IoT-NTN. The features such as multiple transport block scheduling, higher transport block sizes, higher MCS support can be </w:t>
      </w:r>
      <w:r w:rsidR="0004663C">
        <w:t>Considered for adaptation after the features relevant for energy consumptions are studied</w:t>
      </w:r>
    </w:p>
    <w:p w14:paraId="0435CCC6" w14:textId="5258FA47" w:rsidR="00166072" w:rsidRDefault="00166072" w:rsidP="00166072">
      <w:pPr>
        <w:jc w:val="both"/>
        <w:rPr>
          <w:b/>
          <w:bCs/>
        </w:rPr>
      </w:pPr>
      <w:r w:rsidRPr="000A03FC">
        <w:rPr>
          <w:b/>
          <w:bCs/>
        </w:rPr>
        <w:t xml:space="preserve">Proposal </w:t>
      </w:r>
      <w:r>
        <w:rPr>
          <w:b/>
          <w:bCs/>
        </w:rPr>
        <w:t>4</w:t>
      </w:r>
      <w:r w:rsidRPr="000A03FC">
        <w:rPr>
          <w:b/>
          <w:bCs/>
        </w:rPr>
        <w:t xml:space="preserve">: </w:t>
      </w:r>
      <w:r w:rsidR="0004663C">
        <w:rPr>
          <w:b/>
          <w:bCs/>
        </w:rPr>
        <w:t xml:space="preserve">RAN2 to discuss the priority of the NB-IoT/eMTC </w:t>
      </w:r>
      <w:r w:rsidRPr="000A03FC">
        <w:rPr>
          <w:b/>
          <w:bCs/>
        </w:rPr>
        <w:t xml:space="preserve">Features </w:t>
      </w:r>
      <w:r w:rsidR="0004663C">
        <w:rPr>
          <w:b/>
          <w:bCs/>
        </w:rPr>
        <w:t>Associated with throughput enhancement for Rel-17 study.</w:t>
      </w:r>
    </w:p>
    <w:p w14:paraId="19109AB9" w14:textId="4EC69036" w:rsidR="0004663C" w:rsidRDefault="0004663C" w:rsidP="00166072">
      <w:pPr>
        <w:jc w:val="both"/>
      </w:pPr>
      <w:r w:rsidRPr="0004663C">
        <w:t>For IoT-over-NTN one of the main issue which impacts the delay of transmission is the HARQ feedback for single transmission.</w:t>
      </w:r>
      <w:r>
        <w:t xml:space="preserve"> With more number of HARQ processes and bundling this impact of the HARQ feedback delay can be minimised. Hence we propose that HARQ optimisation features introduced in eMTC/NB-IoT are considered in Rel-17 study item along with power saving features.</w:t>
      </w:r>
    </w:p>
    <w:p w14:paraId="5A3E8D57" w14:textId="6C3B399B" w:rsidR="0004663C" w:rsidRDefault="0004663C" w:rsidP="0004663C">
      <w:pPr>
        <w:jc w:val="both"/>
        <w:rPr>
          <w:b/>
          <w:bCs/>
        </w:rPr>
      </w:pPr>
      <w:r w:rsidRPr="000A03FC">
        <w:rPr>
          <w:b/>
          <w:bCs/>
        </w:rPr>
        <w:t xml:space="preserve">Proposal </w:t>
      </w:r>
      <w:r>
        <w:rPr>
          <w:b/>
          <w:bCs/>
        </w:rPr>
        <w:t>5</w:t>
      </w:r>
      <w:r w:rsidRPr="000A03FC">
        <w:rPr>
          <w:b/>
          <w:bCs/>
        </w:rPr>
        <w:t xml:space="preserve">: </w:t>
      </w:r>
      <w:r>
        <w:rPr>
          <w:b/>
          <w:bCs/>
        </w:rPr>
        <w:t>HARQ optimisation features of eMTC/NB-IOT are considered in Rel-17 IoT-NTN study</w:t>
      </w:r>
      <w:r w:rsidR="0011699F">
        <w:rPr>
          <w:b/>
          <w:bCs/>
        </w:rPr>
        <w:t>.</w:t>
      </w:r>
    </w:p>
    <w:p w14:paraId="32974D4C" w14:textId="23675E61" w:rsidR="0004663C" w:rsidRPr="0004663C" w:rsidRDefault="0004663C" w:rsidP="00166072">
      <w:pPr>
        <w:jc w:val="both"/>
      </w:pPr>
    </w:p>
    <w:p w14:paraId="1EFD8273" w14:textId="77777777" w:rsidR="00166072" w:rsidRDefault="00166072" w:rsidP="00166072">
      <w:pPr>
        <w:jc w:val="both"/>
      </w:pPr>
      <w:r>
        <w:t xml:space="preserve">It was agreed to consider EPC connectivity as baseline functionality for IoT-NTN in RAN2-112e. As most of the existing NB-IOT/eMTC deployments and also the devices only support EPC connectivity, extending the device and network connectivity of existing IoT network for NTN for EPC would require minimum migration efforts.  5GC connectivity for </w:t>
      </w:r>
      <w:proofErr w:type="spellStart"/>
      <w:r>
        <w:t>CIoT</w:t>
      </w:r>
      <w:proofErr w:type="spellEnd"/>
      <w:r>
        <w:t xml:space="preserve"> is only defined in Rel-16 and network deployments and devices with this capability are yet to be available. Hence we propose to exclude 5GC connectivity for IoT-NTN in Rel-17 to minimise the study efforts in analysing the features which are not immediately required for deployments.</w:t>
      </w:r>
    </w:p>
    <w:p w14:paraId="7E824A4B" w14:textId="148B79A1" w:rsidR="00166072" w:rsidRDefault="00166072" w:rsidP="00166072">
      <w:pPr>
        <w:jc w:val="both"/>
        <w:rPr>
          <w:b/>
          <w:bCs/>
        </w:rPr>
      </w:pPr>
      <w:r w:rsidRPr="000A03FC">
        <w:rPr>
          <w:b/>
          <w:bCs/>
        </w:rPr>
        <w:t xml:space="preserve">Proposal </w:t>
      </w:r>
      <w:r w:rsidR="0004663C">
        <w:rPr>
          <w:b/>
          <w:bCs/>
        </w:rPr>
        <w:t>6</w:t>
      </w:r>
      <w:r w:rsidRPr="000A03FC">
        <w:rPr>
          <w:b/>
          <w:bCs/>
        </w:rPr>
        <w:t xml:space="preserve">: </w:t>
      </w:r>
      <w:r>
        <w:rPr>
          <w:b/>
          <w:bCs/>
        </w:rPr>
        <w:t>5GC Connectivity for IoT-NTN should be excluded from Rel-17 study Item.</w:t>
      </w:r>
    </w:p>
    <w:p w14:paraId="67691B40" w14:textId="5D518A3D" w:rsidR="00166072" w:rsidRDefault="00166072" w:rsidP="00166072">
      <w:pPr>
        <w:jc w:val="both"/>
      </w:pPr>
      <w:r>
        <w:t>As the IoT-NTN device will have GNSS functionality, the positioning features introduced in NB-IoT /eMTC devices which make use of terrestrial network components are not required for the IoT-NTN devices.</w:t>
      </w:r>
      <w:r w:rsidR="000A2B47">
        <w:t xml:space="preserve"> Furthermore, it may be difficult to facilitate OTDOA, because the IoT-NTN device is not likely to be able to receive from multiple different satellites within a short time span.</w:t>
      </w:r>
    </w:p>
    <w:p w14:paraId="464757C4" w14:textId="45C5D900" w:rsidR="00166072" w:rsidRDefault="00166072" w:rsidP="00166072">
      <w:pPr>
        <w:jc w:val="both"/>
        <w:rPr>
          <w:b/>
          <w:bCs/>
        </w:rPr>
      </w:pPr>
      <w:r w:rsidRPr="000A03FC">
        <w:rPr>
          <w:b/>
          <w:bCs/>
        </w:rPr>
        <w:t xml:space="preserve">Proposal </w:t>
      </w:r>
      <w:r w:rsidR="0004663C">
        <w:rPr>
          <w:b/>
          <w:bCs/>
        </w:rPr>
        <w:t>7</w:t>
      </w:r>
      <w:r w:rsidRPr="000A03FC">
        <w:rPr>
          <w:b/>
          <w:bCs/>
        </w:rPr>
        <w:t xml:space="preserve">: </w:t>
      </w:r>
      <w:r>
        <w:rPr>
          <w:b/>
          <w:bCs/>
        </w:rPr>
        <w:t>Positioning Features introduced in NB-IoT/eMTC specifications are not required for IoT-NTN operation.</w:t>
      </w:r>
    </w:p>
    <w:p w14:paraId="39FEDB29" w14:textId="77777777" w:rsidR="00166072" w:rsidRPr="002921D4" w:rsidRDefault="00166072" w:rsidP="00166072">
      <w:pPr>
        <w:jc w:val="both"/>
      </w:pPr>
      <w:r>
        <w:t>As NR-NTN and IoT-NTN services may co-exist at the same time from given network deployments, the eMTC/NB-IoT features applicable for NR co-existence needs to be analysed as part of IoT-NTN study item.</w:t>
      </w:r>
    </w:p>
    <w:p w14:paraId="012A8F63" w14:textId="15A3366A" w:rsidR="00166072" w:rsidRPr="00564801" w:rsidRDefault="00166072" w:rsidP="00166072">
      <w:pPr>
        <w:jc w:val="both"/>
      </w:pPr>
      <w:r w:rsidRPr="000A03FC">
        <w:rPr>
          <w:b/>
          <w:bCs/>
        </w:rPr>
        <w:t xml:space="preserve">Proposal </w:t>
      </w:r>
      <w:r w:rsidR="0004663C">
        <w:rPr>
          <w:b/>
          <w:bCs/>
        </w:rPr>
        <w:t>8</w:t>
      </w:r>
      <w:r w:rsidRPr="000A03FC">
        <w:rPr>
          <w:b/>
          <w:bCs/>
        </w:rPr>
        <w:t xml:space="preserve">: </w:t>
      </w:r>
      <w:r>
        <w:rPr>
          <w:b/>
          <w:bCs/>
        </w:rPr>
        <w:t xml:space="preserve">NR Co-existence Features of NB-IoT/eMTC </w:t>
      </w:r>
      <w:r w:rsidR="003377A6">
        <w:rPr>
          <w:b/>
          <w:bCs/>
        </w:rPr>
        <w:t>should</w:t>
      </w:r>
      <w:r>
        <w:rPr>
          <w:b/>
          <w:bCs/>
        </w:rPr>
        <w:t xml:space="preserve"> be considered for adaptation as part of IoT-NTN study work.</w:t>
      </w:r>
    </w:p>
    <w:p w14:paraId="18EDF4E9" w14:textId="7475495E" w:rsidR="00887531" w:rsidRPr="009960A9" w:rsidRDefault="00887531" w:rsidP="009960A9">
      <w:pPr>
        <w:jc w:val="both"/>
        <w:rPr>
          <w:b/>
          <w:bCs/>
        </w:rPr>
      </w:pP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4FC083C2" w14:textId="77777777" w:rsidR="0011699F" w:rsidRDefault="0011699F" w:rsidP="0011699F">
      <w:pPr>
        <w:rPr>
          <w:b/>
          <w:bCs/>
        </w:rPr>
      </w:pPr>
      <w:r w:rsidRPr="00167DBF">
        <w:rPr>
          <w:b/>
          <w:bCs/>
        </w:rPr>
        <w:t>Proposal 1:</w:t>
      </w:r>
      <w:r>
        <w:rPr>
          <w:b/>
          <w:bCs/>
        </w:rPr>
        <w:t xml:space="preserve"> </w:t>
      </w:r>
      <w:r w:rsidRPr="00167DBF">
        <w:rPr>
          <w:b/>
          <w:bCs/>
        </w:rPr>
        <w:t>IoT-NTN study should include the impact analysis and applicability of existing IoT features for NTN.</w:t>
      </w:r>
    </w:p>
    <w:p w14:paraId="2F0B62A8" w14:textId="1303F2FD" w:rsidR="0011699F" w:rsidRDefault="0011699F" w:rsidP="0011699F">
      <w:pPr>
        <w:rPr>
          <w:b/>
          <w:bCs/>
        </w:rPr>
      </w:pPr>
      <w:r w:rsidRPr="00C84A0D">
        <w:rPr>
          <w:b/>
          <w:bCs/>
        </w:rPr>
        <w:t>Proposal 2:</w:t>
      </w:r>
      <w:r>
        <w:rPr>
          <w:b/>
          <w:bCs/>
        </w:rPr>
        <w:t xml:space="preserve"> </w:t>
      </w:r>
      <w:r w:rsidRPr="00C84A0D">
        <w:rPr>
          <w:b/>
          <w:bCs/>
        </w:rPr>
        <w:t>For NB-IoT over NTN, Rel-14 NB-IoT functionality is assumed as baseline functionality with support of non-anchor carrier operation for idle mode operation as mandatory capability.</w:t>
      </w:r>
    </w:p>
    <w:p w14:paraId="652B1729" w14:textId="77777777" w:rsidR="0011699F" w:rsidRPr="000A03FC" w:rsidRDefault="0011699F" w:rsidP="0011699F">
      <w:pPr>
        <w:jc w:val="both"/>
        <w:rPr>
          <w:b/>
          <w:bCs/>
        </w:rPr>
      </w:pPr>
      <w:r w:rsidRPr="000A03FC">
        <w:rPr>
          <w:b/>
          <w:bCs/>
        </w:rPr>
        <w:t>Proposal 3: IoT Features which enhances the energy efficiency of the device should be considered for adaptation for NTN operation with high priority.</w:t>
      </w:r>
    </w:p>
    <w:p w14:paraId="2EE04170" w14:textId="5C60F064" w:rsidR="0011699F" w:rsidRDefault="0011699F" w:rsidP="0011699F">
      <w:pPr>
        <w:jc w:val="both"/>
        <w:rPr>
          <w:b/>
          <w:bCs/>
        </w:rPr>
      </w:pPr>
      <w:r w:rsidRPr="000A03FC">
        <w:rPr>
          <w:b/>
          <w:bCs/>
        </w:rPr>
        <w:t xml:space="preserve">Proposal </w:t>
      </w:r>
      <w:r>
        <w:rPr>
          <w:b/>
          <w:bCs/>
        </w:rPr>
        <w:t>4</w:t>
      </w:r>
      <w:r w:rsidRPr="000A03FC">
        <w:rPr>
          <w:b/>
          <w:bCs/>
        </w:rPr>
        <w:t xml:space="preserve">: </w:t>
      </w:r>
      <w:r>
        <w:rPr>
          <w:b/>
          <w:bCs/>
        </w:rPr>
        <w:t xml:space="preserve">RAN2 to discuss the priority of the NB-IoT/eMTC </w:t>
      </w:r>
      <w:r w:rsidRPr="000A03FC">
        <w:rPr>
          <w:b/>
          <w:bCs/>
        </w:rPr>
        <w:t xml:space="preserve">Features </w:t>
      </w:r>
      <w:r>
        <w:rPr>
          <w:b/>
          <w:bCs/>
        </w:rPr>
        <w:t xml:space="preserve">Associated with throughput enhancement for </w:t>
      </w:r>
      <w:r w:rsidR="00356703">
        <w:rPr>
          <w:b/>
          <w:bCs/>
        </w:rPr>
        <w:t>IoT-NTN</w:t>
      </w:r>
      <w:r>
        <w:rPr>
          <w:b/>
          <w:bCs/>
        </w:rPr>
        <w:t xml:space="preserve"> study.</w:t>
      </w:r>
      <w:bookmarkStart w:id="0" w:name="_GoBack"/>
      <w:bookmarkEnd w:id="0"/>
    </w:p>
    <w:p w14:paraId="0F3E6B96" w14:textId="124670A8" w:rsidR="0011699F" w:rsidRDefault="0011699F" w:rsidP="0011699F">
      <w:pPr>
        <w:jc w:val="both"/>
        <w:rPr>
          <w:b/>
          <w:bCs/>
        </w:rPr>
      </w:pPr>
      <w:r w:rsidRPr="000A03FC">
        <w:rPr>
          <w:b/>
          <w:bCs/>
        </w:rPr>
        <w:t xml:space="preserve">Proposal </w:t>
      </w:r>
      <w:r>
        <w:rPr>
          <w:b/>
          <w:bCs/>
        </w:rPr>
        <w:t>5</w:t>
      </w:r>
      <w:r w:rsidRPr="000A03FC">
        <w:rPr>
          <w:b/>
          <w:bCs/>
        </w:rPr>
        <w:t xml:space="preserve">: </w:t>
      </w:r>
      <w:r>
        <w:rPr>
          <w:b/>
          <w:bCs/>
        </w:rPr>
        <w:t>HARQ optimisation features of eMTC/NB-IOT are considered in Rel-17 IoT-NTN study.</w:t>
      </w:r>
    </w:p>
    <w:p w14:paraId="0196779A" w14:textId="77777777" w:rsidR="0011699F" w:rsidRDefault="0011699F" w:rsidP="0011699F">
      <w:pPr>
        <w:jc w:val="both"/>
        <w:rPr>
          <w:b/>
          <w:bCs/>
        </w:rPr>
      </w:pPr>
      <w:r w:rsidRPr="000A03FC">
        <w:rPr>
          <w:b/>
          <w:bCs/>
        </w:rPr>
        <w:t xml:space="preserve">Proposal </w:t>
      </w:r>
      <w:r>
        <w:rPr>
          <w:b/>
          <w:bCs/>
        </w:rPr>
        <w:t>6</w:t>
      </w:r>
      <w:r w:rsidRPr="000A03FC">
        <w:rPr>
          <w:b/>
          <w:bCs/>
        </w:rPr>
        <w:t xml:space="preserve">: </w:t>
      </w:r>
      <w:r>
        <w:rPr>
          <w:b/>
          <w:bCs/>
        </w:rPr>
        <w:t>5GC Connectivity for IoT-NTN should be excluded from Rel-17 study Item.</w:t>
      </w:r>
    </w:p>
    <w:p w14:paraId="62407674" w14:textId="77777777" w:rsidR="0011699F" w:rsidRDefault="0011699F" w:rsidP="0011699F">
      <w:pPr>
        <w:jc w:val="both"/>
        <w:rPr>
          <w:b/>
          <w:bCs/>
        </w:rPr>
      </w:pPr>
      <w:r w:rsidRPr="000A03FC">
        <w:rPr>
          <w:b/>
          <w:bCs/>
        </w:rPr>
        <w:t xml:space="preserve">Proposal </w:t>
      </w:r>
      <w:r>
        <w:rPr>
          <w:b/>
          <w:bCs/>
        </w:rPr>
        <w:t>7</w:t>
      </w:r>
      <w:r w:rsidRPr="000A03FC">
        <w:rPr>
          <w:b/>
          <w:bCs/>
        </w:rPr>
        <w:t xml:space="preserve">: </w:t>
      </w:r>
      <w:r>
        <w:rPr>
          <w:b/>
          <w:bCs/>
        </w:rPr>
        <w:t>Positioning Features introduced in NB-IoT/eMTC specifications are not required for IoT-NTN operation.</w:t>
      </w:r>
    </w:p>
    <w:p w14:paraId="38A2FAB3" w14:textId="77777777" w:rsidR="0011699F" w:rsidRPr="00564801" w:rsidRDefault="0011699F" w:rsidP="0011699F">
      <w:pPr>
        <w:jc w:val="both"/>
      </w:pPr>
      <w:r w:rsidRPr="000A03FC">
        <w:rPr>
          <w:b/>
          <w:bCs/>
        </w:rPr>
        <w:t xml:space="preserve">Proposal </w:t>
      </w:r>
      <w:r>
        <w:rPr>
          <w:b/>
          <w:bCs/>
        </w:rPr>
        <w:t>8</w:t>
      </w:r>
      <w:r w:rsidRPr="000A03FC">
        <w:rPr>
          <w:b/>
          <w:bCs/>
        </w:rPr>
        <w:t xml:space="preserve">: </w:t>
      </w:r>
      <w:r>
        <w:rPr>
          <w:b/>
          <w:bCs/>
        </w:rPr>
        <w:t>NR Co-existence Features of NB-IoT/eMTC should be considered for adaptation as part of IoT-NTN study work.</w:t>
      </w:r>
    </w:p>
    <w:p w14:paraId="73193315" w14:textId="77777777" w:rsidR="0011699F" w:rsidRDefault="00391C50" w:rsidP="00036205">
      <w:pPr>
        <w:pStyle w:val="Heading1"/>
        <w:rPr>
          <w:rFonts w:ascii="Times New Roman" w:hAnsi="Times New Roman"/>
          <w:iCs/>
          <w:sz w:val="20"/>
        </w:rPr>
      </w:pPr>
      <w:r>
        <w:t>References</w:t>
      </w:r>
      <w:bookmarkStart w:id="1" w:name="_Ref54172283"/>
      <w:bookmarkStart w:id="2" w:name="_Ref45185613"/>
      <w:bookmarkStart w:id="3" w:name="_Ref45103500"/>
      <w:r w:rsidR="001A6BE8" w:rsidRPr="00036205">
        <w:rPr>
          <w:rFonts w:ascii="Times New Roman" w:hAnsi="Times New Roman"/>
          <w:iCs/>
          <w:sz w:val="20"/>
        </w:rPr>
        <w:t xml:space="preserve">    </w:t>
      </w:r>
    </w:p>
    <w:p w14:paraId="28C9A078" w14:textId="77777777" w:rsidR="0011699F" w:rsidRDefault="0011699F" w:rsidP="0011699F">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[1] R2-2008975</w:t>
      </w:r>
      <w:r>
        <w:rPr>
          <w:rStyle w:val="normaltextrun"/>
          <w:color w:val="0078D4"/>
          <w:sz w:val="22"/>
          <w:szCs w:val="22"/>
          <w:u w:val="single"/>
          <w:lang w:val="en-GB"/>
        </w:rPr>
        <w:t> </w:t>
      </w:r>
      <w:r w:rsidRPr="00145F50">
        <w:rPr>
          <w:rStyle w:val="normaltextrun"/>
          <w:sz w:val="22"/>
          <w:szCs w:val="22"/>
          <w:u w:val="single"/>
          <w:lang w:val="en-GB"/>
        </w:rPr>
        <w:t>Summary #1 of 9.2.1 IoT NTN Scenarios, Eutelsat</w:t>
      </w:r>
      <w:r w:rsidRPr="00145F50">
        <w:rPr>
          <w:rStyle w:val="eop"/>
          <w:sz w:val="22"/>
          <w:szCs w:val="22"/>
        </w:rPr>
        <w:t> </w:t>
      </w:r>
    </w:p>
    <w:p w14:paraId="5A1DEE8A" w14:textId="77777777" w:rsidR="0011699F" w:rsidRDefault="0011699F" w:rsidP="0011699F">
      <w:pPr>
        <w:pStyle w:val="paragraph"/>
        <w:spacing w:before="0" w:beforeAutospacing="0" w:after="0" w:afterAutospacing="0"/>
        <w:textAlignment w:val="baseline"/>
        <w:rPr>
          <w:rStyle w:val="eop"/>
          <w:sz w:val="22"/>
          <w:szCs w:val="22"/>
        </w:rPr>
      </w:pPr>
      <w:r>
        <w:rPr>
          <w:rStyle w:val="normaltextrun"/>
          <w:sz w:val="22"/>
          <w:szCs w:val="22"/>
          <w:lang w:val="en-GB"/>
        </w:rPr>
        <w:t>[2] Chairman's Notes RAN1#103-e</w:t>
      </w:r>
      <w:r>
        <w:rPr>
          <w:rStyle w:val="eop"/>
          <w:sz w:val="22"/>
          <w:szCs w:val="22"/>
        </w:rPr>
        <w:t> </w:t>
      </w:r>
    </w:p>
    <w:p w14:paraId="495500E5" w14:textId="77777777" w:rsidR="0011699F" w:rsidRDefault="0011699F" w:rsidP="0011699F">
      <w:pPr>
        <w:pStyle w:val="paragraph"/>
        <w:spacing w:before="0" w:beforeAutospacing="0" w:after="0" w:afterAutospacing="0"/>
        <w:textAlignment w:val="baseline"/>
        <w:rPr>
          <w:rFonts w:ascii="Segoe UI" w:hAnsi="Segoe UI" w:cs="Segoe UI"/>
          <w:sz w:val="18"/>
          <w:szCs w:val="18"/>
        </w:rPr>
      </w:pPr>
      <w:r>
        <w:rPr>
          <w:rStyle w:val="eop"/>
          <w:sz w:val="22"/>
          <w:szCs w:val="22"/>
        </w:rPr>
        <w:t>[3] Chairman Note RAN2#112-e</w:t>
      </w:r>
    </w:p>
    <w:p w14:paraId="5D102615" w14:textId="77777777" w:rsidR="0011699F" w:rsidRDefault="0011699F" w:rsidP="0011699F">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[4] RP-193235, “New Study WID on NB-IoT/eMTC support for NTN”, </w:t>
      </w:r>
      <w:r>
        <w:rPr>
          <w:rStyle w:val="normaltextrun"/>
          <w:strike/>
          <w:color w:val="0078D4"/>
          <w:sz w:val="22"/>
          <w:szCs w:val="22"/>
          <w:lang w:val="en-GB"/>
        </w:rPr>
        <w:t>[</w:t>
      </w:r>
      <w:r>
        <w:rPr>
          <w:rStyle w:val="normaltextrun"/>
          <w:sz w:val="22"/>
          <w:szCs w:val="22"/>
          <w:lang w:val="en-GB"/>
        </w:rPr>
        <w:t>MediaTek</w:t>
      </w:r>
      <w:r>
        <w:rPr>
          <w:rStyle w:val="normaltextrun"/>
          <w:strike/>
          <w:color w:val="0078D4"/>
          <w:sz w:val="22"/>
          <w:szCs w:val="22"/>
          <w:lang w:val="en-GB"/>
        </w:rPr>
        <w:t>]</w:t>
      </w:r>
      <w:r>
        <w:rPr>
          <w:rStyle w:val="eop"/>
          <w:color w:val="0078D4"/>
          <w:sz w:val="22"/>
          <w:szCs w:val="22"/>
        </w:rPr>
        <w:t> </w:t>
      </w:r>
    </w:p>
    <w:p w14:paraId="4C3C4CB8" w14:textId="190F1805" w:rsidR="00E76D0C" w:rsidRPr="00036205" w:rsidRDefault="001A6BE8" w:rsidP="00036205">
      <w:pPr>
        <w:pStyle w:val="Heading1"/>
      </w:pPr>
      <w:r w:rsidRPr="00036205">
        <w:rPr>
          <w:rFonts w:ascii="Times New Roman" w:hAnsi="Times New Roman"/>
          <w:iCs/>
          <w:sz w:val="20"/>
        </w:rPr>
        <w:t xml:space="preserve">                                            </w:t>
      </w:r>
    </w:p>
    <w:bookmarkEnd w:id="1"/>
    <w:bookmarkEnd w:id="2"/>
    <w:bookmarkEnd w:id="3"/>
    <w:p w14:paraId="060B126B" w14:textId="77777777" w:rsidR="000526BE" w:rsidRPr="000526BE" w:rsidRDefault="000526BE" w:rsidP="000526BE"/>
    <w:sectPr w:rsidR="000526BE" w:rsidRPr="000526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4FEA8" w14:textId="77777777" w:rsidR="00B80644" w:rsidRDefault="00B80644">
      <w:r>
        <w:separator/>
      </w:r>
    </w:p>
  </w:endnote>
  <w:endnote w:type="continuationSeparator" w:id="0">
    <w:p w14:paraId="510E6BB6" w14:textId="77777777" w:rsidR="00B80644" w:rsidRDefault="00B80644">
      <w:r>
        <w:continuationSeparator/>
      </w:r>
    </w:p>
  </w:endnote>
  <w:endnote w:type="continuationNotice" w:id="1">
    <w:p w14:paraId="0B6AD1C8" w14:textId="77777777" w:rsidR="00B80644" w:rsidRDefault="00B80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34082" w14:textId="77777777" w:rsidR="00B80644" w:rsidRDefault="00B80644">
      <w:r>
        <w:separator/>
      </w:r>
    </w:p>
  </w:footnote>
  <w:footnote w:type="continuationSeparator" w:id="0">
    <w:p w14:paraId="3F65BCED" w14:textId="77777777" w:rsidR="00B80644" w:rsidRDefault="00B80644">
      <w:r>
        <w:continuationSeparator/>
      </w:r>
    </w:p>
  </w:footnote>
  <w:footnote w:type="continuationNotice" w:id="1">
    <w:p w14:paraId="4DA80B9B" w14:textId="77777777" w:rsidR="00B80644" w:rsidRDefault="00B806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50510F"/>
    <w:multiLevelType w:val="hybridMultilevel"/>
    <w:tmpl w:val="D0CCB1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4"/>
  </w:num>
  <w:num w:numId="7">
    <w:abstractNumId w:val="15"/>
  </w:num>
  <w:num w:numId="8">
    <w:abstractNumId w:val="4"/>
  </w:num>
  <w:num w:numId="9">
    <w:abstractNumId w:val="6"/>
  </w:num>
  <w:num w:numId="10">
    <w:abstractNumId w:val="17"/>
  </w:num>
  <w:num w:numId="11">
    <w:abstractNumId w:val="5"/>
  </w:num>
  <w:num w:numId="12">
    <w:abstractNumId w:val="19"/>
  </w:num>
  <w:num w:numId="13">
    <w:abstractNumId w:val="18"/>
  </w:num>
  <w:num w:numId="14">
    <w:abstractNumId w:val="20"/>
  </w:num>
  <w:num w:numId="15">
    <w:abstractNumId w:val="2"/>
  </w:num>
  <w:num w:numId="16">
    <w:abstractNumId w:val="8"/>
  </w:num>
  <w:num w:numId="17">
    <w:abstractNumId w:val="13"/>
  </w:num>
  <w:num w:numId="18">
    <w:abstractNumId w:val="7"/>
  </w:num>
  <w:num w:numId="19">
    <w:abstractNumId w:val="16"/>
  </w:num>
  <w:num w:numId="20">
    <w:abstractNumId w:val="21"/>
  </w:num>
  <w:num w:numId="21">
    <w:abstractNumId w:val="9"/>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4663C"/>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2B47"/>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1699F"/>
    <w:rsid w:val="001213F4"/>
    <w:rsid w:val="00122115"/>
    <w:rsid w:val="00124397"/>
    <w:rsid w:val="00125D7A"/>
    <w:rsid w:val="001344BC"/>
    <w:rsid w:val="0014251D"/>
    <w:rsid w:val="00142BCD"/>
    <w:rsid w:val="00145075"/>
    <w:rsid w:val="00150C13"/>
    <w:rsid w:val="001631EE"/>
    <w:rsid w:val="00166072"/>
    <w:rsid w:val="00172657"/>
    <w:rsid w:val="001741A0"/>
    <w:rsid w:val="0017447B"/>
    <w:rsid w:val="00175FA0"/>
    <w:rsid w:val="00181595"/>
    <w:rsid w:val="00185889"/>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5CAF"/>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6DB3"/>
    <w:rsid w:val="002E1C3B"/>
    <w:rsid w:val="002E696A"/>
    <w:rsid w:val="002E7D42"/>
    <w:rsid w:val="002F0D22"/>
    <w:rsid w:val="00300A9A"/>
    <w:rsid w:val="00302783"/>
    <w:rsid w:val="00303151"/>
    <w:rsid w:val="00304342"/>
    <w:rsid w:val="0030550A"/>
    <w:rsid w:val="00311B17"/>
    <w:rsid w:val="00312462"/>
    <w:rsid w:val="00312758"/>
    <w:rsid w:val="003172DC"/>
    <w:rsid w:val="00325AE3"/>
    <w:rsid w:val="00326069"/>
    <w:rsid w:val="00326974"/>
    <w:rsid w:val="00331BD9"/>
    <w:rsid w:val="0033260E"/>
    <w:rsid w:val="003377A6"/>
    <w:rsid w:val="00340979"/>
    <w:rsid w:val="0034172F"/>
    <w:rsid w:val="00345C2A"/>
    <w:rsid w:val="00345D66"/>
    <w:rsid w:val="003465E8"/>
    <w:rsid w:val="0035462D"/>
    <w:rsid w:val="0035527F"/>
    <w:rsid w:val="0035664E"/>
    <w:rsid w:val="00356703"/>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166C"/>
    <w:rsid w:val="004E213A"/>
    <w:rsid w:val="004E354C"/>
    <w:rsid w:val="004F0D9F"/>
    <w:rsid w:val="004F5AF4"/>
    <w:rsid w:val="00503171"/>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213"/>
    <w:rsid w:val="00581D26"/>
    <w:rsid w:val="00585878"/>
    <w:rsid w:val="00587686"/>
    <w:rsid w:val="0059046D"/>
    <w:rsid w:val="00591B10"/>
    <w:rsid w:val="005939CF"/>
    <w:rsid w:val="005A1304"/>
    <w:rsid w:val="005A2C50"/>
    <w:rsid w:val="005A49C6"/>
    <w:rsid w:val="005A57A3"/>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8655F"/>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1DB"/>
    <w:rsid w:val="00725D1A"/>
    <w:rsid w:val="00730073"/>
    <w:rsid w:val="00732294"/>
    <w:rsid w:val="00732D44"/>
    <w:rsid w:val="007339E3"/>
    <w:rsid w:val="0073426C"/>
    <w:rsid w:val="007342B5"/>
    <w:rsid w:val="007348A9"/>
    <w:rsid w:val="00734A5B"/>
    <w:rsid w:val="0073700A"/>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B6E29"/>
    <w:rsid w:val="007C095F"/>
    <w:rsid w:val="007C2DD0"/>
    <w:rsid w:val="007D256D"/>
    <w:rsid w:val="007D2BCC"/>
    <w:rsid w:val="007D76DC"/>
    <w:rsid w:val="007E4EF8"/>
    <w:rsid w:val="007E78F6"/>
    <w:rsid w:val="007F2E08"/>
    <w:rsid w:val="007F3F58"/>
    <w:rsid w:val="008009A2"/>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37A2"/>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97581"/>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2CC1"/>
    <w:rsid w:val="00A472E7"/>
    <w:rsid w:val="00A479D9"/>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2DB"/>
    <w:rsid w:val="00A9671C"/>
    <w:rsid w:val="00A96737"/>
    <w:rsid w:val="00AA1553"/>
    <w:rsid w:val="00AA25C1"/>
    <w:rsid w:val="00AA5CB1"/>
    <w:rsid w:val="00AB139E"/>
    <w:rsid w:val="00AB3622"/>
    <w:rsid w:val="00AB7FEB"/>
    <w:rsid w:val="00AC2AFF"/>
    <w:rsid w:val="00AD655D"/>
    <w:rsid w:val="00AE1D96"/>
    <w:rsid w:val="00AF4156"/>
    <w:rsid w:val="00AF6AAB"/>
    <w:rsid w:val="00AF6F55"/>
    <w:rsid w:val="00B016B5"/>
    <w:rsid w:val="00B04B1D"/>
    <w:rsid w:val="00B05380"/>
    <w:rsid w:val="00B05962"/>
    <w:rsid w:val="00B06A93"/>
    <w:rsid w:val="00B06B16"/>
    <w:rsid w:val="00B11BA9"/>
    <w:rsid w:val="00B1271F"/>
    <w:rsid w:val="00B12CC2"/>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700EA"/>
    <w:rsid w:val="00B7347E"/>
    <w:rsid w:val="00B76AB8"/>
    <w:rsid w:val="00B80644"/>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05CD4"/>
    <w:rsid w:val="00C07236"/>
    <w:rsid w:val="00C07D4E"/>
    <w:rsid w:val="00C12818"/>
    <w:rsid w:val="00C12B51"/>
    <w:rsid w:val="00C219B3"/>
    <w:rsid w:val="00C24650"/>
    <w:rsid w:val="00C25465"/>
    <w:rsid w:val="00C30E2F"/>
    <w:rsid w:val="00C33079"/>
    <w:rsid w:val="00C44D05"/>
    <w:rsid w:val="00C50397"/>
    <w:rsid w:val="00C53EBC"/>
    <w:rsid w:val="00C54B57"/>
    <w:rsid w:val="00C5545F"/>
    <w:rsid w:val="00C571C2"/>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5365"/>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E25D2"/>
    <w:rsid w:val="00DE4C4A"/>
    <w:rsid w:val="00E2202C"/>
    <w:rsid w:val="00E222B0"/>
    <w:rsid w:val="00E250D7"/>
    <w:rsid w:val="00E2540F"/>
    <w:rsid w:val="00E2781E"/>
    <w:rsid w:val="00E30813"/>
    <w:rsid w:val="00E35CF7"/>
    <w:rsid w:val="00E36D74"/>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B3DE4"/>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41DF"/>
    <w:rsid w:val="00F973DE"/>
    <w:rsid w:val="00FA1266"/>
    <w:rsid w:val="00FA5B7B"/>
    <w:rsid w:val="00FB340E"/>
    <w:rsid w:val="00FB36FA"/>
    <w:rsid w:val="00FC0572"/>
    <w:rsid w:val="00FC1192"/>
    <w:rsid w:val="00FC4BDE"/>
    <w:rsid w:val="00FC628F"/>
    <w:rsid w:val="00FC7EF9"/>
    <w:rsid w:val="00FD2DDC"/>
    <w:rsid w:val="00FD4988"/>
    <w:rsid w:val="00FD5C2C"/>
    <w:rsid w:val="00FE0F2E"/>
    <w:rsid w:val="00FE1627"/>
    <w:rsid w:val="00FE251B"/>
    <w:rsid w:val="00FF5DC9"/>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paragraph" w:customStyle="1" w:styleId="paragraph">
    <w:name w:val="paragraph"/>
    <w:basedOn w:val="Normal"/>
    <w:rsid w:val="0011699F"/>
    <w:pPr>
      <w:spacing w:before="100" w:beforeAutospacing="1" w:after="100" w:afterAutospacing="1"/>
    </w:pPr>
    <w:rPr>
      <w:sz w:val="24"/>
      <w:szCs w:val="24"/>
      <w:lang w:val="en-IN" w:eastAsia="en-IN"/>
    </w:rPr>
  </w:style>
  <w:style w:type="character" w:customStyle="1" w:styleId="eop">
    <w:name w:val="eop"/>
    <w:basedOn w:val="DefaultParagraphFont"/>
    <w:rsid w:val="0011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5AIRPNAIUNRU-859666464-7998</_dlc_DocId>
    <_dlc_DocIdUrl xmlns="71c5aaf6-e6ce-465b-b873-5148d2a4c105">
      <Url>https://nokia.sharepoint.com/sites/c5g/e2earch/_layouts/15/DocIdRedir.aspx?ID=5AIRPNAIUNRU-859666464-7998</Url>
      <Description>5AIRPNAIUNRU-859666464-7998</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74C2DF-3268-4721-8034-1337C0B0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7910</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2021-01-14T11:03:00Z</dcterms:created>
  <dcterms:modified xsi:type="dcterms:W3CDTF">2021-01-14T18:00:00Z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ff37458d-3f54-4385-9184-c7e29c32c627</vt:lpwstr>
  </property>
</Properties>
</file>