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14A489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9376CD" w:rsidRPr="00F460B0">
        <w:rPr>
          <w:bCs/>
          <w:noProof w:val="0"/>
          <w:sz w:val="24"/>
          <w:szCs w:val="24"/>
        </w:rPr>
        <w:t>2</w:t>
      </w:r>
      <w:r w:rsidR="00036205">
        <w:rPr>
          <w:bCs/>
          <w:noProof w:val="0"/>
          <w:sz w:val="24"/>
          <w:szCs w:val="24"/>
        </w:rPr>
        <w:t>1</w:t>
      </w:r>
      <w:r w:rsidR="00CF1D1F">
        <w:rPr>
          <w:bCs/>
          <w:noProof w:val="0"/>
          <w:sz w:val="24"/>
          <w:szCs w:val="24"/>
        </w:rPr>
        <w:t>00510</w:t>
      </w:r>
    </w:p>
    <w:p w14:paraId="11776FA6" w14:textId="068DEF96"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0F034D">
        <w:rPr>
          <w:rFonts w:eastAsia="SimSun"/>
          <w:bCs/>
          <w:sz w:val="24"/>
          <w:szCs w:val="24"/>
          <w:lang w:eastAsia="zh-CN"/>
        </w:rPr>
        <w:t>2</w:t>
      </w:r>
      <w:r w:rsidR="00036205">
        <w:rPr>
          <w:rFonts w:eastAsia="SimSun"/>
          <w:bCs/>
          <w:sz w:val="24"/>
          <w:szCs w:val="24"/>
          <w:lang w:eastAsia="zh-CN"/>
        </w:rPr>
        <w:t>5</w:t>
      </w:r>
      <w:r w:rsidR="00885B22">
        <w:rPr>
          <w:rFonts w:eastAsia="SimSun"/>
          <w:bCs/>
          <w:sz w:val="24"/>
          <w:szCs w:val="24"/>
          <w:lang w:eastAsia="zh-CN"/>
        </w:rPr>
        <w:t>th of</w:t>
      </w:r>
      <w:r w:rsidR="00036205">
        <w:rPr>
          <w:rFonts w:eastAsia="SimSun"/>
          <w:bCs/>
          <w:sz w:val="24"/>
          <w:szCs w:val="24"/>
          <w:lang w:eastAsia="zh-CN"/>
        </w:rPr>
        <w:t xml:space="preserve"> January</w:t>
      </w:r>
      <w:r w:rsidR="000F034D" w:rsidRPr="006574C0">
        <w:rPr>
          <w:rFonts w:eastAsia="SimSun"/>
          <w:bCs/>
          <w:sz w:val="24"/>
          <w:szCs w:val="24"/>
          <w:lang w:eastAsia="zh-CN"/>
        </w:rPr>
        <w:t xml:space="preserve"> – </w:t>
      </w:r>
      <w:r w:rsidR="00036205">
        <w:rPr>
          <w:rFonts w:eastAsia="SimSun"/>
          <w:bCs/>
          <w:sz w:val="24"/>
          <w:szCs w:val="24"/>
          <w:lang w:eastAsia="zh-CN"/>
        </w:rPr>
        <w:t>5</w:t>
      </w:r>
      <w:r w:rsidR="00885B22" w:rsidRPr="00885B22">
        <w:rPr>
          <w:rFonts w:eastAsia="SimSun"/>
          <w:bCs/>
          <w:sz w:val="24"/>
          <w:szCs w:val="24"/>
          <w:vertAlign w:val="superscript"/>
          <w:lang w:eastAsia="zh-CN"/>
        </w:rPr>
        <w:t>th</w:t>
      </w:r>
      <w:r w:rsidR="00885B22">
        <w:rPr>
          <w:rFonts w:eastAsia="SimSun"/>
          <w:bCs/>
          <w:sz w:val="24"/>
          <w:szCs w:val="24"/>
          <w:lang w:eastAsia="zh-CN"/>
        </w:rPr>
        <w:t xml:space="preserve"> of</w:t>
      </w:r>
      <w:r w:rsidR="00036205">
        <w:rPr>
          <w:rFonts w:eastAsia="SimSun"/>
          <w:bCs/>
          <w:sz w:val="24"/>
          <w:szCs w:val="24"/>
          <w:lang w:eastAsia="zh-CN"/>
        </w:rPr>
        <w:t xml:space="preserve"> February</w:t>
      </w:r>
      <w:r w:rsidR="000F034D" w:rsidRPr="006574C0">
        <w:rPr>
          <w:rFonts w:eastAsia="SimSun"/>
          <w:bCs/>
          <w:sz w:val="24"/>
          <w:szCs w:val="24"/>
          <w:lang w:eastAsia="zh-CN"/>
        </w:rPr>
        <w:t xml:space="preserve"> 20</w:t>
      </w:r>
      <w:r w:rsidR="000F034D">
        <w:rPr>
          <w:rFonts w:eastAsia="SimSun"/>
          <w:bCs/>
          <w:sz w:val="24"/>
          <w:szCs w:val="24"/>
          <w:lang w:eastAsia="zh-CN"/>
        </w:rPr>
        <w:t>2</w:t>
      </w:r>
      <w:r w:rsidR="00036205">
        <w:rPr>
          <w:rFonts w:eastAsia="SimSun"/>
          <w:bCs/>
          <w:sz w:val="24"/>
          <w:szCs w:val="24"/>
          <w:lang w:eastAsia="zh-CN"/>
        </w:rPr>
        <w:t>1</w:t>
      </w:r>
      <w:r w:rsidR="0079021D">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CE967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6441">
        <w:rPr>
          <w:rFonts w:cs="Arial"/>
          <w:b/>
          <w:bCs/>
          <w:sz w:val="24"/>
          <w:lang w:eastAsia="ja-JP"/>
        </w:rPr>
        <w:t>9.2.</w:t>
      </w:r>
      <w:r w:rsidR="00CF1D1F">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EDD794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6441">
        <w:rPr>
          <w:rFonts w:ascii="Arial" w:hAnsi="Arial" w:cs="Arial"/>
          <w:b/>
          <w:bCs/>
          <w:sz w:val="24"/>
        </w:rPr>
        <w:t>Mobility aspects for IoT-NTN</w:t>
      </w:r>
    </w:p>
    <w:p w14:paraId="644C2B5D" w14:textId="77777777" w:rsidR="00E271E4" w:rsidRPr="00B266B0" w:rsidRDefault="00A209D6" w:rsidP="00E271E4">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271E4" w:rsidRPr="002A3B52">
        <w:rPr>
          <w:rFonts w:ascii="Arial" w:hAnsi="Arial" w:cs="Arial"/>
          <w:b/>
          <w:bCs/>
          <w:sz w:val="24"/>
        </w:rPr>
        <w:t>FS_LTE_NBIOT_eMTC_NTN</w:t>
      </w:r>
      <w:r w:rsidR="00E271E4">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2991DFEB" w14:textId="556EA752" w:rsidR="00846011" w:rsidRDefault="008463A1" w:rsidP="00581213">
      <w:pPr>
        <w:jc w:val="both"/>
      </w:pPr>
      <w:r>
        <w:t>The study item for IOT-NTN aims to adapt the agreements and features of Rel-17 NTN as a basis. As the mobility scenarios and features of NB-IOT/eMTC are different from NR system, some additional changes need to be considered over the basic functionality applicable for NTN. In this paper we discuss the idle mode and connected mode mobility aspects of NTN and the additional changes to be considered in IoT-NTN study item.</w:t>
      </w:r>
    </w:p>
    <w:p w14:paraId="2BBFF540" w14:textId="6182AAFA" w:rsidR="00A209D6" w:rsidRDefault="00A209D6" w:rsidP="00A209D6">
      <w:pPr>
        <w:pStyle w:val="Heading1"/>
      </w:pPr>
      <w:r w:rsidRPr="006E13D1">
        <w:t>2</w:t>
      </w:r>
      <w:r w:rsidRPr="006E13D1">
        <w:tab/>
      </w:r>
      <w:r w:rsidR="00BB2426">
        <w:t>Discussion</w:t>
      </w:r>
    </w:p>
    <w:p w14:paraId="42A82EEF" w14:textId="77777777" w:rsidR="00041017" w:rsidRDefault="00F739F3" w:rsidP="00876441">
      <w:r>
        <w:t xml:space="preserve">Most of the IoT devices are configured with either PSM or eDRX configuration to minimise the energy consumption associated with idle mode operations. In case of terrestrial network deployments for stationary UE, the energy consumption </w:t>
      </w:r>
      <w:r w:rsidR="00C275D5">
        <w:t xml:space="preserve">associated with cell change prior to paging occasion is </w:t>
      </w:r>
      <w:r w:rsidR="00041017">
        <w:t xml:space="preserve">minimum as the serving cell does not change across eDRX paging time windows.  In case of NTN cells, depending on NTN cell mobility the UE may need to trigger cell reselection </w:t>
      </w:r>
      <w:proofErr w:type="gramStart"/>
      <w:r w:rsidR="00041017">
        <w:t>and also</w:t>
      </w:r>
      <w:proofErr w:type="gramEnd"/>
      <w:r w:rsidR="00041017">
        <w:t xml:space="preserve"> system information acquisition across eDRX paging occasions eventhough the UE is stationary. Moreover prior to every eDRX paging occasion the UE may need to trigger GNSS based pre-synchronisation for downlink monitoring.</w:t>
      </w:r>
    </w:p>
    <w:p w14:paraId="05334A3F" w14:textId="05CD1111" w:rsidR="00B71029" w:rsidRDefault="00B71029" w:rsidP="00876441">
      <w:r>
        <w:t xml:space="preserve">The battery lifetime estimation for IoT device as per [1] assumes the UE is power saving mode and only wake-up for uplink data transmission whenever it needs to send MAR (Mobile Autonomous </w:t>
      </w:r>
      <w:proofErr w:type="gramStart"/>
      <w:r>
        <w:t>Report )</w:t>
      </w:r>
      <w:proofErr w:type="gramEnd"/>
      <w:r>
        <w:t xml:space="preserve"> as per the traffic model used for IoT operation. In this analysis, the time taken for network synchronisation and system information acquisition are considered along with actual time taken for transmission of the MAR. When eDRX cycle is configured for the same IoT device, regular wake-up for eDRX operation in addition to the above uplink activity also impact the energy consumption. For normal IoT device </w:t>
      </w:r>
      <w:r w:rsidR="00D711C0">
        <w:t xml:space="preserve">(i.e. in a terrestrial network) </w:t>
      </w:r>
      <w:r>
        <w:t xml:space="preserve">which is stationary this additional energy consumption will impact the battery life time only marginally. But for NTN-IoT device which needs to do GNSS based pre-compensation </w:t>
      </w:r>
      <w:proofErr w:type="gramStart"/>
      <w:r>
        <w:t>and also</w:t>
      </w:r>
      <w:proofErr w:type="gramEnd"/>
      <w:r>
        <w:t xml:space="preserve"> need to re-acquire new cell for every eDRX cycle, the additional power consumption will be </w:t>
      </w:r>
      <w:r w:rsidR="007F104F">
        <w:t>significant,</w:t>
      </w:r>
      <w:r>
        <w:t xml:space="preserve"> and it will reduce the battery lifetime by considerable amount.</w:t>
      </w:r>
    </w:p>
    <w:p w14:paraId="2B52AF21" w14:textId="4EDE3B3C" w:rsidR="00145F50" w:rsidRDefault="00145F50" w:rsidP="00876441">
      <w:pPr>
        <w:rPr>
          <w:b/>
          <w:bCs/>
        </w:rPr>
      </w:pPr>
      <w:r>
        <w:rPr>
          <w:b/>
          <w:bCs/>
        </w:rPr>
        <w:t>Observation 1: For IoT UE in terrestrial networks the power consumption for every eDRX wake-up occasion for stationary or low mobility UE is minimum as the UE only need to acquire MIB and paging channel monitoring.</w:t>
      </w:r>
    </w:p>
    <w:p w14:paraId="07EC8554" w14:textId="14EFCED3" w:rsidR="00B71029" w:rsidRPr="00B71029" w:rsidRDefault="00B71029" w:rsidP="00876441">
      <w:pPr>
        <w:rPr>
          <w:b/>
          <w:bCs/>
        </w:rPr>
      </w:pPr>
      <w:r w:rsidRPr="00B71029">
        <w:rPr>
          <w:b/>
          <w:bCs/>
        </w:rPr>
        <w:t xml:space="preserve">Observation </w:t>
      </w:r>
      <w:r w:rsidR="00145F50">
        <w:rPr>
          <w:b/>
          <w:bCs/>
        </w:rPr>
        <w:t>2</w:t>
      </w:r>
      <w:r w:rsidRPr="00B71029">
        <w:rPr>
          <w:b/>
          <w:bCs/>
        </w:rPr>
        <w:t>:  Additional Power consumption for GNSS pre-compensation and reselection to new NTN-Cell during eDRX paging occasions will have significant impact on overall battery lifetime of IoT-NTN device.</w:t>
      </w:r>
    </w:p>
    <w:p w14:paraId="5146A24E" w14:textId="75597D92" w:rsidR="00041017" w:rsidRDefault="00041017" w:rsidP="00876441">
      <w:r>
        <w:t>For IoT-NTN devices, above additional activities in idle mode will impact the power saving aspect of the IoT device significantly. Further analysis on possible reduction of power consumption associated with following idle mode activities are required in RAN2.</w:t>
      </w:r>
    </w:p>
    <w:p w14:paraId="006D5B17" w14:textId="375363B9" w:rsidR="00F739F3" w:rsidRPr="00B71029" w:rsidRDefault="00041017" w:rsidP="00041017">
      <w:pPr>
        <w:pStyle w:val="ListParagraph"/>
        <w:numPr>
          <w:ilvl w:val="0"/>
          <w:numId w:val="24"/>
        </w:numPr>
        <w:rPr>
          <w:rFonts w:ascii="Times New Roman" w:hAnsi="Times New Roman"/>
        </w:rPr>
      </w:pPr>
      <w:r w:rsidRPr="00B71029">
        <w:rPr>
          <w:rFonts w:ascii="Times New Roman" w:hAnsi="Times New Roman"/>
        </w:rPr>
        <w:t>Reduction of number of GNSS based pre-compensation for eDRX operation</w:t>
      </w:r>
    </w:p>
    <w:p w14:paraId="15257D63" w14:textId="584ABCA0" w:rsidR="00041017" w:rsidRPr="00B71029" w:rsidRDefault="00041017" w:rsidP="00041017">
      <w:pPr>
        <w:pStyle w:val="ListParagraph"/>
        <w:numPr>
          <w:ilvl w:val="0"/>
          <w:numId w:val="24"/>
        </w:numPr>
        <w:rPr>
          <w:rFonts w:ascii="Times New Roman" w:hAnsi="Times New Roman"/>
        </w:rPr>
      </w:pPr>
      <w:r w:rsidRPr="00B71029">
        <w:rPr>
          <w:rFonts w:ascii="Times New Roman" w:hAnsi="Times New Roman"/>
        </w:rPr>
        <w:t>Reduction of system information re-acquisition time in new cell during eDRX paging occasion.</w:t>
      </w:r>
    </w:p>
    <w:p w14:paraId="20D807C2" w14:textId="6BED89E4" w:rsidR="00F739F3" w:rsidRDefault="00B71029" w:rsidP="00876441">
      <w:pPr>
        <w:rPr>
          <w:b/>
          <w:bCs/>
        </w:rPr>
      </w:pPr>
      <w:r w:rsidRPr="00B71029">
        <w:rPr>
          <w:b/>
          <w:bCs/>
        </w:rPr>
        <w:t>Proposal 1:</w:t>
      </w:r>
      <w:r w:rsidR="007F104F">
        <w:rPr>
          <w:b/>
          <w:bCs/>
        </w:rPr>
        <w:t xml:space="preserve"> </w:t>
      </w:r>
      <w:r w:rsidRPr="00B71029">
        <w:rPr>
          <w:b/>
          <w:bCs/>
        </w:rPr>
        <w:t xml:space="preserve">RAN2 to discuss the </w:t>
      </w:r>
      <w:r w:rsidR="007F104F">
        <w:rPr>
          <w:b/>
          <w:bCs/>
        </w:rPr>
        <w:t>enhancements</w:t>
      </w:r>
      <w:r w:rsidRPr="00B71029">
        <w:rPr>
          <w:b/>
          <w:bCs/>
        </w:rPr>
        <w:t xml:space="preserve"> for reduction of additional energy consumption of IoT-NTN device </w:t>
      </w:r>
      <w:r w:rsidR="007F104F">
        <w:rPr>
          <w:b/>
          <w:bCs/>
        </w:rPr>
        <w:t>for eDRX operation.</w:t>
      </w:r>
    </w:p>
    <w:p w14:paraId="12CFF26E" w14:textId="52F51F9A" w:rsidR="009E6149" w:rsidRDefault="009E6149" w:rsidP="00876441">
      <w:r>
        <w:t xml:space="preserve">If IoT-NTN device is also capable of IoT operation over terrestrial networks, the idle mode mobility needs to consider mobility between NTN and Terrestrial cells.  As there will be multiple terrestrial cells covered by single NTN cell, for </w:t>
      </w:r>
      <w:r>
        <w:lastRenderedPageBreak/>
        <w:t xml:space="preserve">idle mode cell reselection, the UE may consider the inter-frequency TN cells for cell reselection without actual neighbour-cell list configured in system information. </w:t>
      </w:r>
    </w:p>
    <w:p w14:paraId="08091D55" w14:textId="76F0AB57" w:rsidR="00107F11" w:rsidRDefault="00107F11" w:rsidP="00107F11">
      <w:r>
        <w:t>The idle mode cell reselection procedure with relaxed RRM measurements defined for terrestrial IoT devices also needs to be used for NTN idle mode cell selection /reselection measurements. Further relaxation of the measurements for stationary devices based on the predicted mobility of satellite beams needs to be studied. For example, due to satellite mobility</w:t>
      </w:r>
      <w:r w:rsidR="007352CE">
        <w:t>,</w:t>
      </w:r>
      <w:r>
        <w:t xml:space="preserve"> RSRP changes are expected at stationary UE over time. In these cases triggering of cell reselection measurements only based on difference between earlier and current measurements of serving cell alone may not be efficient. Instead triggering of neighbour cell measurements based on NTN cell mobility can improve the energy consumption associated with cell reselection.</w:t>
      </w:r>
    </w:p>
    <w:p w14:paraId="60B700D9" w14:textId="77777777" w:rsidR="00107F11" w:rsidRPr="00C871DE" w:rsidRDefault="00107F11" w:rsidP="00107F11">
      <w:pPr>
        <w:rPr>
          <w:b/>
          <w:bCs/>
        </w:rPr>
      </w:pPr>
      <w:r w:rsidRPr="00C871DE">
        <w:rPr>
          <w:b/>
          <w:bCs/>
        </w:rPr>
        <w:t>Proposal 2: Further enhancements to relaxed RRM measurements for idle mode mobility for IoT-NTN should be studied.</w:t>
      </w:r>
    </w:p>
    <w:p w14:paraId="67A85CCC" w14:textId="77777777" w:rsidR="00107F11" w:rsidRDefault="00107F11" w:rsidP="00107F11">
      <w:r>
        <w:t>As the scope of study item does not explicitly include the mobility between NTN and TN cells for IoT devices, for Rel-17 we can assume that idle mode mobility between NTN and TN should be based on UE implementation. NTN cells may configure the frequency of terrestrial network cells as Inter-frequency neighbour cell information without specific cell details to enable Inter-frequency cell reselection between NTN and TN without specification impacts. Optimisation of NTN-TN idle mode mobility is not considered in the current study item as required.</w:t>
      </w:r>
    </w:p>
    <w:p w14:paraId="40FCE164" w14:textId="2177B6C7" w:rsidR="00107F11" w:rsidRDefault="00107F11" w:rsidP="00107F11">
      <w:pPr>
        <w:rPr>
          <w:b/>
          <w:bCs/>
        </w:rPr>
      </w:pPr>
      <w:r w:rsidRPr="00C871DE">
        <w:rPr>
          <w:b/>
          <w:bCs/>
        </w:rPr>
        <w:t xml:space="preserve">Proposal </w:t>
      </w:r>
      <w:r>
        <w:rPr>
          <w:b/>
          <w:bCs/>
        </w:rPr>
        <w:t>3</w:t>
      </w:r>
      <w:r w:rsidRPr="00C871DE">
        <w:rPr>
          <w:b/>
          <w:bCs/>
        </w:rPr>
        <w:t xml:space="preserve">: </w:t>
      </w:r>
      <w:r>
        <w:rPr>
          <w:b/>
          <w:bCs/>
        </w:rPr>
        <w:t>Rel-17 study item exclude idle mode mobility scenarios between NTN and TN.</w:t>
      </w:r>
    </w:p>
    <w:p w14:paraId="08ABB23C" w14:textId="668FE384" w:rsidR="00845D6E" w:rsidRDefault="00845D6E" w:rsidP="00107F11">
      <w:r>
        <w:t>As the duration of data transmission for IoT devices is short in nature for most of the cases, connected mode mobility is not considered as main feature for IoT devices. For NB-IoT devices until Rel-16, connected mode measurements and mobility are not supported. In case of mobility scenarios, the connected mode UE will experience RLF based on current procedures and the UE will start re-establishment procedure to restore the UE context after selecting best cell based on cell selection procedure. For some specific connected mode mobility scenarios, this behaviour will result in high user data interruption and thus Rel-17 Work Item is agreed to improve the performance for the RLF based re-establishment procedure. One of the objective is to introduce connected mode measurements to improve the re-establishment time. As the use cases to be supported for NB-IoT NTN also includes mobility for scenarios such as maritime and railways, Rel-17 NB-IoT enhancements for re-establishment time reduction can be considered for NB-IOT over NTN also.</w:t>
      </w:r>
    </w:p>
    <w:p w14:paraId="39183EDB" w14:textId="5D573724" w:rsidR="00845D6E" w:rsidRPr="00845D6E" w:rsidRDefault="00845D6E" w:rsidP="00107F11">
      <w:pPr>
        <w:rPr>
          <w:b/>
          <w:bCs/>
        </w:rPr>
      </w:pPr>
      <w:r w:rsidRPr="00845D6E">
        <w:rPr>
          <w:b/>
          <w:bCs/>
        </w:rPr>
        <w:t xml:space="preserve">Observation </w:t>
      </w:r>
      <w:r w:rsidR="008463A1">
        <w:rPr>
          <w:b/>
          <w:bCs/>
        </w:rPr>
        <w:t>2</w:t>
      </w:r>
      <w:r w:rsidRPr="00845D6E">
        <w:rPr>
          <w:b/>
          <w:bCs/>
        </w:rPr>
        <w:t>: Rel-17 NB-IoT enhancements for RLF based mobility is beneficial for some NB-IoT over NTN scenarios.</w:t>
      </w:r>
    </w:p>
    <w:p w14:paraId="5B4BDCB0" w14:textId="113CBBF4" w:rsidR="00845D6E" w:rsidRDefault="00845D6E" w:rsidP="00107F11">
      <w:r>
        <w:t xml:space="preserve">In addition to the basic enhancements considered in Rel-17 NB-IoT </w:t>
      </w:r>
      <w:r w:rsidR="00E271E4">
        <w:t>work item for RLF based mobility</w:t>
      </w:r>
      <w:r>
        <w:t>, further enhancements for the impact of satellite mobility on data transfer of stationary devices at the time of satellite change-over also would be beneficial. In case if the UE is in mid of transmission or reception of repetitions of single transmission, methods for faster switching to next potential target cell and resuming the pending transmissions will be beneficial.</w:t>
      </w:r>
    </w:p>
    <w:p w14:paraId="6BD44A9C" w14:textId="41B28A08" w:rsidR="00845D6E" w:rsidRPr="00845D6E" w:rsidRDefault="00845D6E" w:rsidP="00107F11">
      <w:pPr>
        <w:rPr>
          <w:b/>
          <w:bCs/>
        </w:rPr>
      </w:pPr>
      <w:r w:rsidRPr="00845D6E">
        <w:rPr>
          <w:b/>
          <w:bCs/>
        </w:rPr>
        <w:t xml:space="preserve">Proposal </w:t>
      </w:r>
      <w:r w:rsidR="008463A1">
        <w:rPr>
          <w:b/>
          <w:bCs/>
        </w:rPr>
        <w:t>4</w:t>
      </w:r>
      <w:r w:rsidRPr="00845D6E">
        <w:rPr>
          <w:b/>
          <w:bCs/>
        </w:rPr>
        <w:t xml:space="preserve">:  </w:t>
      </w:r>
      <w:r w:rsidR="00E271E4">
        <w:rPr>
          <w:b/>
          <w:bCs/>
        </w:rPr>
        <w:t xml:space="preserve">Rel-17 NB-IoT mobility enhancements under discussion in NB-IOT WI should be considered for NB-IoT NTN along with additional changes applicable for satellite mobility scenarios. </w:t>
      </w:r>
    </w:p>
    <w:p w14:paraId="20CA32BC" w14:textId="0FDAE32D" w:rsidR="00107F11" w:rsidRDefault="00845D6E" w:rsidP="00876441">
      <w:r>
        <w:t>For eMTC over NTN also connected mobility enhancements of Rel-16 such as conditional handover will be beneficial as the target cells for mobility in NTN scenario can be predicted</w:t>
      </w:r>
      <w:r w:rsidR="00EA7ECC">
        <w:t xml:space="preserve"> in a </w:t>
      </w:r>
      <w:r>
        <w:t>more deterministic way than in terrestrial cells.</w:t>
      </w:r>
    </w:p>
    <w:p w14:paraId="60D210FB" w14:textId="61C593EB" w:rsidR="00845D6E" w:rsidRPr="00845D6E" w:rsidRDefault="00845D6E" w:rsidP="00845D6E">
      <w:pPr>
        <w:rPr>
          <w:b/>
          <w:bCs/>
        </w:rPr>
      </w:pPr>
      <w:r w:rsidRPr="00845D6E">
        <w:rPr>
          <w:b/>
          <w:bCs/>
        </w:rPr>
        <w:t xml:space="preserve">Proposal </w:t>
      </w:r>
      <w:r w:rsidR="008463A1">
        <w:rPr>
          <w:b/>
          <w:bCs/>
        </w:rPr>
        <w:t>5</w:t>
      </w:r>
      <w:r w:rsidRPr="00845D6E">
        <w:rPr>
          <w:b/>
          <w:bCs/>
        </w:rPr>
        <w:t xml:space="preserve">:  </w:t>
      </w:r>
      <w:r>
        <w:rPr>
          <w:b/>
          <w:bCs/>
        </w:rPr>
        <w:t>Mobility enhancements features considered for NR-NTN mobility should also be applicable for eMTC over NTN</w:t>
      </w:r>
      <w:r w:rsidRPr="00845D6E">
        <w:rPr>
          <w:b/>
          <w:bCs/>
        </w:rPr>
        <w:t>.</w:t>
      </w:r>
    </w:p>
    <w:p w14:paraId="0678F404" w14:textId="77777777" w:rsidR="007F104F" w:rsidRPr="00B71029" w:rsidRDefault="007F104F" w:rsidP="00876441">
      <w:pPr>
        <w:rPr>
          <w:b/>
          <w:bCs/>
        </w:rPr>
      </w:pPr>
    </w:p>
    <w:p w14:paraId="5FF2457F" w14:textId="3064077B" w:rsidR="00A209D6" w:rsidRPr="006E13D1" w:rsidRDefault="006D2815" w:rsidP="00A209D6">
      <w:pPr>
        <w:pStyle w:val="Heading1"/>
      </w:pPr>
      <w:r>
        <w:t>3</w:t>
      </w:r>
      <w:r w:rsidR="00A209D6" w:rsidRPr="006E13D1">
        <w:tab/>
      </w:r>
      <w:r w:rsidR="008C3057">
        <w:t>Conclusion</w:t>
      </w:r>
    </w:p>
    <w:p w14:paraId="6C60FFDC" w14:textId="18DB4516" w:rsidR="00BB2426" w:rsidRPr="004C1D51" w:rsidRDefault="00BB2426" w:rsidP="00BB2426">
      <w:pPr>
        <w:rPr>
          <w:b/>
          <w:bCs/>
        </w:rPr>
      </w:pPr>
      <w:r>
        <w:t>The following proposals and observations were made in this paper:</w:t>
      </w:r>
    </w:p>
    <w:p w14:paraId="3D758B66" w14:textId="77777777" w:rsidR="008463A1" w:rsidRPr="00B71029" w:rsidRDefault="008463A1" w:rsidP="008463A1">
      <w:pPr>
        <w:rPr>
          <w:b/>
          <w:bCs/>
        </w:rPr>
      </w:pPr>
      <w:r w:rsidRPr="00B71029">
        <w:rPr>
          <w:b/>
          <w:bCs/>
        </w:rPr>
        <w:t>Observation 1:  Additional Power consumption for GNSS pre-compensation and reselection to new NTN-Cell during eDRX paging occasions will have significant impact on overall battery lifetime of IoT-NTN device.</w:t>
      </w:r>
    </w:p>
    <w:p w14:paraId="64452F3C" w14:textId="77777777" w:rsidR="008463A1" w:rsidRDefault="008463A1" w:rsidP="008463A1">
      <w:pPr>
        <w:rPr>
          <w:b/>
          <w:bCs/>
        </w:rPr>
      </w:pPr>
      <w:r w:rsidRPr="00B71029">
        <w:rPr>
          <w:b/>
          <w:bCs/>
        </w:rPr>
        <w:t>Proposal 1:</w:t>
      </w:r>
      <w:r>
        <w:rPr>
          <w:b/>
          <w:bCs/>
        </w:rPr>
        <w:t xml:space="preserve"> </w:t>
      </w:r>
      <w:r w:rsidRPr="00B71029">
        <w:rPr>
          <w:b/>
          <w:bCs/>
        </w:rPr>
        <w:t xml:space="preserve">RAN2 to discuss the </w:t>
      </w:r>
      <w:r>
        <w:rPr>
          <w:b/>
          <w:bCs/>
        </w:rPr>
        <w:t>enhancements</w:t>
      </w:r>
      <w:r w:rsidRPr="00B71029">
        <w:rPr>
          <w:b/>
          <w:bCs/>
        </w:rPr>
        <w:t xml:space="preserve"> for reduction of additional energy consumption of IoT-NTN device </w:t>
      </w:r>
      <w:r>
        <w:rPr>
          <w:b/>
          <w:bCs/>
        </w:rPr>
        <w:t>for eDRX operation.</w:t>
      </w:r>
    </w:p>
    <w:p w14:paraId="6D427B14" w14:textId="77777777" w:rsidR="008463A1" w:rsidRPr="00C871DE" w:rsidRDefault="008463A1" w:rsidP="008463A1">
      <w:pPr>
        <w:rPr>
          <w:b/>
          <w:bCs/>
        </w:rPr>
      </w:pPr>
      <w:r w:rsidRPr="00C871DE">
        <w:rPr>
          <w:b/>
          <w:bCs/>
        </w:rPr>
        <w:t>Proposal 2: Further enhancements to relaxed RRM measurements for idle mode mobility for IoT-NTN should be studied.</w:t>
      </w:r>
    </w:p>
    <w:p w14:paraId="71D88E34" w14:textId="38FA7CF4" w:rsidR="008463A1" w:rsidRDefault="008463A1" w:rsidP="008463A1">
      <w:pPr>
        <w:rPr>
          <w:b/>
          <w:bCs/>
        </w:rPr>
      </w:pPr>
      <w:r w:rsidRPr="00C871DE">
        <w:rPr>
          <w:b/>
          <w:bCs/>
        </w:rPr>
        <w:t xml:space="preserve">Proposal </w:t>
      </w:r>
      <w:r>
        <w:rPr>
          <w:b/>
          <w:bCs/>
        </w:rPr>
        <w:t>3</w:t>
      </w:r>
      <w:r w:rsidRPr="00C871DE">
        <w:rPr>
          <w:b/>
          <w:bCs/>
        </w:rPr>
        <w:t xml:space="preserve">: </w:t>
      </w:r>
      <w:r>
        <w:rPr>
          <w:b/>
          <w:bCs/>
        </w:rPr>
        <w:t>Rel-17 study item exclude idle mode mobility scenarios between NTN and TN.</w:t>
      </w:r>
    </w:p>
    <w:p w14:paraId="7E65511B" w14:textId="6EE2168B" w:rsidR="008463A1" w:rsidRDefault="008463A1" w:rsidP="008463A1">
      <w:pPr>
        <w:rPr>
          <w:b/>
          <w:bCs/>
        </w:rPr>
      </w:pPr>
      <w:r w:rsidRPr="00845D6E">
        <w:rPr>
          <w:b/>
          <w:bCs/>
        </w:rPr>
        <w:t xml:space="preserve">Observation </w:t>
      </w:r>
      <w:r>
        <w:rPr>
          <w:b/>
          <w:bCs/>
        </w:rPr>
        <w:t>2</w:t>
      </w:r>
      <w:r w:rsidRPr="00845D6E">
        <w:rPr>
          <w:b/>
          <w:bCs/>
        </w:rPr>
        <w:t>: Rel-17 NB-IoT enhancements for RLF based mobility is beneficial for some NB-IoT over NTN scenarios.</w:t>
      </w:r>
    </w:p>
    <w:p w14:paraId="5FC4CD89" w14:textId="5AAAE2CA" w:rsidR="008463A1" w:rsidRDefault="008463A1" w:rsidP="008463A1">
      <w:pPr>
        <w:rPr>
          <w:b/>
          <w:bCs/>
        </w:rPr>
      </w:pPr>
      <w:r w:rsidRPr="00845D6E">
        <w:rPr>
          <w:b/>
          <w:bCs/>
        </w:rPr>
        <w:t xml:space="preserve">Proposal </w:t>
      </w:r>
      <w:r>
        <w:rPr>
          <w:b/>
          <w:bCs/>
        </w:rPr>
        <w:t>4</w:t>
      </w:r>
      <w:r w:rsidRPr="00845D6E">
        <w:rPr>
          <w:b/>
          <w:bCs/>
        </w:rPr>
        <w:t xml:space="preserve">:  </w:t>
      </w:r>
      <w:r>
        <w:rPr>
          <w:b/>
          <w:bCs/>
        </w:rPr>
        <w:t xml:space="preserve">Rel-17 NB-IoT mobility enhancements under discussion in NB-IOT WI should be considered for NB-IoT NTN along with additional changes applicable for satellite mobility scenarios. </w:t>
      </w:r>
    </w:p>
    <w:p w14:paraId="5B642314" w14:textId="3E934AAF" w:rsidR="008463A1" w:rsidRDefault="008463A1" w:rsidP="008463A1">
      <w:pPr>
        <w:rPr>
          <w:b/>
          <w:bCs/>
        </w:rPr>
      </w:pPr>
      <w:r w:rsidRPr="00845D6E">
        <w:rPr>
          <w:b/>
          <w:bCs/>
        </w:rPr>
        <w:t xml:space="preserve">Proposal </w:t>
      </w:r>
      <w:r>
        <w:rPr>
          <w:b/>
          <w:bCs/>
        </w:rPr>
        <w:t>5</w:t>
      </w:r>
      <w:r w:rsidRPr="00845D6E">
        <w:rPr>
          <w:b/>
          <w:bCs/>
        </w:rPr>
        <w:t xml:space="preserve">:  </w:t>
      </w:r>
      <w:r>
        <w:rPr>
          <w:b/>
          <w:bCs/>
        </w:rPr>
        <w:t>Mobility enhancements features considered for NR-NTN mobility should also be applicable for eMTC over NTN</w:t>
      </w:r>
      <w:r w:rsidRPr="00845D6E">
        <w:rPr>
          <w:b/>
          <w:bCs/>
        </w:rPr>
        <w:t>.</w:t>
      </w:r>
    </w:p>
    <w:p w14:paraId="33A4E5E7" w14:textId="43179B17" w:rsidR="00145F50" w:rsidRDefault="00145F50" w:rsidP="00145F50">
      <w:pPr>
        <w:pStyle w:val="Heading1"/>
      </w:pPr>
      <w:r>
        <w:t>References</w:t>
      </w:r>
    </w:p>
    <w:p w14:paraId="65D1372C" w14:textId="77777777" w:rsidR="00145F50" w:rsidRDefault="00145F50" w:rsidP="00145F50">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GB"/>
        </w:rPr>
        <w:t>[1] R2-2008975</w:t>
      </w:r>
      <w:r>
        <w:rPr>
          <w:rStyle w:val="normaltextrun"/>
          <w:color w:val="0078D4"/>
          <w:sz w:val="22"/>
          <w:szCs w:val="22"/>
          <w:u w:val="single"/>
          <w:lang w:val="en-GB"/>
        </w:rPr>
        <w:t> </w:t>
      </w:r>
      <w:r w:rsidRPr="00145F50">
        <w:rPr>
          <w:rStyle w:val="normaltextrun"/>
          <w:sz w:val="22"/>
          <w:szCs w:val="22"/>
          <w:u w:val="single"/>
          <w:lang w:val="en-GB"/>
        </w:rPr>
        <w:t>Summary #1 of 9.2.1 IoT NTN Scenarios, Eutelsat</w:t>
      </w:r>
      <w:r w:rsidRPr="00145F50">
        <w:rPr>
          <w:rStyle w:val="eop"/>
          <w:sz w:val="22"/>
          <w:szCs w:val="22"/>
        </w:rPr>
        <w:t> </w:t>
      </w:r>
    </w:p>
    <w:p w14:paraId="263E8BB2" w14:textId="635B58A3" w:rsidR="00145F50" w:rsidRDefault="00145F50" w:rsidP="00145F50">
      <w:pPr>
        <w:pStyle w:val="paragraph"/>
        <w:spacing w:before="0" w:beforeAutospacing="0" w:after="0" w:afterAutospacing="0"/>
        <w:textAlignment w:val="baseline"/>
        <w:rPr>
          <w:rStyle w:val="eop"/>
          <w:sz w:val="22"/>
          <w:szCs w:val="22"/>
        </w:rPr>
      </w:pPr>
      <w:r>
        <w:rPr>
          <w:rStyle w:val="normaltextrun"/>
          <w:sz w:val="22"/>
          <w:szCs w:val="22"/>
          <w:lang w:val="en-GB"/>
        </w:rPr>
        <w:t>[2] Chairman's Notes RAN1#103-e</w:t>
      </w:r>
      <w:r>
        <w:rPr>
          <w:rStyle w:val="eop"/>
          <w:sz w:val="22"/>
          <w:szCs w:val="22"/>
        </w:rPr>
        <w:t> </w:t>
      </w:r>
    </w:p>
    <w:p w14:paraId="426443C6" w14:textId="22D35881" w:rsidR="00145F50" w:rsidRDefault="00145F50" w:rsidP="00145F50">
      <w:pPr>
        <w:pStyle w:val="paragraph"/>
        <w:spacing w:before="0" w:beforeAutospacing="0" w:after="0" w:afterAutospacing="0"/>
        <w:textAlignment w:val="baseline"/>
        <w:rPr>
          <w:rFonts w:ascii="Segoe UI" w:hAnsi="Segoe UI" w:cs="Segoe UI"/>
          <w:sz w:val="18"/>
          <w:szCs w:val="18"/>
        </w:rPr>
      </w:pPr>
      <w:r>
        <w:rPr>
          <w:rStyle w:val="eop"/>
          <w:sz w:val="22"/>
          <w:szCs w:val="22"/>
        </w:rPr>
        <w:t>[3] Chairman Note RAN2#112-e</w:t>
      </w:r>
    </w:p>
    <w:p w14:paraId="4881F70B" w14:textId="098B6862" w:rsidR="00145F50" w:rsidRDefault="00145F50" w:rsidP="00145F50">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GB"/>
        </w:rPr>
        <w:t>[</w:t>
      </w:r>
      <w:r>
        <w:rPr>
          <w:rStyle w:val="normaltextrun"/>
          <w:sz w:val="22"/>
          <w:szCs w:val="22"/>
          <w:lang w:val="en-GB"/>
        </w:rPr>
        <w:t>4</w:t>
      </w:r>
      <w:r>
        <w:rPr>
          <w:rStyle w:val="normaltextrun"/>
          <w:sz w:val="22"/>
          <w:szCs w:val="22"/>
          <w:lang w:val="en-GB"/>
        </w:rPr>
        <w:t>] RP-193235, “New Study WID on NB-IoT/eM</w:t>
      </w:r>
      <w:r>
        <w:rPr>
          <w:rStyle w:val="normaltextrun"/>
          <w:sz w:val="22"/>
          <w:szCs w:val="22"/>
          <w:lang w:val="en-GB"/>
        </w:rPr>
        <w:t>T</w:t>
      </w:r>
      <w:r>
        <w:rPr>
          <w:rStyle w:val="normaltextrun"/>
          <w:sz w:val="22"/>
          <w:szCs w:val="22"/>
          <w:lang w:val="en-GB"/>
        </w:rPr>
        <w:t>C support for NTN”, </w:t>
      </w:r>
      <w:r>
        <w:rPr>
          <w:rStyle w:val="normaltextrun"/>
          <w:strike/>
          <w:color w:val="0078D4"/>
          <w:sz w:val="22"/>
          <w:szCs w:val="22"/>
          <w:lang w:val="en-GB"/>
        </w:rPr>
        <w:t>[</w:t>
      </w:r>
      <w:r>
        <w:rPr>
          <w:rStyle w:val="normaltextrun"/>
          <w:sz w:val="22"/>
          <w:szCs w:val="22"/>
          <w:lang w:val="en-GB"/>
        </w:rPr>
        <w:t>MediaTek</w:t>
      </w:r>
      <w:r>
        <w:rPr>
          <w:rStyle w:val="normaltextrun"/>
          <w:strike/>
          <w:color w:val="0078D4"/>
          <w:sz w:val="22"/>
          <w:szCs w:val="22"/>
          <w:lang w:val="en-GB"/>
        </w:rPr>
        <w:t>]</w:t>
      </w:r>
      <w:r>
        <w:rPr>
          <w:rStyle w:val="eop"/>
          <w:color w:val="0078D4"/>
          <w:sz w:val="22"/>
          <w:szCs w:val="22"/>
        </w:rPr>
        <w:t> </w:t>
      </w:r>
    </w:p>
    <w:p w14:paraId="7BA59D4A" w14:textId="77777777" w:rsidR="00145F50" w:rsidRPr="00145F50" w:rsidRDefault="00145F50" w:rsidP="00145F50"/>
    <w:p w14:paraId="68CB540B" w14:textId="77777777" w:rsidR="008463A1" w:rsidRPr="00845D6E" w:rsidRDefault="008463A1" w:rsidP="008463A1">
      <w:pPr>
        <w:rPr>
          <w:b/>
          <w:bCs/>
        </w:rPr>
      </w:pPr>
    </w:p>
    <w:p w14:paraId="7287D35F" w14:textId="77777777" w:rsidR="008463A1" w:rsidRPr="00845D6E" w:rsidRDefault="008463A1" w:rsidP="008463A1">
      <w:pPr>
        <w:rPr>
          <w:b/>
          <w:bCs/>
        </w:rPr>
      </w:pPr>
      <w:bookmarkStart w:id="0" w:name="_GoBack"/>
      <w:bookmarkEnd w:id="0"/>
    </w:p>
    <w:p w14:paraId="7C986B9D" w14:textId="77777777" w:rsidR="008463A1" w:rsidRDefault="008463A1" w:rsidP="008463A1">
      <w:pPr>
        <w:rPr>
          <w:b/>
          <w:bCs/>
        </w:rPr>
      </w:pPr>
    </w:p>
    <w:p w14:paraId="060B126B" w14:textId="77777777" w:rsidR="000526BE" w:rsidRPr="000526BE" w:rsidRDefault="000526BE" w:rsidP="000526BE"/>
    <w:sectPr w:rsidR="000526BE" w:rsidRPr="000526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C0761" w14:textId="77777777" w:rsidR="00B14E72" w:rsidRDefault="00B14E72">
      <w:r>
        <w:separator/>
      </w:r>
    </w:p>
  </w:endnote>
  <w:endnote w:type="continuationSeparator" w:id="0">
    <w:p w14:paraId="11615DA5" w14:textId="77777777" w:rsidR="00B14E72" w:rsidRDefault="00B14E72">
      <w:r>
        <w:continuationSeparator/>
      </w:r>
    </w:p>
  </w:endnote>
  <w:endnote w:type="continuationNotice" w:id="1">
    <w:p w14:paraId="7273FC38" w14:textId="77777777" w:rsidR="00B14E72" w:rsidRDefault="00B14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02995" w14:textId="77777777" w:rsidR="00B14E72" w:rsidRDefault="00B14E72">
      <w:r>
        <w:separator/>
      </w:r>
    </w:p>
  </w:footnote>
  <w:footnote w:type="continuationSeparator" w:id="0">
    <w:p w14:paraId="448CBBAE" w14:textId="77777777" w:rsidR="00B14E72" w:rsidRDefault="00B14E72">
      <w:r>
        <w:continuationSeparator/>
      </w:r>
    </w:p>
  </w:footnote>
  <w:footnote w:type="continuationNotice" w:id="1">
    <w:p w14:paraId="7AAFCA42" w14:textId="77777777" w:rsidR="00B14E72" w:rsidRDefault="00B14E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CD6D6D"/>
    <w:multiLevelType w:val="hybridMultilevel"/>
    <w:tmpl w:val="943677D4"/>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9"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0A2060"/>
    <w:multiLevelType w:val="hybridMultilevel"/>
    <w:tmpl w:val="8E68B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4"/>
  </w:num>
  <w:num w:numId="7">
    <w:abstractNumId w:val="15"/>
  </w:num>
  <w:num w:numId="8">
    <w:abstractNumId w:val="4"/>
  </w:num>
  <w:num w:numId="9">
    <w:abstractNumId w:val="6"/>
  </w:num>
  <w:num w:numId="10">
    <w:abstractNumId w:val="17"/>
  </w:num>
  <w:num w:numId="11">
    <w:abstractNumId w:val="5"/>
  </w:num>
  <w:num w:numId="12">
    <w:abstractNumId w:val="19"/>
  </w:num>
  <w:num w:numId="13">
    <w:abstractNumId w:val="18"/>
  </w:num>
  <w:num w:numId="14">
    <w:abstractNumId w:val="20"/>
  </w:num>
  <w:num w:numId="15">
    <w:abstractNumId w:val="2"/>
  </w:num>
  <w:num w:numId="16">
    <w:abstractNumId w:val="9"/>
  </w:num>
  <w:num w:numId="17">
    <w:abstractNumId w:val="13"/>
  </w:num>
  <w:num w:numId="18">
    <w:abstractNumId w:val="7"/>
  </w:num>
  <w:num w:numId="19">
    <w:abstractNumId w:val="16"/>
  </w:num>
  <w:num w:numId="20">
    <w:abstractNumId w:val="22"/>
  </w:num>
  <w:num w:numId="21">
    <w:abstractNumId w:val="10"/>
  </w:num>
  <w:num w:numId="22">
    <w:abstractNumId w:val="3"/>
  </w:num>
  <w:num w:numId="23">
    <w:abstractNumId w:val="8"/>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017"/>
    <w:rsid w:val="0004113F"/>
    <w:rsid w:val="000526BE"/>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6269"/>
    <w:rsid w:val="000B04D4"/>
    <w:rsid w:val="000B274C"/>
    <w:rsid w:val="000B51D6"/>
    <w:rsid w:val="000B562B"/>
    <w:rsid w:val="000B7BCF"/>
    <w:rsid w:val="000B7DC3"/>
    <w:rsid w:val="000B7EEE"/>
    <w:rsid w:val="000C0316"/>
    <w:rsid w:val="000C2E0D"/>
    <w:rsid w:val="000C522B"/>
    <w:rsid w:val="000D085B"/>
    <w:rsid w:val="000D451E"/>
    <w:rsid w:val="000D58AB"/>
    <w:rsid w:val="000D6AB1"/>
    <w:rsid w:val="000E351F"/>
    <w:rsid w:val="000E4120"/>
    <w:rsid w:val="000E5A69"/>
    <w:rsid w:val="000F034D"/>
    <w:rsid w:val="000F27DA"/>
    <w:rsid w:val="000F2CA0"/>
    <w:rsid w:val="000F5DA0"/>
    <w:rsid w:val="001070F5"/>
    <w:rsid w:val="00107F11"/>
    <w:rsid w:val="00112F1A"/>
    <w:rsid w:val="0011325D"/>
    <w:rsid w:val="00115CE1"/>
    <w:rsid w:val="001213F4"/>
    <w:rsid w:val="00122115"/>
    <w:rsid w:val="00124397"/>
    <w:rsid w:val="001344BC"/>
    <w:rsid w:val="0014251D"/>
    <w:rsid w:val="00142BCD"/>
    <w:rsid w:val="00145075"/>
    <w:rsid w:val="00145F50"/>
    <w:rsid w:val="001631EE"/>
    <w:rsid w:val="00172657"/>
    <w:rsid w:val="001741A0"/>
    <w:rsid w:val="0017447B"/>
    <w:rsid w:val="00175FA0"/>
    <w:rsid w:val="00181595"/>
    <w:rsid w:val="00192473"/>
    <w:rsid w:val="00194CD0"/>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51FA"/>
    <w:rsid w:val="002501B5"/>
    <w:rsid w:val="00250404"/>
    <w:rsid w:val="00251822"/>
    <w:rsid w:val="00253135"/>
    <w:rsid w:val="00253845"/>
    <w:rsid w:val="002610D8"/>
    <w:rsid w:val="002613CB"/>
    <w:rsid w:val="00261AE5"/>
    <w:rsid w:val="00262813"/>
    <w:rsid w:val="00267789"/>
    <w:rsid w:val="002747EC"/>
    <w:rsid w:val="00275FFC"/>
    <w:rsid w:val="00283D55"/>
    <w:rsid w:val="002855BF"/>
    <w:rsid w:val="002903C4"/>
    <w:rsid w:val="00296CBB"/>
    <w:rsid w:val="00297AEB"/>
    <w:rsid w:val="002A0169"/>
    <w:rsid w:val="002A2640"/>
    <w:rsid w:val="002A6D2C"/>
    <w:rsid w:val="002C2EB5"/>
    <w:rsid w:val="002C34AC"/>
    <w:rsid w:val="002C43E6"/>
    <w:rsid w:val="002C6B00"/>
    <w:rsid w:val="002D59D8"/>
    <w:rsid w:val="002D6DB3"/>
    <w:rsid w:val="002E1C3B"/>
    <w:rsid w:val="002E696A"/>
    <w:rsid w:val="002E7D42"/>
    <w:rsid w:val="002F0D22"/>
    <w:rsid w:val="00302783"/>
    <w:rsid w:val="00303151"/>
    <w:rsid w:val="00304342"/>
    <w:rsid w:val="0030550A"/>
    <w:rsid w:val="00311B17"/>
    <w:rsid w:val="00312462"/>
    <w:rsid w:val="00312758"/>
    <w:rsid w:val="003172DC"/>
    <w:rsid w:val="00325AE3"/>
    <w:rsid w:val="00326069"/>
    <w:rsid w:val="00326974"/>
    <w:rsid w:val="00331BD9"/>
    <w:rsid w:val="0033260E"/>
    <w:rsid w:val="00340979"/>
    <w:rsid w:val="0034172F"/>
    <w:rsid w:val="00345C2A"/>
    <w:rsid w:val="00345D66"/>
    <w:rsid w:val="003465E8"/>
    <w:rsid w:val="0035462D"/>
    <w:rsid w:val="0035527F"/>
    <w:rsid w:val="0035664E"/>
    <w:rsid w:val="0036459E"/>
    <w:rsid w:val="00364B41"/>
    <w:rsid w:val="00366464"/>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73F2D"/>
    <w:rsid w:val="00477455"/>
    <w:rsid w:val="00481A05"/>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5324"/>
    <w:rsid w:val="00581213"/>
    <w:rsid w:val="00581D26"/>
    <w:rsid w:val="005820C2"/>
    <w:rsid w:val="00585878"/>
    <w:rsid w:val="00587686"/>
    <w:rsid w:val="0059046D"/>
    <w:rsid w:val="00591B10"/>
    <w:rsid w:val="005939CF"/>
    <w:rsid w:val="005A1304"/>
    <w:rsid w:val="005A2C50"/>
    <w:rsid w:val="005A49C6"/>
    <w:rsid w:val="005B2761"/>
    <w:rsid w:val="005B4B3F"/>
    <w:rsid w:val="005B754F"/>
    <w:rsid w:val="005C778B"/>
    <w:rsid w:val="005C7B5C"/>
    <w:rsid w:val="005D15EB"/>
    <w:rsid w:val="005D25AA"/>
    <w:rsid w:val="005D2C72"/>
    <w:rsid w:val="005E3B77"/>
    <w:rsid w:val="005E4F36"/>
    <w:rsid w:val="005E7849"/>
    <w:rsid w:val="005F1668"/>
    <w:rsid w:val="005F2D71"/>
    <w:rsid w:val="005F383B"/>
    <w:rsid w:val="005F456B"/>
    <w:rsid w:val="005F63D0"/>
    <w:rsid w:val="005F70C7"/>
    <w:rsid w:val="00604798"/>
    <w:rsid w:val="00605396"/>
    <w:rsid w:val="00605B9D"/>
    <w:rsid w:val="006067B8"/>
    <w:rsid w:val="00611566"/>
    <w:rsid w:val="00611710"/>
    <w:rsid w:val="0061378F"/>
    <w:rsid w:val="0061717E"/>
    <w:rsid w:val="00620121"/>
    <w:rsid w:val="0062578C"/>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D0258"/>
    <w:rsid w:val="006D1E24"/>
    <w:rsid w:val="006D2290"/>
    <w:rsid w:val="006D2815"/>
    <w:rsid w:val="006D4A84"/>
    <w:rsid w:val="006E1417"/>
    <w:rsid w:val="006E35A0"/>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352CE"/>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C095F"/>
    <w:rsid w:val="007C2DD0"/>
    <w:rsid w:val="007D256D"/>
    <w:rsid w:val="007D2BCC"/>
    <w:rsid w:val="007D76DC"/>
    <w:rsid w:val="007E4EF8"/>
    <w:rsid w:val="007E78F6"/>
    <w:rsid w:val="007F104F"/>
    <w:rsid w:val="007F2E08"/>
    <w:rsid w:val="0080188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5D6E"/>
    <w:rsid w:val="00846011"/>
    <w:rsid w:val="008463A1"/>
    <w:rsid w:val="008529FC"/>
    <w:rsid w:val="00855431"/>
    <w:rsid w:val="00857F83"/>
    <w:rsid w:val="008603EC"/>
    <w:rsid w:val="00860A54"/>
    <w:rsid w:val="00862A88"/>
    <w:rsid w:val="0086354A"/>
    <w:rsid w:val="008657FC"/>
    <w:rsid w:val="00870223"/>
    <w:rsid w:val="00870A22"/>
    <w:rsid w:val="008710EE"/>
    <w:rsid w:val="00876441"/>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4EBA"/>
    <w:rsid w:val="00966222"/>
    <w:rsid w:val="00970DB3"/>
    <w:rsid w:val="00973311"/>
    <w:rsid w:val="00974BB0"/>
    <w:rsid w:val="00975BCD"/>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149"/>
    <w:rsid w:val="009E6C36"/>
    <w:rsid w:val="009F4A3C"/>
    <w:rsid w:val="009F5016"/>
    <w:rsid w:val="009F6706"/>
    <w:rsid w:val="009F6E16"/>
    <w:rsid w:val="00A03C91"/>
    <w:rsid w:val="00A10F02"/>
    <w:rsid w:val="00A11526"/>
    <w:rsid w:val="00A13940"/>
    <w:rsid w:val="00A1702C"/>
    <w:rsid w:val="00A204CA"/>
    <w:rsid w:val="00A209D6"/>
    <w:rsid w:val="00A25EC5"/>
    <w:rsid w:val="00A37F40"/>
    <w:rsid w:val="00A42CC1"/>
    <w:rsid w:val="00A472E7"/>
    <w:rsid w:val="00A479D9"/>
    <w:rsid w:val="00A506C5"/>
    <w:rsid w:val="00A528DD"/>
    <w:rsid w:val="00A52BE0"/>
    <w:rsid w:val="00A53100"/>
    <w:rsid w:val="00A53724"/>
    <w:rsid w:val="00A54B2B"/>
    <w:rsid w:val="00A56B05"/>
    <w:rsid w:val="00A6015C"/>
    <w:rsid w:val="00A61979"/>
    <w:rsid w:val="00A74DAC"/>
    <w:rsid w:val="00A754E2"/>
    <w:rsid w:val="00A76C34"/>
    <w:rsid w:val="00A82346"/>
    <w:rsid w:val="00A853FA"/>
    <w:rsid w:val="00A8665F"/>
    <w:rsid w:val="00A92852"/>
    <w:rsid w:val="00A94BC1"/>
    <w:rsid w:val="00A95B25"/>
    <w:rsid w:val="00A9671C"/>
    <w:rsid w:val="00A96737"/>
    <w:rsid w:val="00AA1535"/>
    <w:rsid w:val="00AA1553"/>
    <w:rsid w:val="00AA25C1"/>
    <w:rsid w:val="00AA5CB1"/>
    <w:rsid w:val="00AB139E"/>
    <w:rsid w:val="00AB3622"/>
    <w:rsid w:val="00AB7FEB"/>
    <w:rsid w:val="00AC2AFF"/>
    <w:rsid w:val="00AD655D"/>
    <w:rsid w:val="00AE1D96"/>
    <w:rsid w:val="00AF4156"/>
    <w:rsid w:val="00AF49DA"/>
    <w:rsid w:val="00AF6AAB"/>
    <w:rsid w:val="00AF6F55"/>
    <w:rsid w:val="00B016B5"/>
    <w:rsid w:val="00B05380"/>
    <w:rsid w:val="00B05962"/>
    <w:rsid w:val="00B06A93"/>
    <w:rsid w:val="00B06B16"/>
    <w:rsid w:val="00B11BA9"/>
    <w:rsid w:val="00B1271F"/>
    <w:rsid w:val="00B12CC2"/>
    <w:rsid w:val="00B13577"/>
    <w:rsid w:val="00B14E72"/>
    <w:rsid w:val="00B15449"/>
    <w:rsid w:val="00B15CCF"/>
    <w:rsid w:val="00B16C2F"/>
    <w:rsid w:val="00B17C88"/>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700EA"/>
    <w:rsid w:val="00B71029"/>
    <w:rsid w:val="00B7347E"/>
    <w:rsid w:val="00B76AB8"/>
    <w:rsid w:val="00B83027"/>
    <w:rsid w:val="00B84DB2"/>
    <w:rsid w:val="00B84E2A"/>
    <w:rsid w:val="00B914C0"/>
    <w:rsid w:val="00B93D0B"/>
    <w:rsid w:val="00BA0C32"/>
    <w:rsid w:val="00BB2426"/>
    <w:rsid w:val="00BB3867"/>
    <w:rsid w:val="00BC05B5"/>
    <w:rsid w:val="00BC3555"/>
    <w:rsid w:val="00BC5632"/>
    <w:rsid w:val="00BE55DF"/>
    <w:rsid w:val="00BE66C1"/>
    <w:rsid w:val="00BE761C"/>
    <w:rsid w:val="00BF6DC1"/>
    <w:rsid w:val="00C012CE"/>
    <w:rsid w:val="00C04FF3"/>
    <w:rsid w:val="00C0567A"/>
    <w:rsid w:val="00C07D4E"/>
    <w:rsid w:val="00C12818"/>
    <w:rsid w:val="00C12B51"/>
    <w:rsid w:val="00C219B3"/>
    <w:rsid w:val="00C24650"/>
    <w:rsid w:val="00C25465"/>
    <w:rsid w:val="00C275D5"/>
    <w:rsid w:val="00C30E2F"/>
    <w:rsid w:val="00C33079"/>
    <w:rsid w:val="00C44D05"/>
    <w:rsid w:val="00C50397"/>
    <w:rsid w:val="00C53EBC"/>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CF1D1F"/>
    <w:rsid w:val="00CF2D2E"/>
    <w:rsid w:val="00D021AE"/>
    <w:rsid w:val="00D0335D"/>
    <w:rsid w:val="00D034D5"/>
    <w:rsid w:val="00D03687"/>
    <w:rsid w:val="00D1002A"/>
    <w:rsid w:val="00D1006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11C0"/>
    <w:rsid w:val="00D72CD9"/>
    <w:rsid w:val="00D738D6"/>
    <w:rsid w:val="00D74B03"/>
    <w:rsid w:val="00D76BAE"/>
    <w:rsid w:val="00D77D55"/>
    <w:rsid w:val="00D80795"/>
    <w:rsid w:val="00D81AB4"/>
    <w:rsid w:val="00D854BE"/>
    <w:rsid w:val="00D868AC"/>
    <w:rsid w:val="00D87E00"/>
    <w:rsid w:val="00D87F08"/>
    <w:rsid w:val="00D9134D"/>
    <w:rsid w:val="00D96D11"/>
    <w:rsid w:val="00DA1667"/>
    <w:rsid w:val="00DA260D"/>
    <w:rsid w:val="00DA7A03"/>
    <w:rsid w:val="00DB0DB8"/>
    <w:rsid w:val="00DB1818"/>
    <w:rsid w:val="00DB5CB9"/>
    <w:rsid w:val="00DC309B"/>
    <w:rsid w:val="00DC4DA2"/>
    <w:rsid w:val="00DC5261"/>
    <w:rsid w:val="00DD10B1"/>
    <w:rsid w:val="00DE25D2"/>
    <w:rsid w:val="00DE4C4A"/>
    <w:rsid w:val="00E2202C"/>
    <w:rsid w:val="00E222B0"/>
    <w:rsid w:val="00E250D7"/>
    <w:rsid w:val="00E2540F"/>
    <w:rsid w:val="00E271E4"/>
    <w:rsid w:val="00E2781E"/>
    <w:rsid w:val="00E30813"/>
    <w:rsid w:val="00E34A35"/>
    <w:rsid w:val="00E35CF7"/>
    <w:rsid w:val="00E36D74"/>
    <w:rsid w:val="00E41B62"/>
    <w:rsid w:val="00E46B3C"/>
    <w:rsid w:val="00E46C08"/>
    <w:rsid w:val="00E46C9F"/>
    <w:rsid w:val="00E471CF"/>
    <w:rsid w:val="00E53607"/>
    <w:rsid w:val="00E548A1"/>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A7ECC"/>
    <w:rsid w:val="00EB3DE4"/>
    <w:rsid w:val="00EB45BA"/>
    <w:rsid w:val="00EC4680"/>
    <w:rsid w:val="00EC4A25"/>
    <w:rsid w:val="00EC4F39"/>
    <w:rsid w:val="00EC7B2F"/>
    <w:rsid w:val="00ED7586"/>
    <w:rsid w:val="00EE0FA1"/>
    <w:rsid w:val="00EE67B0"/>
    <w:rsid w:val="00EF57B1"/>
    <w:rsid w:val="00EF7121"/>
    <w:rsid w:val="00F025A2"/>
    <w:rsid w:val="00F02BC9"/>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32CB"/>
    <w:rsid w:val="00F460B0"/>
    <w:rsid w:val="00F46FAB"/>
    <w:rsid w:val="00F54A3D"/>
    <w:rsid w:val="00F54CB0"/>
    <w:rsid w:val="00F579CD"/>
    <w:rsid w:val="00F60359"/>
    <w:rsid w:val="00F62DBB"/>
    <w:rsid w:val="00F653B8"/>
    <w:rsid w:val="00F70834"/>
    <w:rsid w:val="00F71B89"/>
    <w:rsid w:val="00F7318A"/>
    <w:rsid w:val="00F7353C"/>
    <w:rsid w:val="00F739F3"/>
    <w:rsid w:val="00F74567"/>
    <w:rsid w:val="00F76CF1"/>
    <w:rsid w:val="00F76E46"/>
    <w:rsid w:val="00F76F8F"/>
    <w:rsid w:val="00F80689"/>
    <w:rsid w:val="00F844E0"/>
    <w:rsid w:val="00F85482"/>
    <w:rsid w:val="00F941DF"/>
    <w:rsid w:val="00F973DE"/>
    <w:rsid w:val="00FA1266"/>
    <w:rsid w:val="00FA5B7B"/>
    <w:rsid w:val="00FB340E"/>
    <w:rsid w:val="00FB36FA"/>
    <w:rsid w:val="00FC0572"/>
    <w:rsid w:val="00FC1192"/>
    <w:rsid w:val="00FC4BDE"/>
    <w:rsid w:val="00FC628F"/>
    <w:rsid w:val="00FC7EF9"/>
    <w:rsid w:val="00FD2DDC"/>
    <w:rsid w:val="00FD4988"/>
    <w:rsid w:val="00FD5C2C"/>
    <w:rsid w:val="00FE0F2E"/>
    <w:rsid w:val="00FE1627"/>
    <w:rsid w:val="00FE251B"/>
    <w:rsid w:val="00FF5DC9"/>
    <w:rsid w:val="00FF78AB"/>
    <w:rsid w:val="2BB3E45C"/>
    <w:rsid w:val="2EB6AB32"/>
    <w:rsid w:val="3B68E559"/>
    <w:rsid w:val="6E8F67D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paragraph" w:customStyle="1" w:styleId="paragraph">
    <w:name w:val="paragraph"/>
    <w:basedOn w:val="Normal"/>
    <w:rsid w:val="00145F50"/>
    <w:pPr>
      <w:spacing w:before="100" w:beforeAutospacing="1" w:after="100" w:afterAutospacing="1"/>
    </w:pPr>
    <w:rPr>
      <w:sz w:val="24"/>
      <w:szCs w:val="24"/>
      <w:lang w:val="en-IN" w:eastAsia="en-IN"/>
    </w:rPr>
  </w:style>
  <w:style w:type="character" w:customStyle="1" w:styleId="eop">
    <w:name w:val="eop"/>
    <w:basedOn w:val="DefaultParagraphFont"/>
    <w:rsid w:val="00145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3608833">
      <w:bodyDiv w:val="1"/>
      <w:marLeft w:val="0"/>
      <w:marRight w:val="0"/>
      <w:marTop w:val="0"/>
      <w:marBottom w:val="0"/>
      <w:divBdr>
        <w:top w:val="none" w:sz="0" w:space="0" w:color="auto"/>
        <w:left w:val="none" w:sz="0" w:space="0" w:color="auto"/>
        <w:bottom w:val="none" w:sz="0" w:space="0" w:color="auto"/>
        <w:right w:val="none" w:sz="0" w:space="0" w:color="auto"/>
      </w:divBdr>
      <w:divsChild>
        <w:div w:id="325668107">
          <w:marLeft w:val="0"/>
          <w:marRight w:val="0"/>
          <w:marTop w:val="0"/>
          <w:marBottom w:val="0"/>
          <w:divBdr>
            <w:top w:val="none" w:sz="0" w:space="0" w:color="auto"/>
            <w:left w:val="none" w:sz="0" w:space="0" w:color="auto"/>
            <w:bottom w:val="none" w:sz="0" w:space="0" w:color="auto"/>
            <w:right w:val="none" w:sz="0" w:space="0" w:color="auto"/>
          </w:divBdr>
        </w:div>
        <w:div w:id="962687394">
          <w:marLeft w:val="0"/>
          <w:marRight w:val="0"/>
          <w:marTop w:val="0"/>
          <w:marBottom w:val="0"/>
          <w:divBdr>
            <w:top w:val="none" w:sz="0" w:space="0" w:color="auto"/>
            <w:left w:val="none" w:sz="0" w:space="0" w:color="auto"/>
            <w:bottom w:val="none" w:sz="0" w:space="0" w:color="auto"/>
            <w:right w:val="none" w:sz="0" w:space="0" w:color="auto"/>
          </w:divBdr>
        </w:div>
        <w:div w:id="220101931">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5AIRPNAIUNRU-859666464-7997</_dlc_DocId>
    <_dlc_DocIdUrl xmlns="71c5aaf6-e6ce-465b-b873-5148d2a4c105">
      <Url>https://nokia.sharepoint.com/sites/c5g/e2earch/_layouts/15/DocIdRedir.aspx?ID=5AIRPNAIUNRU-859666464-7997</Url>
      <Description>5AIRPNAIUNRU-859666464-7997</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B0E20D52-DA9C-49F8-992C-17DC4FDF5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1310</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	Introduction</vt:lpstr>
      <vt:lpstr>2	Discussion</vt:lpstr>
      <vt:lpstr>3	Conclusion</vt:lpstr>
    </vt:vector>
  </TitlesOfParts>
  <Manager/>
  <Company>Nokia</Company>
  <LinksUpToDate>false</LinksUpToDate>
  <CharactersWithSpaces>8760</CharactersWithSpaces>
  <SharedDoc>false</SharedDoc>
  <HyperlinkBase/>
  <HLinks>
    <vt:vector size="186" baseType="variant">
      <vt:variant>
        <vt:i4>3014743</vt:i4>
      </vt:variant>
      <vt:variant>
        <vt:i4>276</vt:i4>
      </vt:variant>
      <vt:variant>
        <vt:i4>0</vt:i4>
      </vt:variant>
      <vt:variant>
        <vt:i4>5</vt:i4>
      </vt:variant>
      <vt:variant>
        <vt:lpwstr>http://www.3gpp.org/ftp/TSG_RAN/WG1_RL1/TSGR1_98/Docs/R1-1908251.zip</vt:lpwstr>
      </vt:variant>
      <vt:variant>
        <vt:lpwstr/>
      </vt:variant>
      <vt:variant>
        <vt:i4>2687077</vt:i4>
      </vt:variant>
      <vt:variant>
        <vt:i4>273</vt:i4>
      </vt:variant>
      <vt:variant>
        <vt:i4>0</vt:i4>
      </vt:variant>
      <vt:variant>
        <vt:i4>5</vt:i4>
      </vt:variant>
      <vt:variant>
        <vt:lpwstr>https://www.itu.int/rec/R-REC-P.681-11-201908-I/en</vt:lpwstr>
      </vt:variant>
      <vt:variant>
        <vt:lpwstr/>
      </vt:variant>
      <vt:variant>
        <vt:i4>3145739</vt:i4>
      </vt:variant>
      <vt:variant>
        <vt:i4>270</vt:i4>
      </vt:variant>
      <vt:variant>
        <vt:i4>0</vt:i4>
      </vt:variant>
      <vt:variant>
        <vt:i4>5</vt:i4>
      </vt:variant>
      <vt:variant>
        <vt:lpwstr>http://www.3gpp.org/ftp/TSG_RAN/TSG_RAN/TSGR_88e/Docs/RP-200717.zip</vt:lpwstr>
      </vt:variant>
      <vt:variant>
        <vt:lpwstr/>
      </vt:variant>
      <vt:variant>
        <vt:i4>1769586</vt:i4>
      </vt:variant>
      <vt:variant>
        <vt:i4>267</vt:i4>
      </vt:variant>
      <vt:variant>
        <vt:i4>0</vt:i4>
      </vt:variant>
      <vt:variant>
        <vt:i4>5</vt:i4>
      </vt:variant>
      <vt:variant>
        <vt:lpwstr>http://www.3gpp.org/ftp/Specs/archive/38_series/38.811/38811-f30.zip</vt:lpwstr>
      </vt:variant>
      <vt:variant>
        <vt:lpwstr/>
      </vt:variant>
      <vt:variant>
        <vt:i4>1704049</vt:i4>
      </vt:variant>
      <vt:variant>
        <vt:i4>264</vt:i4>
      </vt:variant>
      <vt:variant>
        <vt:i4>0</vt:i4>
      </vt:variant>
      <vt:variant>
        <vt:i4>5</vt:i4>
      </vt:variant>
      <vt:variant>
        <vt:lpwstr>http://www.3gpp.org/ftp/Specs/archive/38_series/38.821/38821-g00.zip</vt:lpwstr>
      </vt:variant>
      <vt:variant>
        <vt:lpwstr/>
      </vt:variant>
      <vt:variant>
        <vt:i4>1966105</vt:i4>
      </vt:variant>
      <vt:variant>
        <vt:i4>261</vt:i4>
      </vt:variant>
      <vt:variant>
        <vt:i4>0</vt:i4>
      </vt:variant>
      <vt:variant>
        <vt:i4>5</vt:i4>
      </vt:variant>
      <vt:variant>
        <vt:lpwstr>https://portal.3gpp.org/ngppapp/CreateTdoc.aspx?mode=view&amp;contributionId=1133721</vt:lpwstr>
      </vt:variant>
      <vt:variant>
        <vt:lpwstr/>
      </vt:variant>
      <vt:variant>
        <vt:i4>3014743</vt:i4>
      </vt:variant>
      <vt:variant>
        <vt:i4>180</vt:i4>
      </vt:variant>
      <vt:variant>
        <vt:i4>0</vt:i4>
      </vt:variant>
      <vt:variant>
        <vt:i4>5</vt:i4>
      </vt:variant>
      <vt:variant>
        <vt:lpwstr>http://www.3gpp.org/ftp/TSG_RAN/WG1_RL1/TSGR1_98/Docs/R1-1908251.zip</vt:lpwstr>
      </vt:variant>
      <vt:variant>
        <vt:lpwstr/>
      </vt:variant>
      <vt:variant>
        <vt:i4>1704049</vt:i4>
      </vt:variant>
      <vt:variant>
        <vt:i4>168</vt:i4>
      </vt:variant>
      <vt:variant>
        <vt:i4>0</vt:i4>
      </vt:variant>
      <vt:variant>
        <vt:i4>5</vt:i4>
      </vt:variant>
      <vt:variant>
        <vt:lpwstr>http://www.3gpp.org/ftp/Specs/archive/38_series/38.821/38821-g00.zip</vt:lpwstr>
      </vt:variant>
      <vt:variant>
        <vt:lpwstr/>
      </vt:variant>
      <vt:variant>
        <vt:i4>1966105</vt:i4>
      </vt:variant>
      <vt:variant>
        <vt:i4>162</vt:i4>
      </vt:variant>
      <vt:variant>
        <vt:i4>0</vt:i4>
      </vt:variant>
      <vt:variant>
        <vt:i4>5</vt:i4>
      </vt:variant>
      <vt:variant>
        <vt:lpwstr>https://portal.3gpp.org/ngppapp/CreateTdoc.aspx?mode=view&amp;contributionId=1133721</vt:lpwstr>
      </vt:variant>
      <vt:variant>
        <vt:lpwstr/>
      </vt:variant>
      <vt:variant>
        <vt:i4>1769586</vt:i4>
      </vt:variant>
      <vt:variant>
        <vt:i4>150</vt:i4>
      </vt:variant>
      <vt:variant>
        <vt:i4>0</vt:i4>
      </vt:variant>
      <vt:variant>
        <vt:i4>5</vt:i4>
      </vt:variant>
      <vt:variant>
        <vt:lpwstr>http://www.3gpp.org/ftp/Specs/archive/38_series/38.811/38811-f30.zip</vt:lpwstr>
      </vt:variant>
      <vt:variant>
        <vt:lpwstr/>
      </vt:variant>
      <vt:variant>
        <vt:i4>1769586</vt:i4>
      </vt:variant>
      <vt:variant>
        <vt:i4>138</vt:i4>
      </vt:variant>
      <vt:variant>
        <vt:i4>0</vt:i4>
      </vt:variant>
      <vt:variant>
        <vt:i4>5</vt:i4>
      </vt:variant>
      <vt:variant>
        <vt:lpwstr>http://www.3gpp.org/ftp/Specs/archive/38_series/38.811/38811-f30.zip</vt:lpwstr>
      </vt:variant>
      <vt:variant>
        <vt:lpwstr/>
      </vt:variant>
      <vt:variant>
        <vt:i4>1769586</vt:i4>
      </vt:variant>
      <vt:variant>
        <vt:i4>132</vt:i4>
      </vt:variant>
      <vt:variant>
        <vt:i4>0</vt:i4>
      </vt:variant>
      <vt:variant>
        <vt:i4>5</vt:i4>
      </vt:variant>
      <vt:variant>
        <vt:lpwstr>http://www.3gpp.org/ftp/Specs/archive/38_series/38.811/38811-f30.zip</vt:lpwstr>
      </vt:variant>
      <vt:variant>
        <vt:lpwstr/>
      </vt:variant>
      <vt:variant>
        <vt:i4>1769586</vt:i4>
      </vt:variant>
      <vt:variant>
        <vt:i4>126</vt:i4>
      </vt:variant>
      <vt:variant>
        <vt:i4>0</vt:i4>
      </vt:variant>
      <vt:variant>
        <vt:i4>5</vt:i4>
      </vt:variant>
      <vt:variant>
        <vt:lpwstr>http://www.3gpp.org/ftp/Specs/archive/38_series/38.811/38811-f30.zip</vt:lpwstr>
      </vt:variant>
      <vt:variant>
        <vt:lpwstr/>
      </vt:variant>
      <vt:variant>
        <vt:i4>1769586</vt:i4>
      </vt:variant>
      <vt:variant>
        <vt:i4>120</vt:i4>
      </vt:variant>
      <vt:variant>
        <vt:i4>0</vt:i4>
      </vt:variant>
      <vt:variant>
        <vt:i4>5</vt:i4>
      </vt:variant>
      <vt:variant>
        <vt:lpwstr>http://www.3gpp.org/ftp/Specs/archive/38_series/38.811/38811-f30.zip</vt:lpwstr>
      </vt:variant>
      <vt:variant>
        <vt:lpwstr/>
      </vt:variant>
      <vt:variant>
        <vt:i4>1769586</vt:i4>
      </vt:variant>
      <vt:variant>
        <vt:i4>114</vt:i4>
      </vt:variant>
      <vt:variant>
        <vt:i4>0</vt:i4>
      </vt:variant>
      <vt:variant>
        <vt:i4>5</vt:i4>
      </vt:variant>
      <vt:variant>
        <vt:lpwstr>http://www.3gpp.org/ftp/Specs/archive/38_series/38.811/38811-f30.zip</vt:lpwstr>
      </vt:variant>
      <vt:variant>
        <vt:lpwstr/>
      </vt:variant>
      <vt:variant>
        <vt:i4>1769586</vt:i4>
      </vt:variant>
      <vt:variant>
        <vt:i4>105</vt:i4>
      </vt:variant>
      <vt:variant>
        <vt:i4>0</vt:i4>
      </vt:variant>
      <vt:variant>
        <vt:i4>5</vt:i4>
      </vt:variant>
      <vt:variant>
        <vt:lpwstr>http://www.3gpp.org/ftp/Specs/archive/38_series/38.811/38811-f30.zip</vt:lpwstr>
      </vt:variant>
      <vt:variant>
        <vt:lpwstr/>
      </vt:variant>
      <vt:variant>
        <vt:i4>1769586</vt:i4>
      </vt:variant>
      <vt:variant>
        <vt:i4>99</vt:i4>
      </vt:variant>
      <vt:variant>
        <vt:i4>0</vt:i4>
      </vt:variant>
      <vt:variant>
        <vt:i4>5</vt:i4>
      </vt:variant>
      <vt:variant>
        <vt:lpwstr>http://www.3gpp.org/ftp/Specs/archive/38_series/38.811/38811-f30.zip</vt:lpwstr>
      </vt:variant>
      <vt:variant>
        <vt:lpwstr/>
      </vt:variant>
      <vt:variant>
        <vt:i4>1769586</vt:i4>
      </vt:variant>
      <vt:variant>
        <vt:i4>90</vt:i4>
      </vt:variant>
      <vt:variant>
        <vt:i4>0</vt:i4>
      </vt:variant>
      <vt:variant>
        <vt:i4>5</vt:i4>
      </vt:variant>
      <vt:variant>
        <vt:lpwstr>http://www.3gpp.org/ftp/Specs/archive/38_series/38.811/38811-f30.zip</vt:lpwstr>
      </vt:variant>
      <vt:variant>
        <vt:lpwstr/>
      </vt:variant>
      <vt:variant>
        <vt:i4>1769586</vt:i4>
      </vt:variant>
      <vt:variant>
        <vt:i4>84</vt:i4>
      </vt:variant>
      <vt:variant>
        <vt:i4>0</vt:i4>
      </vt:variant>
      <vt:variant>
        <vt:i4>5</vt:i4>
      </vt:variant>
      <vt:variant>
        <vt:lpwstr>http://www.3gpp.org/ftp/Specs/archive/38_series/38.811/38811-f30.zip</vt:lpwstr>
      </vt:variant>
      <vt:variant>
        <vt:lpwstr/>
      </vt:variant>
      <vt:variant>
        <vt:i4>1769586</vt:i4>
      </vt:variant>
      <vt:variant>
        <vt:i4>78</vt:i4>
      </vt:variant>
      <vt:variant>
        <vt:i4>0</vt:i4>
      </vt:variant>
      <vt:variant>
        <vt:i4>5</vt:i4>
      </vt:variant>
      <vt:variant>
        <vt:lpwstr>http://www.3gpp.org/ftp/Specs/archive/38_series/38.811/38811-f30.zip</vt:lpwstr>
      </vt:variant>
      <vt:variant>
        <vt:lpwstr/>
      </vt:variant>
      <vt:variant>
        <vt:i4>1769586</vt:i4>
      </vt:variant>
      <vt:variant>
        <vt:i4>72</vt:i4>
      </vt:variant>
      <vt:variant>
        <vt:i4>0</vt:i4>
      </vt:variant>
      <vt:variant>
        <vt:i4>5</vt:i4>
      </vt:variant>
      <vt:variant>
        <vt:lpwstr>http://www.3gpp.org/ftp/Specs/archive/38_series/38.811/38811-f30.zip</vt:lpwstr>
      </vt:variant>
      <vt:variant>
        <vt:lpwstr/>
      </vt:variant>
      <vt:variant>
        <vt:i4>2687077</vt:i4>
      </vt:variant>
      <vt:variant>
        <vt:i4>60</vt:i4>
      </vt:variant>
      <vt:variant>
        <vt:i4>0</vt:i4>
      </vt:variant>
      <vt:variant>
        <vt:i4>5</vt:i4>
      </vt:variant>
      <vt:variant>
        <vt:lpwstr>https://www.itu.int/rec/R-REC-P.681-11-201908-I/en</vt:lpwstr>
      </vt:variant>
      <vt:variant>
        <vt:lpwstr/>
      </vt:variant>
      <vt:variant>
        <vt:i4>1769586</vt:i4>
      </vt:variant>
      <vt:variant>
        <vt:i4>54</vt:i4>
      </vt:variant>
      <vt:variant>
        <vt:i4>0</vt:i4>
      </vt:variant>
      <vt:variant>
        <vt:i4>5</vt:i4>
      </vt:variant>
      <vt:variant>
        <vt:lpwstr>http://www.3gpp.org/ftp/Specs/archive/38_series/38.811/38811-f30.zip</vt:lpwstr>
      </vt:variant>
      <vt:variant>
        <vt:lpwstr/>
      </vt:variant>
      <vt:variant>
        <vt:i4>1769586</vt:i4>
      </vt:variant>
      <vt:variant>
        <vt:i4>42</vt:i4>
      </vt:variant>
      <vt:variant>
        <vt:i4>0</vt:i4>
      </vt:variant>
      <vt:variant>
        <vt:i4>5</vt:i4>
      </vt:variant>
      <vt:variant>
        <vt:lpwstr>http://www.3gpp.org/ftp/Specs/archive/38_series/38.811/38811-f30.zip</vt:lpwstr>
      </vt:variant>
      <vt:variant>
        <vt:lpwstr/>
      </vt:variant>
      <vt:variant>
        <vt:i4>3145739</vt:i4>
      </vt:variant>
      <vt:variant>
        <vt:i4>36</vt:i4>
      </vt:variant>
      <vt:variant>
        <vt:i4>0</vt:i4>
      </vt:variant>
      <vt:variant>
        <vt:i4>5</vt:i4>
      </vt:variant>
      <vt:variant>
        <vt:lpwstr>http://www.3gpp.org/ftp/TSG_RAN/TSG_RAN/TSGR_88e/Docs/RP-200717.zip</vt:lpwstr>
      </vt:variant>
      <vt:variant>
        <vt:lpwstr/>
      </vt:variant>
      <vt:variant>
        <vt:i4>1769586</vt:i4>
      </vt:variant>
      <vt:variant>
        <vt:i4>30</vt:i4>
      </vt:variant>
      <vt:variant>
        <vt:i4>0</vt:i4>
      </vt:variant>
      <vt:variant>
        <vt:i4>5</vt:i4>
      </vt:variant>
      <vt:variant>
        <vt:lpwstr>http://www.3gpp.org/ftp/Specs/archive/38_series/38.811/38811-f30.zip</vt:lpwstr>
      </vt:variant>
      <vt:variant>
        <vt:lpwstr/>
      </vt:variant>
      <vt:variant>
        <vt:i4>1704049</vt:i4>
      </vt:variant>
      <vt:variant>
        <vt:i4>24</vt:i4>
      </vt:variant>
      <vt:variant>
        <vt:i4>0</vt:i4>
      </vt:variant>
      <vt:variant>
        <vt:i4>5</vt:i4>
      </vt:variant>
      <vt:variant>
        <vt:lpwstr>http://www.3gpp.org/ftp/Specs/archive/38_series/38.821/38821-g00.zip</vt:lpwstr>
      </vt:variant>
      <vt:variant>
        <vt:lpwstr/>
      </vt:variant>
      <vt:variant>
        <vt:i4>1769586</vt:i4>
      </vt:variant>
      <vt:variant>
        <vt:i4>18</vt:i4>
      </vt:variant>
      <vt:variant>
        <vt:i4>0</vt:i4>
      </vt:variant>
      <vt:variant>
        <vt:i4>5</vt:i4>
      </vt:variant>
      <vt:variant>
        <vt:lpwstr>http://www.3gpp.org/ftp/Specs/archive/38_series/38.811/38811-f30.zip</vt:lpwstr>
      </vt:variant>
      <vt:variant>
        <vt:lpwstr/>
      </vt:variant>
      <vt:variant>
        <vt:i4>1769586</vt:i4>
      </vt:variant>
      <vt:variant>
        <vt:i4>12</vt:i4>
      </vt:variant>
      <vt:variant>
        <vt:i4>0</vt:i4>
      </vt:variant>
      <vt:variant>
        <vt:i4>5</vt:i4>
      </vt:variant>
      <vt:variant>
        <vt:lpwstr>http://www.3gpp.org/ftp/Specs/archive/38_series/38.811/38811-f30.zip</vt:lpwstr>
      </vt:variant>
      <vt:variant>
        <vt:lpwstr/>
      </vt:variant>
      <vt:variant>
        <vt:i4>1704049</vt:i4>
      </vt:variant>
      <vt:variant>
        <vt:i4>6</vt:i4>
      </vt:variant>
      <vt:variant>
        <vt:i4>0</vt:i4>
      </vt:variant>
      <vt:variant>
        <vt:i4>5</vt:i4>
      </vt:variant>
      <vt:variant>
        <vt:lpwstr>http://www.3gpp.org/ftp/Specs/archive/38_series/38.821/38821-g00.zip</vt:lpwstr>
      </vt:variant>
      <vt:variant>
        <vt:lpwstr/>
      </vt:variant>
      <vt:variant>
        <vt:i4>1966105</vt:i4>
      </vt:variant>
      <vt:variant>
        <vt:i4>0</vt:i4>
      </vt:variant>
      <vt:variant>
        <vt:i4>0</vt:i4>
      </vt:variant>
      <vt:variant>
        <vt:i4>5</vt:i4>
      </vt:variant>
      <vt:variant>
        <vt:lpwstr>https://portal.3gpp.org/ngppapp/CreateTdoc.aspx?mode=view&amp;contributionId=1133721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cp:revision>
  <dcterms:created xsi:type="dcterms:W3CDTF">2021-01-14T11:00:00Z</dcterms:created>
  <dcterms:modified xsi:type="dcterms:W3CDTF">2021-01-14T17:29:00Z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020de6d8-f354-47a1-b04a-90ed112788f8</vt:lpwstr>
  </property>
</Properties>
</file>