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2"/>
        <w:tabs>
          <w:tab w:val="right" w:pos="9639"/>
        </w:tabs>
        <w:spacing w:after="0"/>
        <w:jc w:val="both"/>
        <w:rPr>
          <w:rFonts w:eastAsia="宋体"/>
          <w:b/>
          <w:i/>
          <w:sz w:val="28"/>
          <w:lang w:val="en-US" w:eastAsia="zh-CN"/>
        </w:rPr>
      </w:pPr>
      <w:r>
        <w:rPr>
          <w:b/>
          <w:sz w:val="24"/>
        </w:rPr>
        <w:t>3GPP TSG-RAN WG2 Meeting #1</w:t>
      </w:r>
      <w:r>
        <w:rPr>
          <w:rFonts w:hint="eastAsia" w:eastAsia="宋体"/>
          <w:b/>
          <w:sz w:val="24"/>
          <w:lang w:val="en-US" w:eastAsia="zh-CN"/>
        </w:rPr>
        <w:t>13-e</w:t>
      </w:r>
      <w:r>
        <w:rPr>
          <w:b/>
          <w:sz w:val="24"/>
        </w:rPr>
        <w:tab/>
      </w:r>
      <w:r>
        <w:rPr>
          <w:rFonts w:hint="eastAsia" w:eastAsia="宋体"/>
          <w:b/>
          <w:sz w:val="24"/>
          <w:lang w:val="en-US" w:eastAsia="zh-CN"/>
        </w:rPr>
        <w:t xml:space="preserve">   </w:t>
      </w:r>
      <w:r>
        <w:rPr>
          <w:b/>
          <w:i/>
          <w:sz w:val="28"/>
        </w:rPr>
        <w:t>R2-</w:t>
      </w:r>
      <w:r>
        <w:rPr>
          <w:rFonts w:hint="eastAsia" w:eastAsia="宋体"/>
          <w:b/>
          <w:i/>
          <w:sz w:val="28"/>
          <w:lang w:val="en-US" w:eastAsia="zh-CN"/>
        </w:rPr>
        <w:t>2100</w:t>
      </w:r>
      <w:bookmarkStart w:id="3" w:name="_GoBack"/>
      <w:bookmarkEnd w:id="3"/>
      <w:r>
        <w:rPr>
          <w:rFonts w:hint="eastAsia" w:eastAsia="宋体"/>
          <w:b/>
          <w:i/>
          <w:sz w:val="28"/>
          <w:lang w:val="en-US" w:eastAsia="zh-CN"/>
        </w:rPr>
        <w:t>431</w:t>
      </w:r>
    </w:p>
    <w:p>
      <w:pPr>
        <w:pStyle w:val="282"/>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Jan</w:t>
      </w:r>
      <w:r>
        <w:rPr>
          <w:b/>
          <w:sz w:val="24"/>
          <w:szCs w:val="22"/>
          <w:lang w:val="de-DE" w:eastAsia="zh-CN"/>
        </w:rPr>
        <w:t xml:space="preserve"> </w:t>
      </w:r>
      <w:r>
        <w:rPr>
          <w:rFonts w:hint="eastAsia"/>
          <w:b/>
          <w:sz w:val="24"/>
          <w:szCs w:val="22"/>
          <w:lang w:val="en-US" w:eastAsia="zh-CN"/>
        </w:rPr>
        <w:t>25</w:t>
      </w:r>
      <w:r>
        <w:rPr>
          <w:b/>
          <w:sz w:val="24"/>
          <w:szCs w:val="22"/>
          <w:lang w:val="de-DE" w:eastAsia="zh-CN"/>
        </w:rPr>
        <w:t xml:space="preserve">th - </w:t>
      </w:r>
      <w:r>
        <w:rPr>
          <w:rFonts w:hint="eastAsia"/>
          <w:b/>
          <w:sz w:val="24"/>
          <w:szCs w:val="22"/>
          <w:lang w:val="en-US" w:eastAsia="zh-CN"/>
        </w:rPr>
        <w:t>Feb 5</w:t>
      </w:r>
      <w:r>
        <w:rPr>
          <w:b/>
          <w:sz w:val="24"/>
          <w:szCs w:val="22"/>
          <w:lang w:val="de-DE" w:eastAsia="zh-CN"/>
        </w:rPr>
        <w:t>th, 202</w:t>
      </w:r>
      <w:r>
        <w:rPr>
          <w:rFonts w:hint="eastAsia"/>
          <w:b/>
          <w:sz w:val="24"/>
          <w:szCs w:val="22"/>
          <w:lang w:val="en-US" w:eastAsia="zh-CN"/>
        </w:rPr>
        <w:t>1</w:t>
      </w:r>
    </w:p>
    <w:p>
      <w:pPr>
        <w:overflowPunct w:val="0"/>
        <w:autoSpaceDE w:val="0"/>
        <w:autoSpaceDN w:val="0"/>
        <w:adjustRightInd w:val="0"/>
        <w:snapToGrid w:val="0"/>
        <w:spacing w:before="156" w:beforeLines="50" w:line="240" w:lineRule="auto"/>
        <w:textAlignment w:val="baseline"/>
        <w:rPr>
          <w:rFonts w:ascii="Arial" w:hAnsi="Arial" w:cs="Arial"/>
          <w:b/>
          <w:bCs/>
          <w:kern w:val="0"/>
          <w:sz w:val="24"/>
        </w:rPr>
      </w:pP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 xml:space="preserve">Consideration on the Separate Entity Supporting </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8.16.2</w:t>
      </w:r>
    </w:p>
    <w:p>
      <w:pPr>
        <w:overflowPunct w:val="0"/>
        <w:autoSpaceDE w:val="0"/>
        <w:autoSpaceDN w:val="0"/>
        <w:adjustRightInd w:val="0"/>
        <w:snapToGrid w:val="0"/>
        <w:spacing w:before="156" w:beforeLines="50"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In this paper, we focus on the objective of Separate Entity as below based on the SA2</w:t>
      </w:r>
      <w:r>
        <w:t>’</w:t>
      </w:r>
      <w:r>
        <w:rPr>
          <w:rFonts w:hint="eastAsia"/>
        </w:rPr>
        <w:t>s interim conclusion.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numPr>
                <w:ilvl w:val="0"/>
                <w:numId w:val="5"/>
              </w:numPr>
              <w:ind w:right="-99"/>
              <w:rPr>
                <w:lang w:eastAsia="en-US"/>
              </w:rPr>
            </w:pPr>
            <w:r>
              <w:rPr>
                <w:lang w:eastAsia="en-US"/>
              </w:rPr>
              <w:t>Support SNPN along with subscription / credentials owned by an entity separate from the SNPN including:</w:t>
            </w:r>
          </w:p>
          <w:p>
            <w:pPr>
              <w:numPr>
                <w:ilvl w:val="1"/>
                <w:numId w:val="5"/>
              </w:numPr>
              <w:ind w:right="-99"/>
              <w:rPr>
                <w:lang w:eastAsia="en-US"/>
              </w:rPr>
            </w:pPr>
            <w:r>
              <w:rPr>
                <w:lang w:eastAsia="en-US"/>
              </w:rPr>
              <w:t>T</w:t>
            </w:r>
            <w:r>
              <w:rPr>
                <w:rFonts w:hint="eastAsia"/>
                <w:lang w:eastAsia="en-US"/>
              </w:rPr>
              <w:t>he</w:t>
            </w:r>
            <w:r>
              <w:rPr>
                <w:lang w:eastAsia="en-US"/>
              </w:rPr>
              <w:t xml:space="preserve"> </w:t>
            </w:r>
            <w:r>
              <w:rPr>
                <w:rFonts w:hint="eastAsia"/>
                <w:lang w:eastAsia="en-US"/>
              </w:rPr>
              <w:t>broadcasting</w:t>
            </w:r>
            <w:r>
              <w:rPr>
                <w:lang w:eastAsia="en-US"/>
              </w:rPr>
              <w:t xml:space="preserve"> of information </w:t>
            </w:r>
            <w:r>
              <w:rPr>
                <w:rFonts w:hint="eastAsia"/>
                <w:lang w:eastAsia="en-US"/>
              </w:rPr>
              <w:t>to</w:t>
            </w:r>
            <w:r>
              <w:rPr>
                <w:lang w:eastAsia="en-US"/>
              </w:rPr>
              <w:t xml:space="preserve"> </w:t>
            </w:r>
            <w:r>
              <w:rPr>
                <w:rFonts w:hint="eastAsia"/>
                <w:lang w:eastAsia="en-US"/>
              </w:rPr>
              <w:t>enable</w:t>
            </w:r>
            <w:r>
              <w:rPr>
                <w:lang w:eastAsia="en-US"/>
              </w:rPr>
              <w:t xml:space="preserve"> </w:t>
            </w:r>
            <w:r>
              <w:rPr>
                <w:rFonts w:hint="eastAsia"/>
                <w:lang w:eastAsia="en-US"/>
              </w:rPr>
              <w:t>SNPN</w:t>
            </w:r>
            <w:r>
              <w:rPr>
                <w:lang w:eastAsia="en-US"/>
              </w:rPr>
              <w:t xml:space="preserve"> </w:t>
            </w:r>
            <w:r>
              <w:rPr>
                <w:rFonts w:hint="eastAsia"/>
                <w:lang w:eastAsia="en-US"/>
              </w:rPr>
              <w:t>selection</w:t>
            </w:r>
            <w:r>
              <w:rPr>
                <w:lang w:eastAsia="en-US"/>
              </w:rPr>
              <w:t xml:space="preserve"> </w:t>
            </w:r>
            <w:r>
              <w:rPr>
                <w:rFonts w:hint="eastAsia"/>
                <w:lang w:eastAsia="en-US"/>
              </w:rPr>
              <w:t>for</w:t>
            </w:r>
            <w:r>
              <w:rPr>
                <w:lang w:eastAsia="en-US"/>
              </w:rPr>
              <w:t xml:space="preserve"> </w:t>
            </w:r>
            <w:r>
              <w:rPr>
                <w:rFonts w:hint="eastAsia"/>
                <w:lang w:eastAsia="en-US"/>
              </w:rPr>
              <w:t>UEs</w:t>
            </w:r>
            <w:r>
              <w:rPr>
                <w:lang w:eastAsia="en-US"/>
              </w:rPr>
              <w:t xml:space="preserve"> </w:t>
            </w:r>
            <w:r>
              <w:rPr>
                <w:rFonts w:hint="eastAsia"/>
                <w:lang w:eastAsia="en-US"/>
              </w:rPr>
              <w:t>with</w:t>
            </w:r>
            <w:r>
              <w:rPr>
                <w:lang w:eastAsia="en-US"/>
              </w:rPr>
              <w:t xml:space="preserve"> </w:t>
            </w:r>
            <w:r>
              <w:rPr>
                <w:rFonts w:hint="eastAsia"/>
                <w:lang w:eastAsia="en-US"/>
              </w:rPr>
              <w:t>subscription</w:t>
            </w:r>
            <w:r>
              <w:rPr>
                <w:lang w:eastAsia="en-US"/>
              </w:rPr>
              <w:t>/credentials owned by an entity separate from the SNPN [RAN2]</w:t>
            </w:r>
          </w:p>
          <w:p>
            <w:pPr>
              <w:numPr>
                <w:ilvl w:val="1"/>
                <w:numId w:val="5"/>
              </w:numPr>
              <w:ind w:right="-99"/>
              <w:rPr>
                <w:lang w:eastAsia="en-US"/>
              </w:rPr>
            </w:pPr>
            <w:r>
              <w:rPr>
                <w:rFonts w:hint="eastAsia"/>
                <w:lang w:eastAsia="en-US"/>
              </w:rPr>
              <w:t>T</w:t>
            </w:r>
            <w:r>
              <w:rPr>
                <w:lang w:eastAsia="en-US"/>
              </w:rPr>
              <w:t>he associated cell selection/reselection and connected mode mobility support</w:t>
            </w:r>
            <w:r>
              <w:rPr>
                <w:color w:val="FF0000"/>
                <w:lang w:eastAsia="en-US"/>
              </w:rPr>
              <w:t xml:space="preserve"> </w:t>
            </w:r>
            <w:r>
              <w:rPr>
                <w:lang w:eastAsia="en-US"/>
              </w:rPr>
              <w:t>[RAN2/RAN3]</w:t>
            </w:r>
          </w:p>
        </w:tc>
      </w:tr>
    </w:tbl>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In this chapter, we first give a general background for the Separate Entity including the SA2</w:t>
      </w:r>
      <w:r>
        <w:t>’</w:t>
      </w:r>
      <w:r>
        <w:rPr>
          <w:rFonts w:hint="eastAsia"/>
        </w:rPr>
        <w:t xml:space="preserve">s interim conclusion, then </w:t>
      </w:r>
      <w:r>
        <w:t>analyze</w:t>
      </w:r>
      <w:r>
        <w:rPr>
          <w:rFonts w:hint="eastAsia"/>
        </w:rPr>
        <w:t xml:space="preserve"> its impact on the system Information, cell selection/Reselection and UE AS/NAS interaction.</w:t>
      </w:r>
    </w:p>
    <w:p>
      <w:pPr>
        <w:pStyle w:val="3"/>
        <w:numPr>
          <w:ilvl w:val="2"/>
          <w:numId w:val="0"/>
        </w:numPr>
        <w:tabs>
          <w:tab w:val="left" w:pos="720"/>
          <w:tab w:val="clear" w:pos="432"/>
        </w:tabs>
        <w:rPr>
          <w:rFonts w:eastAsia="宋体"/>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1</w:t>
      </w:r>
      <w:r>
        <w:rPr>
          <w:rFonts w:hint="eastAsia"/>
          <w:b w:val="0"/>
          <w:bCs w:val="0"/>
          <w:sz w:val="28"/>
          <w:szCs w:val="28"/>
          <w:lang w:val="en-US"/>
        </w:rPr>
        <w:t xml:space="preserve"> </w:t>
      </w:r>
      <w:r>
        <w:rPr>
          <w:rFonts w:hint="eastAsia" w:eastAsia="宋体"/>
          <w:b w:val="0"/>
          <w:bCs w:val="0"/>
          <w:sz w:val="28"/>
          <w:szCs w:val="28"/>
          <w:lang w:val="en-US"/>
        </w:rPr>
        <w:t>Background</w:t>
      </w:r>
    </w:p>
    <w:p>
      <w:r>
        <w:rPr>
          <w:rFonts w:hint="eastAsia"/>
        </w:rPr>
        <w:t>About the system Information, SA2 has achieved the following interim conclusion.</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lang w:eastAsia="en-US"/>
              </w:rPr>
            </w:pPr>
            <w:r>
              <w:rPr>
                <w:lang w:eastAsia="en-US"/>
              </w:rPr>
              <w:t>The following enhancements will be progressed in the normative phase:</w:t>
            </w:r>
          </w:p>
          <w:p>
            <w:pPr>
              <w:pStyle w:val="95"/>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pPr>
              <w:pStyle w:val="107"/>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pPr>
              <w:pStyle w:val="107"/>
              <w:rPr>
                <w:lang w:val="en-US"/>
              </w:rPr>
            </w:pPr>
            <w:r>
              <w:rPr>
                <w:lang w:val="en-US" w:eastAsia="zh-TW"/>
              </w:rPr>
              <w:t>-</w:t>
            </w:r>
            <w:r>
              <w:rPr>
                <w:lang w:val="en-US" w:eastAsia="zh-TW"/>
              </w:rPr>
              <w:tab/>
            </w:r>
            <w:r>
              <w:rPr>
                <w:lang w:val="en-US" w:eastAsia="zh-TW"/>
              </w:rPr>
              <w:t xml:space="preserve">Assignment mode 0 indicates Home SP Group ID is globally unique as the NID Value is globally unique. One possibility for ensuring uniqueness is to use IANA PEN as in </w:t>
            </w:r>
            <w:r>
              <w:rPr>
                <w:lang w:eastAsia="ko-KR"/>
              </w:rPr>
              <w:t>TS 23.003</w:t>
            </w:r>
            <w:r>
              <w:rPr>
                <w:lang w:val="en-US" w:eastAsia="zh-TW"/>
              </w:rPr>
              <w:t>.</w:t>
            </w:r>
          </w:p>
          <w:p>
            <w:pPr>
              <w:pStyle w:val="95"/>
            </w:pPr>
            <w:r>
              <w:t>-</w:t>
            </w:r>
            <w:r>
              <w:tab/>
            </w:r>
            <w:r>
              <w:t>SIB will be enhanced as follows, for SNPN only:</w:t>
            </w:r>
          </w:p>
          <w:p>
            <w:pPr>
              <w:pStyle w:val="107"/>
            </w:pPr>
            <w:r>
              <w:t>-</w:t>
            </w:r>
            <w:r>
              <w:tab/>
            </w:r>
            <w:r>
              <w:t>Indication that "access using credentials from a separate entity is supported"</w:t>
            </w:r>
          </w:p>
          <w:p>
            <w:pPr>
              <w:pStyle w:val="107"/>
            </w:pPr>
            <w:r>
              <w:t>-</w:t>
            </w:r>
            <w:r>
              <w:rPr>
                <w:rFonts w:hint="eastAsia"/>
                <w:lang w:val="en-US" w:eastAsia="zh-CN"/>
              </w:rPr>
              <w:t xml:space="preserve">  </w:t>
            </w:r>
            <w:r>
              <w:t>Optionally, supported Group IDs (GIDs)</w:t>
            </w:r>
          </w:p>
          <w:p>
            <w:pPr>
              <w:pStyle w:val="107"/>
              <w:ind w:left="800"/>
              <w:rPr>
                <w:lang w:val="en-US"/>
              </w:rPr>
            </w:pPr>
            <w:r>
              <w:t>-</w:t>
            </w:r>
            <w:r>
              <w:tab/>
            </w:r>
            <w:r>
              <w:t xml:space="preserve">Optionally, an indication </w:t>
            </w:r>
            <w:r>
              <w:rPr>
                <w:lang w:val="en-US"/>
              </w:rPr>
              <w:t>whether the SNPN allows registration attempts from UEs that are not explicitly configured to select the SNPN</w:t>
            </w:r>
          </w:p>
          <w:p>
            <w:pPr>
              <w:pStyle w:val="219"/>
              <w:rPr>
                <w:lang w:val="en-US" w:eastAsia="zh-CN"/>
              </w:rPr>
            </w:pPr>
            <w:r>
              <w:t>NOTE 2:</w:t>
            </w:r>
            <w:r>
              <w:tab/>
            </w:r>
            <w:r>
              <w:t>The number of supported Group IDs that can be broadcast will be determined by RAN2.</w:t>
            </w:r>
          </w:p>
        </w:tc>
      </w:tr>
    </w:tbl>
    <w:p>
      <w:pPr>
        <w:rPr>
          <w:szCs w:val="22"/>
        </w:rPr>
      </w:pPr>
      <w:r>
        <w:rPr>
          <w:rFonts w:hint="eastAsia"/>
          <w:szCs w:val="22"/>
        </w:rPr>
        <w:t>For the network sharing scenario, as shown in the Fig 1, one cell can be shared by multiple networks. Meanwhile, for each network, it can have agreements with multiple subscription provider, the home subscription provider (HSP) can be a SNPN ID or a group ID, in which the group ID would be optionally broadcasted while the SNPN ID of the HSP would not be broadcasted.</w:t>
      </w:r>
    </w:p>
    <w:p>
      <w:pPr>
        <w:jc w:val="center"/>
      </w:pPr>
    </w:p>
    <w:p>
      <w:pPr>
        <w:jc w:val="center"/>
      </w:pPr>
      <w:r>
        <w:object>
          <v:shape id="_x0000_i1025" o:spt="75" type="#_x0000_t75" style="height:146.05pt;width:340.3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jc w:val="center"/>
      </w:pPr>
      <w:r>
        <w:rPr>
          <w:rFonts w:hint="eastAsia"/>
        </w:rPr>
        <w:t>Fig 1:Separate Subscription Structure</w:t>
      </w:r>
    </w:p>
    <w:p>
      <w:r>
        <w:rPr>
          <w:rFonts w:hint="eastAsia"/>
        </w:rPr>
        <w:t xml:space="preserve">At the UE side, if there is no available Registered SNPN or SNPN that UE has SUPI, it will try the VSNPN (the visited SNPNs explicitly included either in the </w:t>
      </w:r>
      <w:r>
        <w:t>“user-controlled list ”</w:t>
      </w:r>
      <w:r>
        <w:rPr>
          <w:rFonts w:hint="eastAsia"/>
        </w:rPr>
        <w:t xml:space="preserve"> or the </w:t>
      </w:r>
      <w:r>
        <w:t>“separate entity-controlled list”</w:t>
      </w:r>
      <w:r>
        <w:rPr>
          <w:rFonts w:hint="eastAsia"/>
        </w:rPr>
        <w:t>) or the Group ID with the following order at the automatic mode:</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5"/>
            </w:pPr>
            <w:r>
              <w:t>-</w:t>
            </w:r>
            <w:r>
              <w:tab/>
            </w:r>
            <w:bookmarkStart w:id="2" w:name="_Hlk54080055"/>
            <w:r>
              <w:t>For a UE configured to use SNPNs</w:t>
            </w:r>
            <w:bookmarkEnd w:id="2"/>
            <w:r>
              <w:t>, automatic SNPN selection is performed in the following order:</w:t>
            </w:r>
          </w:p>
          <w:p>
            <w:pPr>
              <w:pStyle w:val="107"/>
            </w:pPr>
            <w:r>
              <w:t>-</w:t>
            </w:r>
            <w:r>
              <w:tab/>
            </w:r>
            <w:r>
              <w:t>UE selects and attempts to register with the SNPN it was last registered with (if available).</w:t>
            </w:r>
          </w:p>
          <w:p>
            <w:pPr>
              <w:pStyle w:val="107"/>
            </w:pPr>
            <w:r>
              <w:t>-</w:t>
            </w:r>
            <w:r>
              <w:tab/>
            </w:r>
            <w:r>
              <w:t>UE selects and attempts to register with the available SNPN identified by a PLMN ID and NID for which the UE has SUPI and credentials (i.e. as in Rel-16).</w:t>
            </w:r>
          </w:p>
          <w:p>
            <w:pPr>
              <w:pStyle w:val="107"/>
            </w:pPr>
            <w:r>
              <w:t>-</w:t>
            </w:r>
            <w:r>
              <w:tab/>
            </w:r>
            <w:r>
              <w:t>UE selects an available and allowable SNPN, which broadcasts "access using credentials from a separate entity is supported" indication and an SNPN ID contained in the user-controlled list (if available)</w:t>
            </w:r>
          </w:p>
          <w:p>
            <w:pPr>
              <w:pStyle w:val="107"/>
            </w:pPr>
            <w:r>
              <w:t>-</w:t>
            </w:r>
            <w:r>
              <w:tab/>
            </w:r>
            <w:r>
              <w:t>UE selects an available and allowable SNPN which broadcasts "access using credentials from a separate entity is supported" indication and an SNPN ID contained in the separate entity-controlled list (if available)</w:t>
            </w:r>
          </w:p>
          <w:p>
            <w:pPr>
              <w:pStyle w:val="107"/>
            </w:pPr>
            <w:r>
              <w:t>-</w:t>
            </w:r>
            <w:r>
              <w:tab/>
            </w:r>
            <w:r>
              <w:t>UE selects an available and allowable SNPN which broadcasts "access using credentials from a separate entity is supported" indication and a GID contained in the separate entity-controlled list (if available)</w:t>
            </w:r>
          </w:p>
          <w:p>
            <w:pPr>
              <w:pStyle w:val="107"/>
              <w:ind w:left="800"/>
              <w:rPr>
                <w:lang w:val="en-US" w:eastAsia="ko-KR"/>
              </w:rPr>
            </w:pPr>
            <w:r>
              <w:t>-</w:t>
            </w:r>
            <w:r>
              <w:tab/>
            </w:r>
            <w:r>
              <w:t xml:space="preserve">If the UE has not found an available and allowable SNPN based on the above, the UE selects an available and allowable SNPN which broadcasts an indication </w:t>
            </w:r>
            <w:r>
              <w:rPr>
                <w:lang w:val="en-US"/>
              </w:rPr>
              <w:t>that the SNPN allows registration attempts from UEs that are not explicitly configured to select the SNPN</w:t>
            </w:r>
            <w:r>
              <w:rPr>
                <w:lang w:val="en-US" w:eastAsia="ko-KR"/>
              </w:rPr>
              <w:t>:</w:t>
            </w:r>
          </w:p>
          <w:p>
            <w:pPr>
              <w:pStyle w:val="124"/>
              <w:rPr>
                <w:lang w:eastAsia="zh-CN"/>
              </w:rPr>
            </w:pPr>
            <w:r>
              <w:t>-</w:t>
            </w:r>
            <w:r>
              <w:tab/>
            </w:r>
            <w:r>
              <w:t>If the UE detects a plurality of such SNPNs, the order in which the UE selects and attempts a registration with an SNPN is implementation specific</w:t>
            </w:r>
          </w:p>
        </w:tc>
      </w:tr>
    </w:tbl>
    <w:p>
      <w:r>
        <w:rPr>
          <w:rFonts w:hint="eastAsia"/>
        </w:rPr>
        <w:t xml:space="preserve">In the following chapters, we will </w:t>
      </w:r>
      <w:r>
        <w:t>analyze</w:t>
      </w:r>
      <w:r>
        <w:rPr>
          <w:rFonts w:hint="eastAsia"/>
        </w:rPr>
        <w:t xml:space="preserve"> the separate entity impact on the system Information, cell selection/ Reselection and UE AS/NAS interaction based on this background.</w:t>
      </w:r>
    </w:p>
    <w:p>
      <w:pPr>
        <w:pStyle w:val="3"/>
        <w:numPr>
          <w:ilvl w:val="2"/>
          <w:numId w:val="0"/>
        </w:numPr>
        <w:tabs>
          <w:tab w:val="left" w:pos="720"/>
          <w:tab w:val="clear" w:pos="432"/>
        </w:tabs>
        <w:rPr>
          <w:b w:val="0"/>
          <w:bCs w:val="0"/>
          <w:sz w:val="28"/>
          <w:szCs w:val="28"/>
          <w:lang w:val="en-US"/>
        </w:rPr>
      </w:pPr>
      <w:r>
        <w:rPr>
          <w:rFonts w:hint="eastAsia"/>
          <w:b w:val="0"/>
          <w:bCs w:val="0"/>
          <w:sz w:val="28"/>
          <w:szCs w:val="28"/>
          <w:lang w:val="en-US"/>
        </w:rPr>
        <w:t>2.2 System Information</w:t>
      </w:r>
    </w:p>
    <w:p>
      <w:r>
        <w:rPr>
          <w:rFonts w:hint="eastAsia"/>
        </w:rPr>
        <w:t xml:space="preserve">In this chapter we </w:t>
      </w:r>
      <w:r>
        <w:t>analyze</w:t>
      </w:r>
      <w:r>
        <w:rPr>
          <w:rFonts w:hint="eastAsia"/>
        </w:rPr>
        <w:t xml:space="preserve"> the separate entity impact on the system Information. From the above chapter, for a UE under a VSNPN, it will try to select the SNPN IDs that explicitly included in the </w:t>
      </w:r>
      <w:r>
        <w:t>“user-controlled list”</w:t>
      </w:r>
      <w:r>
        <w:rPr>
          <w:rFonts w:hint="eastAsia"/>
        </w:rPr>
        <w:t xml:space="preserve"> or the </w:t>
      </w:r>
      <w:r>
        <w:t>“separate entity-controlled list”</w:t>
      </w:r>
      <w:r>
        <w:rPr>
          <w:rFonts w:hint="eastAsia"/>
        </w:rPr>
        <w:t xml:space="preserve"> first. For such kinds of SNPN, as concluded by the SA2, the first indication indicates that "access using credentials from a separate entity is supported" shall be broadcast in the SIB. Considering the network sharing scenario, the first indication shall be broadcast per SNPN. Take the above Fig 1 as an example, the SNPN1 may support to</w:t>
      </w:r>
      <w:r>
        <w:t xml:space="preserve"> us</w:t>
      </w:r>
      <w:r>
        <w:rPr>
          <w:rFonts w:hint="eastAsia"/>
        </w:rPr>
        <w:t>e</w:t>
      </w:r>
      <w:r>
        <w:t xml:space="preserve"> credentials</w:t>
      </w:r>
      <w:r>
        <w:rPr>
          <w:rFonts w:hint="eastAsia"/>
        </w:rPr>
        <w:t xml:space="preserve"> </w:t>
      </w:r>
      <w:r>
        <w:t>from a separate entity</w:t>
      </w:r>
      <w:r>
        <w:rPr>
          <w:rFonts w:hint="eastAsia"/>
        </w:rPr>
        <w:t xml:space="preserve">, while the SNPN4 may not support this feature. Similarly, the second indication that indicates </w:t>
      </w:r>
      <w:r>
        <w:t>“whether the SNPN allows registration attempts from UEs that are not explicitly configured to select the SNPN”</w:t>
      </w:r>
      <w:r>
        <w:rPr>
          <w:rFonts w:hint="eastAsia"/>
        </w:rPr>
        <w:t xml:space="preserve"> shall also be broadcast per SNPN. </w:t>
      </w:r>
    </w:p>
    <w:p>
      <w:pPr>
        <w:rPr>
          <w:b/>
          <w:bCs/>
        </w:rPr>
      </w:pPr>
      <w:r>
        <w:rPr>
          <w:rFonts w:hint="eastAsia"/>
          <w:b/>
          <w:bCs/>
        </w:rPr>
        <w:t xml:space="preserve">Proposal 1: Both the first indication and the second indication shall be broadcast per SNPN, the first indication indicates that "access using credentials from a separate entity is supported", the second indication indicates </w:t>
      </w:r>
      <w:r>
        <w:rPr>
          <w:b/>
          <w:bCs/>
        </w:rPr>
        <w:t>“whether the SNPN allows registration attempts from UEs that are not explicitly configured to select the SNPN”</w:t>
      </w:r>
      <w:r>
        <w:rPr>
          <w:rFonts w:hint="eastAsia"/>
          <w:b/>
          <w:bCs/>
        </w:rPr>
        <w:t>.</w:t>
      </w:r>
    </w:p>
    <w:p>
      <w:r>
        <w:rPr>
          <w:rFonts w:hint="eastAsia"/>
        </w:rPr>
        <w:t>For the Group ID, if the UE can</w:t>
      </w:r>
      <w:r>
        <w:t>’</w:t>
      </w:r>
      <w:r>
        <w:rPr>
          <w:rFonts w:hint="eastAsia"/>
        </w:rPr>
        <w:t xml:space="preserve">t find any available SNPN IDs that explicitly included in the </w:t>
      </w:r>
      <w:r>
        <w:t>“user-controlled list”</w:t>
      </w:r>
      <w:r>
        <w:rPr>
          <w:rFonts w:hint="eastAsia"/>
        </w:rPr>
        <w:t xml:space="preserve"> or the </w:t>
      </w:r>
      <w:r>
        <w:t>“separate entity-controlled list”</w:t>
      </w:r>
      <w:r>
        <w:rPr>
          <w:rFonts w:hint="eastAsia"/>
        </w:rPr>
        <w:t>, the UE NAS will select the network based on the Group ID. In a network sharing cell, different SNPNs may support different Group IDs, thus the group ID shall also be broadcast per SNPN.</w:t>
      </w:r>
    </w:p>
    <w:p>
      <w:pPr>
        <w:rPr>
          <w:b/>
          <w:bCs/>
        </w:rPr>
      </w:pPr>
      <w:r>
        <w:rPr>
          <w:rFonts w:hint="eastAsia"/>
          <w:b/>
          <w:bCs/>
        </w:rPr>
        <w:t>Proposal 2: The group ID shall be broadcast per SNPN.</w:t>
      </w:r>
    </w:p>
    <w:p>
      <w:r>
        <w:rPr>
          <w:rFonts w:hint="eastAsia"/>
        </w:rPr>
        <w:t>About the group ID, as proposed by SA2, the RAN2 need to further determine t</w:t>
      </w:r>
      <w:r>
        <w:t>he number of supported Group IDs</w:t>
      </w:r>
      <w:r>
        <w:rPr>
          <w:rFonts w:hint="eastAsia"/>
        </w:rPr>
        <w:t>. Generally, there are two options:</w:t>
      </w:r>
    </w:p>
    <w:p>
      <w:pPr>
        <w:numPr>
          <w:ilvl w:val="0"/>
          <w:numId w:val="6"/>
        </w:numPr>
      </w:pPr>
      <w:r>
        <w:rPr>
          <w:rFonts w:hint="eastAsia"/>
        </w:rPr>
        <w:t>The total number of the legacy Network IDs including (</w:t>
      </w:r>
      <w:r>
        <w:rPr>
          <w:lang w:eastAsia="sv-SE"/>
        </w:rPr>
        <w:t>PLMNs, PNI-NPNs, and SNPN</w:t>
      </w:r>
      <w:r>
        <w:rPr>
          <w:rFonts w:hint="eastAsia"/>
        </w:rPr>
        <w:t xml:space="preserve">) </w:t>
      </w:r>
      <w:r>
        <w:rPr>
          <w:lang w:eastAsia="sv-SE"/>
        </w:rPr>
        <w:t xml:space="preserve">does not exceed 12, </w:t>
      </w:r>
      <w:r>
        <w:rPr>
          <w:rFonts w:hint="eastAsia"/>
        </w:rPr>
        <w:t xml:space="preserve">meanwhile the total number of the </w:t>
      </w:r>
      <w:r>
        <w:t>Group IDs</w:t>
      </w:r>
      <w:r>
        <w:rPr>
          <w:rFonts w:hint="eastAsia"/>
        </w:rPr>
        <w:t xml:space="preserve"> of all of the SNPNs </w:t>
      </w:r>
      <w:r>
        <w:rPr>
          <w:lang w:eastAsia="sv-SE"/>
        </w:rPr>
        <w:t xml:space="preserve">does not exceed </w:t>
      </w:r>
      <w:r>
        <w:rPr>
          <w:rFonts w:hint="eastAsia"/>
        </w:rPr>
        <w:t>a maximum number.</w:t>
      </w:r>
    </w:p>
    <w:p>
      <w:pPr>
        <w:numPr>
          <w:ilvl w:val="0"/>
          <w:numId w:val="6"/>
        </w:numPr>
      </w:pPr>
      <w:r>
        <w:rPr>
          <w:rFonts w:hint="eastAsia"/>
        </w:rPr>
        <w:t>The total number of the legacy Network IDs including (</w:t>
      </w:r>
      <w:r>
        <w:rPr>
          <w:lang w:eastAsia="sv-SE"/>
        </w:rPr>
        <w:t>PLMNs, PNI-NPNs, and SNPN</w:t>
      </w:r>
      <w:r>
        <w:rPr>
          <w:rFonts w:hint="eastAsia"/>
        </w:rPr>
        <w:t xml:space="preserve">) and the </w:t>
      </w:r>
      <w:r>
        <w:t>Group IDs</w:t>
      </w:r>
      <w:r>
        <w:rPr>
          <w:rFonts w:hint="eastAsia"/>
        </w:rPr>
        <w:t xml:space="preserve"> of all of the SNPNs </w:t>
      </w:r>
      <w:r>
        <w:rPr>
          <w:lang w:eastAsia="sv-SE"/>
        </w:rPr>
        <w:t>does not exceed 12</w:t>
      </w:r>
      <w:r>
        <w:rPr>
          <w:rFonts w:hint="eastAsia"/>
        </w:rPr>
        <w:t>.</w:t>
      </w:r>
    </w:p>
    <w:p>
      <w:r>
        <w:rPr>
          <w:rFonts w:hint="eastAsia"/>
        </w:rPr>
        <w:t>Considering that the Group ID is broadcast per SNPN, it doesn</w:t>
      </w:r>
      <w:r>
        <w:t>’</w:t>
      </w:r>
      <w:r>
        <w:rPr>
          <w:rFonts w:hint="eastAsia"/>
        </w:rPr>
        <w:t>t need to broadcast additional cell access info such as TAC/RANC/CellID, the total number of the Group IDs can be counted independently from the legacy network ID. Thus the option 1 can be taken as the baseline.</w:t>
      </w:r>
    </w:p>
    <w:p>
      <w:pPr>
        <w:rPr>
          <w:b/>
        </w:rPr>
      </w:pPr>
      <w:r>
        <w:rPr>
          <w:rFonts w:hint="eastAsia"/>
          <w:b/>
          <w:bCs/>
        </w:rPr>
        <w:t>Proposal 3: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the SNPNs </w:t>
      </w:r>
      <w:r>
        <w:rPr>
          <w:b/>
          <w:lang w:eastAsia="sv-SE"/>
        </w:rPr>
        <w:t xml:space="preserve">does not exceed </w:t>
      </w:r>
      <w:r>
        <w:rPr>
          <w:rFonts w:hint="eastAsia"/>
          <w:b/>
        </w:rPr>
        <w:t>a maximum number.</w:t>
      </w:r>
    </w:p>
    <w:p>
      <w:r>
        <w:rPr>
          <w:rFonts w:hint="eastAsia"/>
        </w:rPr>
        <w:t>About the group ID, another detail issue is that for the SNPN that only support group ID, the first indication shall not be set, otherwise the UE that include the corresponding SNPN in the VSNPN list may trigger the registration on this SNPN unnecessarily.</w:t>
      </w:r>
    </w:p>
    <w:p>
      <w:pPr>
        <w:rPr>
          <w:b/>
          <w:bCs/>
        </w:rPr>
      </w:pPr>
      <w:r>
        <w:rPr>
          <w:rFonts w:hint="eastAsia"/>
          <w:b/>
          <w:bCs/>
        </w:rPr>
        <w:t>Proposal 4: For the SNPN that only support group ID, the first indication shall not be set.</w:t>
      </w:r>
    </w:p>
    <w:p>
      <w:r>
        <w:rPr>
          <w:rFonts w:hint="eastAsia"/>
        </w:rPr>
        <w:t xml:space="preserve">Another issue how to include these newly added information in the system Information, obviously, it can be added either in the legacy field (e.g. </w:t>
      </w:r>
      <w:r>
        <w:rPr>
          <w:lang w:eastAsia="sv-SE"/>
        </w:rPr>
        <w:t xml:space="preserve">d </w:t>
      </w:r>
      <w:r>
        <w:rPr>
          <w:i/>
          <w:iCs/>
          <w:lang w:eastAsia="sv-SE"/>
        </w:rPr>
        <w:t>NPN-IdentityInfoList</w:t>
      </w:r>
      <w:r>
        <w:rPr>
          <w:rFonts w:hint="eastAsia"/>
        </w:rPr>
        <w:t xml:space="preserve">) or a new field. For the new field scheme, the UE has to add an Index to indicate the related SNPN, which will introduce unnecessary signalling overhead. </w:t>
      </w:r>
    </w:p>
    <w:p>
      <w:pPr>
        <w:rPr>
          <w:b/>
          <w:bCs/>
        </w:rPr>
      </w:pPr>
      <w:r>
        <w:rPr>
          <w:rFonts w:hint="eastAsia"/>
          <w:b/>
          <w:bCs/>
        </w:rPr>
        <w:t>Proposal 5: Include the 2 indications and Group IDs in the legacy field.</w:t>
      </w:r>
    </w:p>
    <w:p>
      <w:pPr>
        <w:pStyle w:val="3"/>
        <w:numPr>
          <w:ilvl w:val="2"/>
          <w:numId w:val="0"/>
        </w:numPr>
        <w:tabs>
          <w:tab w:val="left" w:pos="720"/>
          <w:tab w:val="clear" w:pos="432"/>
        </w:tabs>
        <w:rPr>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3 Cell selection /Re-selection and UE AS/NAS interaction</w:t>
      </w:r>
    </w:p>
    <w:p>
      <w:r>
        <w:rPr>
          <w:rFonts w:hint="eastAsia"/>
        </w:rPr>
        <w:t>For the cell selection, it also depends on the UE NAS layer indication. As described in the background, for the separate entity, the UE NAS layer may indicate information as below:</w:t>
      </w:r>
    </w:p>
    <w:p>
      <w:pPr>
        <w:numPr>
          <w:ilvl w:val="0"/>
          <w:numId w:val="7"/>
        </w:numPr>
      </w:pPr>
      <w:r>
        <w:rPr>
          <w:rFonts w:hint="eastAsia"/>
        </w:rPr>
        <w:t xml:space="preserve">Case 1: The VSNPN included the </w:t>
      </w:r>
      <w:r>
        <w:t>“user-controlled list”</w:t>
      </w:r>
      <w:r>
        <w:rPr>
          <w:rFonts w:hint="eastAsia"/>
        </w:rPr>
        <w:t xml:space="preserve"> or the </w:t>
      </w:r>
      <w:r>
        <w:t>“separate entity-controlled list”</w:t>
      </w:r>
      <w:r>
        <w:rPr>
          <w:rFonts w:hint="eastAsia"/>
        </w:rPr>
        <w:t xml:space="preserve"> together with the first indication (access using credentials from a separate entity is supported) if the UE can</w:t>
      </w:r>
      <w:r>
        <w:t>’</w:t>
      </w:r>
      <w:r>
        <w:rPr>
          <w:rFonts w:hint="eastAsia"/>
        </w:rPr>
        <w:t>t find any Registered SNPN or the SNPN that UE has the corresponding SUPI;</w:t>
      </w:r>
    </w:p>
    <w:p>
      <w:pPr>
        <w:numPr>
          <w:ilvl w:val="0"/>
          <w:numId w:val="7"/>
        </w:numPr>
      </w:pPr>
      <w:r>
        <w:rPr>
          <w:rFonts w:hint="eastAsia"/>
        </w:rPr>
        <w:t>Case 2: Indicate group ID(s), if the UE can</w:t>
      </w:r>
      <w:r>
        <w:t>’</w:t>
      </w:r>
      <w:r>
        <w:rPr>
          <w:rFonts w:hint="eastAsia"/>
        </w:rPr>
        <w:t xml:space="preserve">t find any available SNPN in the </w:t>
      </w:r>
      <w:r>
        <w:t>“user-controlled list”</w:t>
      </w:r>
      <w:r>
        <w:rPr>
          <w:rFonts w:hint="eastAsia"/>
        </w:rPr>
        <w:t xml:space="preserve"> or the </w:t>
      </w:r>
      <w:r>
        <w:t>“separate entity-controlled list”</w:t>
      </w:r>
      <w:r>
        <w:rPr>
          <w:rFonts w:hint="eastAsia"/>
        </w:rPr>
        <w:t>;</w:t>
      </w:r>
    </w:p>
    <w:p>
      <w:pPr>
        <w:numPr>
          <w:ilvl w:val="0"/>
          <w:numId w:val="7"/>
        </w:numPr>
      </w:pPr>
      <w:r>
        <w:rPr>
          <w:rFonts w:hint="eastAsia"/>
        </w:rPr>
        <w:t>Case 3: The second indication (whether the SNPN allows registration attempts from UEs that are not explicitly configured to select the SNPN), if the UE can</w:t>
      </w:r>
      <w:r>
        <w:t>’</w:t>
      </w:r>
      <w:r>
        <w:rPr>
          <w:rFonts w:hint="eastAsia"/>
        </w:rPr>
        <w:t>t find any available Group ID.</w:t>
      </w:r>
    </w:p>
    <w:p>
      <w:pPr>
        <w:rPr>
          <w:b/>
          <w:bCs/>
        </w:rPr>
      </w:pPr>
      <w:r>
        <w:rPr>
          <w:rFonts w:hint="eastAsia"/>
          <w:b/>
          <w:bCs/>
        </w:rPr>
        <w:t>Observation 1: The UE NAS layer may indicate information to the AS layer as below for the different cases</w:t>
      </w:r>
    </w:p>
    <w:p>
      <w:pPr>
        <w:numPr>
          <w:ilvl w:val="0"/>
          <w:numId w:val="7"/>
        </w:numPr>
        <w:rPr>
          <w:b/>
          <w:bCs/>
        </w:rPr>
      </w:pPr>
      <w:r>
        <w:rPr>
          <w:rFonts w:hint="eastAsia"/>
          <w:b/>
          <w:bCs/>
        </w:rPr>
        <w:t xml:space="preserve">Case 1: The VSNPN included the </w:t>
      </w:r>
      <w:r>
        <w:rPr>
          <w:b/>
          <w:bCs/>
        </w:rPr>
        <w:t>“user-controlled list”</w:t>
      </w:r>
      <w:r>
        <w:rPr>
          <w:rFonts w:hint="eastAsia"/>
          <w:b/>
          <w:bCs/>
        </w:rPr>
        <w:t xml:space="preserve"> or the </w:t>
      </w:r>
      <w:r>
        <w:rPr>
          <w:b/>
          <w:bCs/>
        </w:rPr>
        <w:t>“separate entity-controlled list”</w:t>
      </w:r>
      <w:r>
        <w:rPr>
          <w:rFonts w:hint="eastAsia"/>
          <w:b/>
          <w:bCs/>
        </w:rPr>
        <w:t xml:space="preserve"> together with the first indication (access using credentials from a separate entity is supported)</w:t>
      </w:r>
      <w:r>
        <w:rPr>
          <w:b/>
          <w:bCs/>
        </w:rPr>
        <w:t>;</w:t>
      </w:r>
      <w:r>
        <w:rPr>
          <w:rFonts w:hint="eastAsia"/>
          <w:b/>
          <w:bCs/>
        </w:rPr>
        <w:t xml:space="preserve"> </w:t>
      </w:r>
    </w:p>
    <w:p>
      <w:pPr>
        <w:numPr>
          <w:ilvl w:val="0"/>
          <w:numId w:val="7"/>
        </w:numPr>
        <w:rPr>
          <w:b/>
          <w:bCs/>
        </w:rPr>
      </w:pPr>
      <w:r>
        <w:rPr>
          <w:rFonts w:hint="eastAsia"/>
          <w:b/>
          <w:bCs/>
        </w:rPr>
        <w:t>Case 2: Indicate group ID(s)</w:t>
      </w:r>
      <w:r>
        <w:rPr>
          <w:b/>
          <w:bCs/>
        </w:rPr>
        <w:t>;</w:t>
      </w:r>
    </w:p>
    <w:p>
      <w:pPr>
        <w:numPr>
          <w:ilvl w:val="0"/>
          <w:numId w:val="7"/>
        </w:numPr>
        <w:rPr>
          <w:b/>
          <w:bCs/>
        </w:rPr>
      </w:pPr>
      <w:r>
        <w:rPr>
          <w:rFonts w:hint="eastAsia"/>
          <w:b/>
          <w:bCs/>
        </w:rPr>
        <w:t>Case 3: The second indication (whether the SNPN allows registration attempts from UEs that are not explicitly configured to select the SNPN)</w:t>
      </w:r>
      <w:r>
        <w:rPr>
          <w:b/>
          <w:bCs/>
        </w:rPr>
        <w:t>.</w:t>
      </w:r>
    </w:p>
    <w:p>
      <w:r>
        <w:rPr>
          <w:rFonts w:hint="eastAsia"/>
        </w:rPr>
        <w:t>For the case 1, the UE AS layer shall select the cell that broadcast the indicated VSNPN(s) and the first indication as the suitable cell.</w:t>
      </w:r>
    </w:p>
    <w:p>
      <w:pPr>
        <w:rPr>
          <w:b/>
          <w:bCs/>
        </w:rPr>
      </w:pPr>
      <w:r>
        <w:rPr>
          <w:rFonts w:hint="eastAsia"/>
          <w:b/>
          <w:bCs/>
        </w:rPr>
        <w:t xml:space="preserve">Proposal 6: For the case that the UE NAS indicate the VSNPN included the </w:t>
      </w:r>
      <w:r>
        <w:rPr>
          <w:b/>
          <w:bCs/>
        </w:rPr>
        <w:t>“user-controlled list”</w:t>
      </w:r>
      <w:r>
        <w:rPr>
          <w:rFonts w:hint="eastAsia"/>
          <w:b/>
          <w:bCs/>
        </w:rPr>
        <w:t xml:space="preserve"> or the </w:t>
      </w:r>
      <w:r>
        <w:rPr>
          <w:b/>
          <w:bCs/>
        </w:rPr>
        <w:t>“separate entity-controlled list”</w:t>
      </w:r>
      <w:r>
        <w:rPr>
          <w:rFonts w:hint="eastAsia"/>
          <w:b/>
          <w:bCs/>
        </w:rPr>
        <w:t xml:space="preserve"> together with the first indication to the AS,</w:t>
      </w:r>
      <w:r>
        <w:rPr>
          <w:rFonts w:hint="eastAsia"/>
          <w:b/>
          <w:bCs/>
        </w:rPr>
        <w:tab/>
      </w:r>
      <w:r>
        <w:rPr>
          <w:rFonts w:hint="eastAsia"/>
          <w:b/>
          <w:bCs/>
        </w:rPr>
        <w:t xml:space="preserve"> the UE AS layer shall select the cell that broadcast the indicated VSNPN(s) and the first indication as the suitable cell until a new indication was received from the UE NAS layer.</w:t>
      </w:r>
    </w:p>
    <w:p>
      <w:r>
        <w:rPr>
          <w:rFonts w:hint="eastAsia"/>
        </w:rPr>
        <w:t>For the case 2, the UE AS layer shall select the cell that broadcast the Group</w:t>
      </w:r>
      <w:r>
        <w:t xml:space="preserve"> </w:t>
      </w:r>
      <w:r>
        <w:rPr>
          <w:rFonts w:hint="eastAsia"/>
        </w:rPr>
        <w:t>ID as the suitable cell. For that the Group ID has the same format as the SNPN ID, the UE NAS shall indicate the AS layer it</w:t>
      </w:r>
      <w:r>
        <w:t>’</w:t>
      </w:r>
      <w:r>
        <w:rPr>
          <w:rFonts w:hint="eastAsia"/>
        </w:rPr>
        <w:t>s a Group ID by some method.</w:t>
      </w:r>
    </w:p>
    <w:p>
      <w:pPr>
        <w:rPr>
          <w:b/>
          <w:bCs/>
        </w:rPr>
      </w:pPr>
      <w:r>
        <w:rPr>
          <w:rFonts w:hint="eastAsia"/>
          <w:b/>
          <w:bCs/>
        </w:rPr>
        <w:t>Proposal 7:For the case that the UE NAS layer indicate a group ID into AS layer, the UE AS layer shall select the cell that broadcast the</w:t>
      </w:r>
      <w:r>
        <w:rPr>
          <w:b/>
          <w:bCs/>
        </w:rPr>
        <w:t xml:space="preserve"> matched</w:t>
      </w:r>
      <w:r>
        <w:rPr>
          <w:rFonts w:hint="eastAsia"/>
          <w:b/>
          <w:bCs/>
        </w:rPr>
        <w:t xml:space="preserve"> Group</w:t>
      </w:r>
      <w:r>
        <w:rPr>
          <w:b/>
          <w:bCs/>
        </w:rPr>
        <w:t xml:space="preserve"> </w:t>
      </w:r>
      <w:r>
        <w:rPr>
          <w:rFonts w:hint="eastAsia"/>
          <w:b/>
          <w:bCs/>
        </w:rPr>
        <w:t xml:space="preserve">ID as the suitable cell until a new indication was received from the UE NAS layer. </w:t>
      </w:r>
    </w:p>
    <w:p>
      <w:pPr>
        <w:rPr>
          <w:b/>
          <w:bCs/>
        </w:rPr>
      </w:pPr>
      <w:r>
        <w:rPr>
          <w:rFonts w:hint="eastAsia"/>
          <w:b/>
          <w:bCs/>
        </w:rPr>
        <w:t>Proposal 8: Considering that the Group ID has the same format as the SNPN ID, the UE NAS shall indicate the AS layer it</w:t>
      </w:r>
      <w:r>
        <w:rPr>
          <w:b/>
          <w:bCs/>
        </w:rPr>
        <w:t>’</w:t>
      </w:r>
      <w:r>
        <w:rPr>
          <w:rFonts w:hint="eastAsia"/>
          <w:b/>
          <w:bCs/>
        </w:rPr>
        <w:t>s a Group ID by some method.</w:t>
      </w:r>
    </w:p>
    <w:p>
      <w:r>
        <w:rPr>
          <w:rFonts w:hint="eastAsia"/>
        </w:rPr>
        <w:t>If a group ID was supported by more than one SNPNs, e.g. in the Fig1, the Group ID 2 was supported by both the SNPN1 and SNPN2, the UE can select either SNPN1 or SNPN2, and this decision can be made by either the AS layer or the NAS layer. If this decision was made by the AS layer, e.g. SNPN1 was selected, the NAS layer may need to indicate the forbidden SNPN(s) to the AS once the SNPN1 was rejected by the network, thus it</w:t>
      </w:r>
      <w:r>
        <w:t>’</w:t>
      </w:r>
      <w:r>
        <w:rPr>
          <w:rFonts w:hint="eastAsia"/>
        </w:rPr>
        <w:t>s better to report all of the SNPNs and the related cell info of this Group ID to the UE NAS layer and let the NAS layer make the final decision.</w:t>
      </w:r>
    </w:p>
    <w:p>
      <w:pPr>
        <w:rPr>
          <w:b/>
          <w:bCs/>
        </w:rPr>
      </w:pPr>
      <w:r>
        <w:rPr>
          <w:rFonts w:hint="eastAsia"/>
          <w:b/>
          <w:bCs/>
        </w:rPr>
        <w:t>Proposal 9: For the case that a group ID was supported by more than one SNPNs, the UE AS report all of the SNPNs and the related cell info of this Group ID to the NAS layer and let the NAS layer make the final decision.</w:t>
      </w:r>
    </w:p>
    <w:p>
      <w:r>
        <w:rPr>
          <w:rFonts w:hint="eastAsia"/>
        </w:rPr>
        <w:t>For the case 3, the UE AS layer shall select the cell that broadcast the second indication as the suitable cell temporally, once the UE registered successfully, the UE AS will indicate a registered SNPN to the UE AS, then the UE will take the cell with the registered SNPN as the suitable cell.</w:t>
      </w:r>
    </w:p>
    <w:p>
      <w:pPr>
        <w:rPr>
          <w:b/>
          <w:bCs/>
        </w:rPr>
      </w:pPr>
      <w:r>
        <w:rPr>
          <w:rFonts w:hint="eastAsia"/>
          <w:b/>
          <w:bCs/>
        </w:rPr>
        <w:t xml:space="preserve">Proposal 10: For the case that the UE NAS layer indicate a second indication to the AS layer, the UE AS layer shall select the cell that broadcast the second indication as the suitable cell until a new indication was received from the UE NAS layer. </w:t>
      </w:r>
    </w:p>
    <w:p>
      <w:pPr>
        <w:pStyle w:val="3"/>
        <w:numPr>
          <w:ilvl w:val="2"/>
          <w:numId w:val="0"/>
        </w:numPr>
        <w:tabs>
          <w:tab w:val="left" w:pos="720"/>
          <w:tab w:val="clear" w:pos="432"/>
        </w:tabs>
        <w:rPr>
          <w:b w:val="0"/>
          <w:bCs w:val="0"/>
          <w:sz w:val="28"/>
          <w:szCs w:val="28"/>
          <w:lang w:val="en-US"/>
        </w:rPr>
      </w:pPr>
      <w:r>
        <w:rPr>
          <w:rFonts w:hint="eastAsia"/>
          <w:b w:val="0"/>
          <w:bCs w:val="0"/>
          <w:sz w:val="28"/>
          <w:szCs w:val="28"/>
          <w:lang w:val="en-US"/>
        </w:rPr>
        <w:t>2.</w:t>
      </w:r>
      <w:r>
        <w:rPr>
          <w:rFonts w:hint="eastAsia" w:eastAsia="宋体"/>
          <w:b w:val="0"/>
          <w:bCs w:val="0"/>
          <w:sz w:val="28"/>
          <w:szCs w:val="28"/>
          <w:lang w:val="en-US"/>
        </w:rPr>
        <w:t xml:space="preserve">4 </w:t>
      </w:r>
      <w:r>
        <w:rPr>
          <w:rFonts w:hint="eastAsia"/>
          <w:b w:val="0"/>
          <w:bCs w:val="0"/>
          <w:sz w:val="28"/>
          <w:szCs w:val="28"/>
          <w:lang w:val="en-US"/>
        </w:rPr>
        <w:t>Network selection</w:t>
      </w:r>
    </w:p>
    <w:p>
      <w:pPr>
        <w:rPr>
          <w:color w:val="00B050"/>
        </w:rPr>
      </w:pPr>
      <w:r>
        <w:rPr>
          <w:rFonts w:hint="eastAsia"/>
        </w:rPr>
        <w:t xml:space="preserve">About the Network selection, the main issue is that whether the Ran node need the additional information for the AMF selection. It also depends on whether the separate entity related function would be supported by all of the AMF or buy only part of the AMF for the SNPN. Considering that once the UE registered successfully, the VSNPN would become the Registered SNPN, for the registered SNPN, there is no need to further check the Separate entity related indication, e.g. the </w:t>
      </w:r>
      <w:r>
        <w:t>“</w:t>
      </w:r>
      <w:r>
        <w:rPr>
          <w:rFonts w:hint="eastAsia"/>
        </w:rPr>
        <w:t>access using credentials from a separate entity is supported</w:t>
      </w:r>
      <w:r>
        <w:t>”</w:t>
      </w:r>
      <w:r>
        <w:rPr>
          <w:rFonts w:hint="eastAsia"/>
        </w:rPr>
        <w:t xml:space="preserve"> indication. If the separate entity related function would be supported by part of the AMF for a SNPN, it also means </w:t>
      </w:r>
      <w:r>
        <w:t xml:space="preserve">the UE may access the </w:t>
      </w:r>
      <w:r>
        <w:rPr>
          <w:rFonts w:hint="eastAsia"/>
        </w:rPr>
        <w:t xml:space="preserve">AMF </w:t>
      </w:r>
      <w:r>
        <w:t xml:space="preserve">that </w:t>
      </w:r>
      <w:r>
        <w:rPr>
          <w:rFonts w:hint="eastAsia"/>
        </w:rPr>
        <w:t>doesn</w:t>
      </w:r>
      <w:r>
        <w:t>’</w:t>
      </w:r>
      <w:r>
        <w:rPr>
          <w:rFonts w:hint="eastAsia"/>
        </w:rPr>
        <w:t xml:space="preserve">t support the separate entity function, then if the AMF need to re-authenticate </w:t>
      </w:r>
      <w:r>
        <w:t>this UE</w:t>
      </w:r>
      <w:r>
        <w:rPr>
          <w:rFonts w:hint="eastAsia"/>
        </w:rPr>
        <w:t>, it can</w:t>
      </w:r>
      <w:r>
        <w:t>’</w:t>
      </w:r>
      <w:r>
        <w:rPr>
          <w:rFonts w:hint="eastAsia"/>
        </w:rPr>
        <w:t>t find the related separate entity and thus can</w:t>
      </w:r>
      <w:r>
        <w:t>’</w:t>
      </w:r>
      <w:r>
        <w:rPr>
          <w:rFonts w:hint="eastAsia"/>
        </w:rPr>
        <w:t>t execute the re-authenticate procedure. To avoid such kind of issues, for a SNPN, if it supports the separate entity function, it shall be supported by all of the AMF of this SNPN. Anyway, this issue shall be first discussed and determined by RAN3/CT1.</w:t>
      </w:r>
    </w:p>
    <w:p>
      <w:pPr>
        <w:pStyle w:val="105"/>
        <w:jc w:val="both"/>
        <w:rPr>
          <w:rFonts w:ascii="Times New Roman" w:hAnsi="Times New Roman" w:cs="Times New Roman" w:eastAsiaTheme="minorEastAsia"/>
          <w:b/>
          <w:bCs/>
          <w:kern w:val="2"/>
          <w:sz w:val="21"/>
          <w:szCs w:val="24"/>
          <w:lang w:val="en-US"/>
        </w:rPr>
      </w:pPr>
      <w:r>
        <w:rPr>
          <w:rFonts w:hint="eastAsia" w:ascii="Times New Roman" w:hAnsi="Times New Roman" w:cs="Times New Roman" w:eastAsiaTheme="minorEastAsia"/>
          <w:b/>
          <w:bCs/>
          <w:kern w:val="2"/>
          <w:sz w:val="21"/>
          <w:szCs w:val="24"/>
          <w:lang w:val="en-US"/>
        </w:rPr>
        <w:t>Proposal 11: On the issue that whether the Ran node need the additional information for the AMF selection, RAN2 can wait for the RAN3/CT1</w:t>
      </w:r>
      <w:r>
        <w:rPr>
          <w:rFonts w:ascii="Times New Roman" w:hAnsi="Times New Roman" w:cs="Times New Roman" w:eastAsiaTheme="minorEastAsia"/>
          <w:b/>
          <w:bCs/>
          <w:kern w:val="2"/>
          <w:sz w:val="21"/>
          <w:szCs w:val="24"/>
          <w:lang w:val="en-US"/>
        </w:rPr>
        <w:t>/SA2’</w:t>
      </w:r>
      <w:r>
        <w:rPr>
          <w:rFonts w:hint="eastAsia" w:ascii="Times New Roman" w:hAnsi="Times New Roman" w:cs="Times New Roman" w:eastAsiaTheme="minorEastAsia"/>
          <w:b/>
          <w:bCs/>
          <w:kern w:val="2"/>
          <w:sz w:val="21"/>
          <w:szCs w:val="24"/>
          <w:lang w:val="en-US"/>
        </w:rPr>
        <w:t xml:space="preserve">s further input. </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beforeLines="50"/>
      </w:pPr>
      <w:r>
        <w:rPr>
          <w:rFonts w:hint="eastAsia"/>
        </w:rPr>
        <w:t xml:space="preserve">With the above analysis, we have the following </w:t>
      </w:r>
      <w:r>
        <w:t>proposals</w:t>
      </w:r>
      <w:r>
        <w:rPr>
          <w:rFonts w:hint="eastAsia"/>
        </w:rPr>
        <w:t>:</w:t>
      </w:r>
    </w:p>
    <w:p>
      <w:pPr>
        <w:rPr>
          <w:b/>
          <w:bCs/>
        </w:rPr>
      </w:pPr>
      <w:r>
        <w:rPr>
          <w:rFonts w:hint="eastAsia"/>
          <w:b/>
          <w:bCs/>
        </w:rPr>
        <w:t xml:space="preserve">Proposal 1: Both the first indication and the second indication shall be broadcast per SNPN, the first indication indicates that "access using credentials from a separate entity is supported", the second indication indicates </w:t>
      </w:r>
      <w:r>
        <w:rPr>
          <w:b/>
          <w:bCs/>
        </w:rPr>
        <w:t>“whether the SNPN allows registration attempts from UEs that are not explicitly configured to select the SNPN”</w:t>
      </w:r>
      <w:r>
        <w:rPr>
          <w:rFonts w:hint="eastAsia"/>
          <w:b/>
          <w:bCs/>
        </w:rPr>
        <w:t>.</w:t>
      </w:r>
    </w:p>
    <w:p>
      <w:pPr>
        <w:rPr>
          <w:b/>
          <w:bCs/>
        </w:rPr>
      </w:pPr>
      <w:r>
        <w:rPr>
          <w:rFonts w:hint="eastAsia"/>
          <w:b/>
          <w:bCs/>
        </w:rPr>
        <w:t>Proposal 2: The group ID shall be broadcast per SNPN.</w:t>
      </w:r>
    </w:p>
    <w:p>
      <w:pPr>
        <w:rPr>
          <w:b/>
        </w:rPr>
      </w:pPr>
      <w:r>
        <w:rPr>
          <w:rFonts w:hint="eastAsia"/>
          <w:b/>
          <w:bCs/>
        </w:rPr>
        <w:t>Proposal 3: Take the option 1 as the baseline e.g</w:t>
      </w:r>
      <w:r>
        <w:rPr>
          <w:b/>
          <w:bCs/>
        </w:rPr>
        <w:t>.</w:t>
      </w:r>
      <w:r>
        <w:rPr>
          <w:rFonts w:hint="eastAsia"/>
          <w:b/>
          <w:bCs/>
        </w:rPr>
        <w:t xml:space="preserve"> </w:t>
      </w:r>
      <w:r>
        <w:rPr>
          <w:rFonts w:hint="eastAsia"/>
          <w:b/>
        </w:rPr>
        <w:t>the total number of the legacy Network IDs including (</w:t>
      </w:r>
      <w:r>
        <w:rPr>
          <w:b/>
          <w:lang w:eastAsia="sv-SE"/>
        </w:rPr>
        <w:t>PLMNs, PNI-NPNs, and SNPN</w:t>
      </w:r>
      <w:r>
        <w:rPr>
          <w:rFonts w:hint="eastAsia"/>
          <w:b/>
        </w:rPr>
        <w:t xml:space="preserve">) </w:t>
      </w:r>
      <w:r>
        <w:rPr>
          <w:b/>
          <w:lang w:eastAsia="sv-SE"/>
        </w:rPr>
        <w:t xml:space="preserve">does not exceed 12, </w:t>
      </w:r>
      <w:r>
        <w:rPr>
          <w:rFonts w:hint="eastAsia"/>
          <w:b/>
        </w:rPr>
        <w:t xml:space="preserve">meanwhile the total number of the </w:t>
      </w:r>
      <w:r>
        <w:rPr>
          <w:b/>
        </w:rPr>
        <w:t>Group IDs</w:t>
      </w:r>
      <w:r>
        <w:rPr>
          <w:rFonts w:hint="eastAsia"/>
          <w:b/>
        </w:rPr>
        <w:t xml:space="preserve"> of all of the SNPNs </w:t>
      </w:r>
      <w:r>
        <w:rPr>
          <w:b/>
          <w:lang w:eastAsia="sv-SE"/>
        </w:rPr>
        <w:t xml:space="preserve">does not exceed </w:t>
      </w:r>
      <w:r>
        <w:rPr>
          <w:rFonts w:hint="eastAsia"/>
          <w:b/>
        </w:rPr>
        <w:t>a maximum number.</w:t>
      </w:r>
    </w:p>
    <w:p>
      <w:pPr>
        <w:rPr>
          <w:b/>
          <w:bCs/>
        </w:rPr>
      </w:pPr>
      <w:r>
        <w:rPr>
          <w:rFonts w:hint="eastAsia"/>
          <w:b/>
          <w:bCs/>
        </w:rPr>
        <w:t>Proposal 4: For the SNPN that only support group ID, the first indication shall not be set.</w:t>
      </w:r>
    </w:p>
    <w:p>
      <w:pPr>
        <w:rPr>
          <w:b/>
          <w:bCs/>
        </w:rPr>
      </w:pPr>
      <w:r>
        <w:rPr>
          <w:rFonts w:hint="eastAsia"/>
          <w:b/>
          <w:bCs/>
        </w:rPr>
        <w:t>Proposal 5: Include the 2 indications and Group IDs in the legacy field.</w:t>
      </w:r>
    </w:p>
    <w:p>
      <w:pPr>
        <w:rPr>
          <w:b/>
          <w:bCs/>
        </w:rPr>
      </w:pPr>
      <w:r>
        <w:rPr>
          <w:rFonts w:hint="eastAsia"/>
          <w:b/>
          <w:bCs/>
        </w:rPr>
        <w:t>Observation 1: The UE NAS layer may indicate information to the AS layer as below for the different cases</w:t>
      </w:r>
    </w:p>
    <w:p>
      <w:pPr>
        <w:numPr>
          <w:ilvl w:val="0"/>
          <w:numId w:val="7"/>
        </w:numPr>
        <w:rPr>
          <w:b/>
          <w:bCs/>
        </w:rPr>
      </w:pPr>
      <w:r>
        <w:rPr>
          <w:rFonts w:hint="eastAsia"/>
          <w:b/>
          <w:bCs/>
        </w:rPr>
        <w:t xml:space="preserve">Case 1: The VSNPN included the </w:t>
      </w:r>
      <w:r>
        <w:rPr>
          <w:b/>
          <w:bCs/>
        </w:rPr>
        <w:t>“user-controlled list”</w:t>
      </w:r>
      <w:r>
        <w:rPr>
          <w:rFonts w:hint="eastAsia"/>
          <w:b/>
          <w:bCs/>
        </w:rPr>
        <w:t xml:space="preserve"> or the </w:t>
      </w:r>
      <w:r>
        <w:rPr>
          <w:b/>
          <w:bCs/>
        </w:rPr>
        <w:t>“separate entity-controlled list”</w:t>
      </w:r>
      <w:r>
        <w:rPr>
          <w:rFonts w:hint="eastAsia"/>
          <w:b/>
          <w:bCs/>
        </w:rPr>
        <w:t xml:space="preserve"> together with the first indication (access using credentials from a separate entity is supported) </w:t>
      </w:r>
    </w:p>
    <w:p>
      <w:pPr>
        <w:numPr>
          <w:ilvl w:val="0"/>
          <w:numId w:val="7"/>
        </w:numPr>
        <w:rPr>
          <w:b/>
          <w:bCs/>
        </w:rPr>
      </w:pPr>
      <w:r>
        <w:rPr>
          <w:rFonts w:hint="eastAsia"/>
          <w:b/>
          <w:bCs/>
        </w:rPr>
        <w:t>Case 2: Indicate group ID(s)</w:t>
      </w:r>
    </w:p>
    <w:p>
      <w:pPr>
        <w:numPr>
          <w:ilvl w:val="0"/>
          <w:numId w:val="7"/>
        </w:numPr>
        <w:rPr>
          <w:b/>
          <w:bCs/>
        </w:rPr>
      </w:pPr>
      <w:r>
        <w:rPr>
          <w:rFonts w:hint="eastAsia"/>
          <w:b/>
          <w:bCs/>
        </w:rPr>
        <w:t>Case 3: The second indication (whether the SNPN allows registration attempts from UEs that are not explicitly configured to select the SNPN)</w:t>
      </w:r>
    </w:p>
    <w:p>
      <w:pPr>
        <w:rPr>
          <w:b/>
          <w:bCs/>
        </w:rPr>
      </w:pPr>
      <w:r>
        <w:rPr>
          <w:rFonts w:hint="eastAsia"/>
          <w:b/>
          <w:bCs/>
        </w:rPr>
        <w:t xml:space="preserve">Proposal 6: For the case that the UE NAS indicate the VSNPN included the </w:t>
      </w:r>
      <w:r>
        <w:rPr>
          <w:b/>
          <w:bCs/>
        </w:rPr>
        <w:t>“user-controlled list”</w:t>
      </w:r>
      <w:r>
        <w:rPr>
          <w:rFonts w:hint="eastAsia"/>
          <w:b/>
          <w:bCs/>
        </w:rPr>
        <w:t xml:space="preserve"> or the </w:t>
      </w:r>
      <w:r>
        <w:rPr>
          <w:b/>
          <w:bCs/>
        </w:rPr>
        <w:t>“separate entity-controlled list”</w:t>
      </w:r>
      <w:r>
        <w:rPr>
          <w:rFonts w:hint="eastAsia"/>
          <w:b/>
          <w:bCs/>
        </w:rPr>
        <w:t xml:space="preserve"> together with the first indication to the AS,</w:t>
      </w:r>
      <w:r>
        <w:rPr>
          <w:rFonts w:hint="eastAsia"/>
          <w:b/>
          <w:bCs/>
        </w:rPr>
        <w:tab/>
      </w:r>
      <w:r>
        <w:rPr>
          <w:rFonts w:hint="eastAsia"/>
          <w:b/>
          <w:bCs/>
        </w:rPr>
        <w:t xml:space="preserve"> the UE AS layer shall select the cell that broadcast the indicated VSNPN(s) and the first indication as the suitable cell until a new indication was received from the UE NAS layer.</w:t>
      </w:r>
    </w:p>
    <w:p>
      <w:pPr>
        <w:rPr>
          <w:b/>
          <w:bCs/>
        </w:rPr>
      </w:pPr>
      <w:r>
        <w:rPr>
          <w:rFonts w:hint="eastAsia"/>
          <w:b/>
          <w:bCs/>
        </w:rPr>
        <w:t>Proposal 7:For the case that the UE NAS layer indicate a group ID into AS layer, the UE AS layer shall select the cell that broadcast the</w:t>
      </w:r>
      <w:r>
        <w:rPr>
          <w:b/>
          <w:bCs/>
        </w:rPr>
        <w:t xml:space="preserve"> matched</w:t>
      </w:r>
      <w:r>
        <w:rPr>
          <w:rFonts w:hint="eastAsia"/>
          <w:b/>
          <w:bCs/>
        </w:rPr>
        <w:t xml:space="preserve"> Group</w:t>
      </w:r>
      <w:r>
        <w:rPr>
          <w:b/>
          <w:bCs/>
        </w:rPr>
        <w:t xml:space="preserve"> </w:t>
      </w:r>
      <w:r>
        <w:rPr>
          <w:rFonts w:hint="eastAsia"/>
          <w:b/>
          <w:bCs/>
        </w:rPr>
        <w:t xml:space="preserve">ID as the suitable cell until a new indication was received from the UE NAS layer. </w:t>
      </w:r>
    </w:p>
    <w:p>
      <w:pPr>
        <w:rPr>
          <w:b/>
          <w:bCs/>
        </w:rPr>
      </w:pPr>
      <w:r>
        <w:rPr>
          <w:rFonts w:hint="eastAsia"/>
          <w:b/>
          <w:bCs/>
        </w:rPr>
        <w:t>Proposal 8: Considering that the Group ID has the same format as the SNPN ID, the UE NAS shall indicate the AS layer it</w:t>
      </w:r>
      <w:r>
        <w:rPr>
          <w:b/>
          <w:bCs/>
        </w:rPr>
        <w:t>’</w:t>
      </w:r>
      <w:r>
        <w:rPr>
          <w:rFonts w:hint="eastAsia"/>
          <w:b/>
          <w:bCs/>
        </w:rPr>
        <w:t>s a Group ID by some method.</w:t>
      </w:r>
    </w:p>
    <w:p>
      <w:pPr>
        <w:rPr>
          <w:b/>
          <w:bCs/>
        </w:rPr>
      </w:pPr>
      <w:r>
        <w:rPr>
          <w:rFonts w:hint="eastAsia"/>
          <w:b/>
          <w:bCs/>
        </w:rPr>
        <w:t>Proposal 9: For the case that a group ID was supported by more than one SNPNs, the UE AS report all of the SNPNs and the related cell info of this Group ID to the NAS layer and let the NAS layer make the final decision.</w:t>
      </w:r>
    </w:p>
    <w:p>
      <w:pPr>
        <w:rPr>
          <w:b/>
          <w:bCs/>
        </w:rPr>
      </w:pPr>
      <w:r>
        <w:rPr>
          <w:rFonts w:hint="eastAsia"/>
          <w:b/>
          <w:bCs/>
        </w:rPr>
        <w:t xml:space="preserve">Proposal 10: For the case that the UE NAS layer indicate a second indication to the AS layer, the UE AS layer shall select the cell that broadcast the second indication as the suitable cell until a new indication was received from the UE NAS layer. </w:t>
      </w:r>
    </w:p>
    <w:p>
      <w:pPr>
        <w:pStyle w:val="105"/>
        <w:jc w:val="both"/>
        <w:rPr>
          <w:b/>
          <w:bCs/>
          <w:sz w:val="32"/>
          <w:szCs w:val="36"/>
        </w:rPr>
      </w:pPr>
      <w:r>
        <w:rPr>
          <w:rFonts w:hint="eastAsia" w:ascii="Times New Roman" w:hAnsi="Times New Roman" w:cs="Times New Roman" w:eastAsiaTheme="minorEastAsia"/>
          <w:b/>
          <w:bCs/>
          <w:kern w:val="2"/>
          <w:sz w:val="21"/>
          <w:szCs w:val="24"/>
          <w:lang w:val="en-US"/>
        </w:rPr>
        <w:t>Proposal 11: On the issue that whether the Ran node need the additional information for the AMF selection, RAN2 can wait for the RAN3/CT1</w:t>
      </w:r>
      <w:r>
        <w:rPr>
          <w:rFonts w:ascii="Times New Roman" w:hAnsi="Times New Roman" w:cs="Times New Roman" w:eastAsiaTheme="minorEastAsia"/>
          <w:b/>
          <w:bCs/>
          <w:kern w:val="2"/>
          <w:sz w:val="21"/>
          <w:szCs w:val="24"/>
          <w:lang w:val="en-US"/>
        </w:rPr>
        <w:t>/SA2’</w:t>
      </w:r>
      <w:r>
        <w:rPr>
          <w:rFonts w:hint="eastAsia" w:ascii="Times New Roman" w:hAnsi="Times New Roman" w:cs="Times New Roman" w:eastAsiaTheme="minorEastAsia"/>
          <w:b/>
          <w:bCs/>
          <w:kern w:val="2"/>
          <w:sz w:val="21"/>
          <w:szCs w:val="24"/>
          <w:lang w:val="en-US"/>
        </w:rPr>
        <w:t xml:space="preserve">s further input. </w:t>
      </w:r>
    </w:p>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E741F8"/>
    <w:multiLevelType w:val="singleLevel"/>
    <w:tmpl w:val="EEE741F8"/>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45D6511"/>
    <w:multiLevelType w:val="multilevel"/>
    <w:tmpl w:val="145D6511"/>
    <w:lvl w:ilvl="0" w:tentative="0">
      <w:start w:val="1"/>
      <w:numFmt w:val="bullet"/>
      <w:lvlText w:val=""/>
      <w:lvlJc w:val="left"/>
      <w:pPr>
        <w:tabs>
          <w:tab w:val="left" w:pos="720"/>
        </w:tabs>
        <w:ind w:left="720" w:hanging="360"/>
      </w:pPr>
      <w:rPr>
        <w:rFonts w:hint="default" w:ascii="Wingdings" w:hAnsi="Wingdings"/>
      </w:rPr>
    </w:lvl>
    <w:lvl w:ilvl="1" w:tentative="0">
      <w:start w:val="110"/>
      <w:numFmt w:val="bullet"/>
      <w:lvlText w:val=""/>
      <w:lvlJc w:val="left"/>
      <w:pPr>
        <w:tabs>
          <w:tab w:val="left" w:pos="1440"/>
        </w:tabs>
        <w:ind w:left="1440" w:hanging="360"/>
      </w:pPr>
      <w:rPr>
        <w:rFonts w:hint="default" w:ascii="Wingdings" w:hAnsi="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EF4AAD4"/>
    <w:multiLevelType w:val="singleLevel"/>
    <w:tmpl w:val="1EF4AAD4"/>
    <w:lvl w:ilvl="0" w:tentative="0">
      <w:start w:val="1"/>
      <w:numFmt w:val="decimal"/>
      <w:suff w:val="space"/>
      <w:lvlText w:val="(%1)"/>
      <w:lvlJc w:val="left"/>
    </w:lvl>
  </w:abstractNum>
  <w:abstractNum w:abstractNumId="5">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5"/>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C9B"/>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2F8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1CD0"/>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A48BA"/>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0C619D"/>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56BEC"/>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CB4705"/>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0D684E"/>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0D1D45"/>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5499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54B9B"/>
    <w:rsid w:val="26C6512F"/>
    <w:rsid w:val="26FF3DC8"/>
    <w:rsid w:val="27341C3F"/>
    <w:rsid w:val="274A262D"/>
    <w:rsid w:val="2755406D"/>
    <w:rsid w:val="2766512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662642"/>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1FF1B3E"/>
    <w:rsid w:val="52184844"/>
    <w:rsid w:val="52196CD6"/>
    <w:rsid w:val="52273196"/>
    <w:rsid w:val="523731EA"/>
    <w:rsid w:val="52391CB6"/>
    <w:rsid w:val="523F42A6"/>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85284"/>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 w:val="7FFE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1"/>
    <w:next w:val="1"/>
    <w:link w:val="76"/>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71"/>
    <w:unhideWhenUsed/>
    <w:qFormat/>
    <w:uiPriority w:val="0"/>
    <w:rPr>
      <w:rFonts w:ascii="宋体"/>
      <w:sz w:val="18"/>
      <w:szCs w:val="18"/>
    </w:rPr>
  </w:style>
  <w:style w:type="paragraph" w:styleId="24">
    <w:name w:val="annotation text"/>
    <w:basedOn w:val="1"/>
    <w:link w:val="177"/>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5"/>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9"/>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paragraph" w:customStyle="1" w:styleId="67">
    <w:name w:val="Doc-title"/>
    <w:basedOn w:val="1"/>
    <w:next w:val="68"/>
    <w:link w:val="111"/>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9">
    <w:name w:val="批注框文本 Char"/>
    <w:basedOn w:val="58"/>
    <w:link w:val="36"/>
    <w:qFormat/>
    <w:uiPriority w:val="0"/>
    <w:rPr>
      <w:kern w:val="2"/>
      <w:sz w:val="18"/>
      <w:szCs w:val="18"/>
    </w:rPr>
  </w:style>
  <w:style w:type="paragraph" w:styleId="70">
    <w:name w:val="List Paragraph"/>
    <w:basedOn w:val="1"/>
    <w:link w:val="273"/>
    <w:unhideWhenUsed/>
    <w:qFormat/>
    <w:uiPriority w:val="99"/>
    <w:pPr>
      <w:ind w:firstLine="420" w:firstLineChars="200"/>
    </w:pPr>
  </w:style>
  <w:style w:type="character" w:customStyle="1" w:styleId="71">
    <w:name w:val="文档结构图 Char"/>
    <w:basedOn w:val="58"/>
    <w:link w:val="23"/>
    <w:qFormat/>
    <w:uiPriority w:val="0"/>
    <w:rPr>
      <w:rFonts w:ascii="宋体"/>
      <w:kern w:val="2"/>
      <w:sz w:val="18"/>
      <w:szCs w:val="18"/>
    </w:rPr>
  </w:style>
  <w:style w:type="character" w:customStyle="1" w:styleId="72">
    <w:name w:val="标题 1 Char"/>
    <w:basedOn w:val="58"/>
    <w:link w:val="2"/>
    <w:qFormat/>
    <w:uiPriority w:val="0"/>
    <w:rPr>
      <w:b/>
      <w:bCs/>
      <w:kern w:val="44"/>
      <w:sz w:val="44"/>
      <w:szCs w:val="44"/>
    </w:rPr>
  </w:style>
  <w:style w:type="character" w:customStyle="1" w:styleId="73">
    <w:name w:val="标题 2 Char"/>
    <w:basedOn w:val="58"/>
    <w:link w:val="3"/>
    <w:qFormat/>
    <w:uiPriority w:val="0"/>
    <w:rPr>
      <w:rFonts w:ascii="Arial" w:hAnsi="Arial" w:eastAsia="MS Mincho"/>
      <w:sz w:val="32"/>
      <w:szCs w:val="32"/>
      <w:lang w:val="en-GB"/>
    </w:rPr>
  </w:style>
  <w:style w:type="character" w:customStyle="1" w:styleId="74">
    <w:name w:val="标题 3 Char"/>
    <w:basedOn w:val="58"/>
    <w:link w:val="4"/>
    <w:qFormat/>
    <w:uiPriority w:val="0"/>
    <w:rPr>
      <w:b/>
      <w:bCs/>
      <w:kern w:val="2"/>
      <w:sz w:val="32"/>
      <w:szCs w:val="32"/>
    </w:rPr>
  </w:style>
  <w:style w:type="character" w:customStyle="1" w:styleId="75">
    <w:name w:val="标题 4 Char"/>
    <w:basedOn w:val="58"/>
    <w:link w:val="5"/>
    <w:qFormat/>
    <w:uiPriority w:val="0"/>
    <w:rPr>
      <w:rFonts w:ascii="Arial" w:hAnsi="Arial" w:eastAsia="黑体"/>
      <w:b/>
      <w:kern w:val="2"/>
      <w:sz w:val="28"/>
      <w:szCs w:val="24"/>
    </w:rPr>
  </w:style>
  <w:style w:type="character" w:customStyle="1" w:styleId="76">
    <w:name w:val="标题 5 Char"/>
    <w:basedOn w:val="58"/>
    <w:link w:val="6"/>
    <w:qFormat/>
    <w:uiPriority w:val="0"/>
    <w:rPr>
      <w:b/>
      <w:kern w:val="2"/>
      <w:sz w:val="28"/>
      <w:szCs w:val="24"/>
    </w:rPr>
  </w:style>
  <w:style w:type="character" w:customStyle="1" w:styleId="77">
    <w:name w:val="标题 6 Char"/>
    <w:basedOn w:val="58"/>
    <w:link w:val="7"/>
    <w:qFormat/>
    <w:uiPriority w:val="0"/>
    <w:rPr>
      <w:rFonts w:ascii="Arial" w:hAnsi="Arial" w:eastAsia="黑体"/>
      <w:b/>
      <w:kern w:val="2"/>
      <w:sz w:val="24"/>
      <w:szCs w:val="24"/>
    </w:rPr>
  </w:style>
  <w:style w:type="character" w:customStyle="1" w:styleId="78">
    <w:name w:val="标题 7 Char"/>
    <w:basedOn w:val="58"/>
    <w:link w:val="8"/>
    <w:qFormat/>
    <w:uiPriority w:val="0"/>
    <w:rPr>
      <w:b/>
      <w:kern w:val="2"/>
      <w:sz w:val="24"/>
      <w:szCs w:val="24"/>
    </w:rPr>
  </w:style>
  <w:style w:type="character" w:customStyle="1" w:styleId="79">
    <w:name w:val="标题 8 Char"/>
    <w:basedOn w:val="58"/>
    <w:link w:val="9"/>
    <w:qFormat/>
    <w:uiPriority w:val="0"/>
    <w:rPr>
      <w:rFonts w:ascii="Arial" w:hAnsi="Arial" w:eastAsia="黑体"/>
      <w:kern w:val="2"/>
      <w:sz w:val="24"/>
      <w:szCs w:val="24"/>
    </w:rPr>
  </w:style>
  <w:style w:type="character" w:customStyle="1" w:styleId="80">
    <w:name w:val="标题 9 Char"/>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8"/>
    <w:next w:val="68"/>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7"/>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8"/>
    <w:qFormat/>
    <w:uiPriority w:val="0"/>
  </w:style>
  <w:style w:type="character" w:customStyle="1" w:styleId="131">
    <w:name w:val="页眉 Char"/>
    <w:link w:val="38"/>
    <w:qFormat/>
    <w:uiPriority w:val="99"/>
    <w:rPr>
      <w:kern w:val="2"/>
      <w:sz w:val="18"/>
      <w:szCs w:val="18"/>
    </w:rPr>
  </w:style>
  <w:style w:type="character" w:customStyle="1" w:styleId="132">
    <w:name w:val="Doc-text2 Char Char"/>
    <w:basedOn w:val="58"/>
    <w:link w:val="68"/>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Char"/>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Char1"/>
    <w:basedOn w:val="58"/>
    <w:link w:val="24"/>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Char"/>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出段落 Char"/>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A061F3-8C5E-4A3D-A899-FFB2F7ECC8D6}">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6</Pages>
  <Words>2295</Words>
  <Characters>13082</Characters>
  <Lines>109</Lines>
  <Paragraphs>30</Paragraphs>
  <TotalTime>11</TotalTime>
  <ScaleCrop>false</ScaleCrop>
  <LinksUpToDate>false</LinksUpToDate>
  <CharactersWithSpaces>15347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2020-02-14T02:22:00Z</dcterms:created>
  <dc:creator>10033860</dc:creator>
  <cp:lastModifiedBy>ZTE</cp:lastModifiedBy>
  <cp:lastPrinted>2113-01-01T00:00:00Z</cp:lastPrinted>
  <dcterms:modified xsi:type="dcterms:W3CDTF">2021-01-15T05:50:43Z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