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eastAsia="宋体"/>
          <w:b/>
          <w:i/>
          <w:sz w:val="28"/>
          <w:lang w:val="en-US" w:eastAsia="zh-CN"/>
        </w:rPr>
      </w:pPr>
      <w:r>
        <w:rPr>
          <w:b/>
          <w:sz w:val="24"/>
        </w:rPr>
        <w:t>3GPP TSG-RAN WG2 Meeting #1</w:t>
      </w:r>
      <w:r>
        <w:rPr>
          <w:rFonts w:hint="eastAsia" w:eastAsia="宋体"/>
          <w:b/>
          <w:sz w:val="24"/>
          <w:lang w:val="en-US" w:eastAsia="zh-CN"/>
        </w:rPr>
        <w:t>13-e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2100</w:t>
      </w:r>
      <w:bookmarkStart w:id="3" w:name="_GoBack"/>
      <w:bookmarkEnd w:id="3"/>
      <w:r>
        <w:rPr>
          <w:rFonts w:hint="eastAsia" w:eastAsia="宋体"/>
          <w:b/>
          <w:i/>
          <w:sz w:val="28"/>
          <w:lang w:val="en-US" w:eastAsia="zh-CN"/>
        </w:rPr>
        <w:t>429</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Jan</w:t>
      </w:r>
      <w:r>
        <w:rPr>
          <w:b/>
          <w:sz w:val="24"/>
          <w:szCs w:val="22"/>
          <w:lang w:val="de-DE" w:eastAsia="zh-CN"/>
        </w:rPr>
        <w:t xml:space="preserve"> </w:t>
      </w:r>
      <w:r>
        <w:rPr>
          <w:rFonts w:hint="eastAsia"/>
          <w:b/>
          <w:sz w:val="24"/>
          <w:szCs w:val="22"/>
          <w:lang w:val="en-US" w:eastAsia="zh-CN"/>
        </w:rPr>
        <w:t>25</w:t>
      </w:r>
      <w:r>
        <w:rPr>
          <w:b/>
          <w:sz w:val="24"/>
          <w:szCs w:val="22"/>
          <w:lang w:val="de-DE" w:eastAsia="zh-CN"/>
        </w:rPr>
        <w:t xml:space="preserve">th - </w:t>
      </w:r>
      <w:r>
        <w:rPr>
          <w:rFonts w:hint="eastAsia"/>
          <w:b/>
          <w:sz w:val="24"/>
          <w:szCs w:val="22"/>
          <w:lang w:val="en-US" w:eastAsia="zh-CN"/>
        </w:rPr>
        <w:t>Feb 5</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Switching Notification Procedure</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8.3.3</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In this paper, we further discuss the network switching details based on the summary of email discussion in [1]. We first give more detail analysis on the long/periodic/one-shot short-time switching, then discusse the busy indication related issues.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keepNext w:val="0"/>
        <w:keepLines w:val="0"/>
        <w:ind w:left="0" w:firstLine="0"/>
        <w:rPr>
          <w:b w:val="0"/>
          <w:bCs w:val="0"/>
          <w:sz w:val="28"/>
          <w:szCs w:val="28"/>
          <w:lang w:val="en-US"/>
        </w:rPr>
      </w:pPr>
      <w:r>
        <w:rPr>
          <w:rFonts w:hint="eastAsia"/>
          <w:b w:val="0"/>
          <w:bCs w:val="0"/>
          <w:sz w:val="28"/>
          <w:szCs w:val="28"/>
          <w:lang w:val="en-US"/>
        </w:rPr>
        <w:t>2.1 Coordinate leaving</w:t>
      </w:r>
    </w:p>
    <w:p>
      <w:r>
        <w:rPr>
          <w:rFonts w:hint="eastAsia"/>
        </w:rPr>
        <w:t>According to the email discussion, these scenarios can be divided into different types:</w:t>
      </w:r>
    </w:p>
    <w:p>
      <w:pPr>
        <w:numPr>
          <w:ilvl w:val="0"/>
          <w:numId w:val="5"/>
        </w:numPr>
      </w:pPr>
      <w:r>
        <w:rPr>
          <w:rFonts w:hint="eastAsia"/>
        </w:rPr>
        <w:t xml:space="preserve">Long-time switching for the case </w:t>
      </w:r>
      <w:r>
        <w:t>that the UE has a preference to leave RRC_CONNECTED state in network A.</w:t>
      </w:r>
    </w:p>
    <w:p>
      <w:pPr>
        <w:numPr>
          <w:ilvl w:val="0"/>
          <w:numId w:val="5"/>
        </w:numPr>
      </w:pPr>
      <w:r>
        <w:rPr>
          <w:rFonts w:hint="eastAsia"/>
        </w:rPr>
        <w:t>S</w:t>
      </w:r>
      <w:r>
        <w:t>hort-time switching</w:t>
      </w:r>
      <w:r>
        <w:rPr>
          <w:rFonts w:hint="eastAsia"/>
        </w:rPr>
        <w:t xml:space="preserve"> for the case </w:t>
      </w:r>
      <w:r>
        <w:t>that the UE has a preference to be kept in RRC_CONNECTED state in network     A</w:t>
      </w:r>
      <w:r>
        <w:rPr>
          <w:rFonts w:hint="eastAsia"/>
        </w:rPr>
        <w:t>, which further include</w:t>
      </w:r>
      <w:r>
        <w:t>s</w:t>
      </w:r>
      <w:r>
        <w:rPr>
          <w:rFonts w:hint="eastAsia"/>
        </w:rPr>
        <w:t xml:space="preserve"> the periodic </w:t>
      </w:r>
      <w:r>
        <w:t>short-time switching</w:t>
      </w:r>
      <w:r>
        <w:rPr>
          <w:rFonts w:hint="eastAsia"/>
        </w:rPr>
        <w:t xml:space="preserve"> and one-shot </w:t>
      </w:r>
      <w:r>
        <w:t>short-time switching</w:t>
      </w:r>
      <w:r>
        <w:rPr>
          <w:rFonts w:hint="eastAsia"/>
        </w:rPr>
        <w:t>.</w:t>
      </w:r>
    </w:p>
    <w:p>
      <w:r>
        <w:rPr>
          <w:rFonts w:hint="eastAsia"/>
        </w:rPr>
        <w:t xml:space="preserve">In this chapter, before going into the detail of the long-leaving and short-time switching, we first give a short discussion on the classification of the </w:t>
      </w:r>
      <w:r>
        <w:t>switching</w:t>
      </w:r>
      <w:r>
        <w:rPr>
          <w:rFonts w:hint="eastAsia"/>
        </w:rPr>
        <w:t xml:space="preserve"> trigger events.</w:t>
      </w:r>
    </w:p>
    <w:p>
      <w:pPr>
        <w:pStyle w:val="4"/>
        <w:numPr>
          <w:ilvl w:val="2"/>
          <w:numId w:val="0"/>
        </w:numPr>
        <w:rPr>
          <w:b w:val="0"/>
          <w:bCs w:val="0"/>
          <w:sz w:val="28"/>
          <w:szCs w:val="28"/>
          <w:lang w:val="en-US"/>
        </w:rPr>
      </w:pPr>
      <w:r>
        <w:rPr>
          <w:rFonts w:hint="eastAsia"/>
          <w:b w:val="0"/>
          <w:bCs w:val="0"/>
          <w:sz w:val="28"/>
          <w:szCs w:val="28"/>
          <w:lang w:val="en-US"/>
        </w:rPr>
        <w:t>2.1.1 Leaving Trigger events</w:t>
      </w:r>
    </w:p>
    <w:p>
      <w:r>
        <w:rPr>
          <w:rFonts w:hint="eastAsia"/>
        </w:rPr>
        <w:t xml:space="preserve">According to the email discussion and submitted papers in the previous meeting, the </w:t>
      </w:r>
      <w:r>
        <w:t>switching</w:t>
      </w:r>
      <w:r>
        <w:rPr>
          <w:rFonts w:hint="eastAsia"/>
        </w:rPr>
        <w:t xml:space="preserve"> trigger events can be summarized as below:</w:t>
      </w:r>
    </w:p>
    <w:p>
      <w:pPr>
        <w:numPr>
          <w:ilvl w:val="0"/>
          <w:numId w:val="6"/>
        </w:numPr>
      </w:pPr>
      <w:r>
        <w:rPr>
          <w:rFonts w:hint="eastAsia"/>
        </w:rPr>
        <w:t>Scenario 1: periodic switching, such as paging reception, serving cell measurement.</w:t>
      </w:r>
    </w:p>
    <w:p>
      <w:pPr>
        <w:numPr>
          <w:ilvl w:val="0"/>
          <w:numId w:val="6"/>
        </w:numPr>
      </w:pPr>
      <w:r>
        <w:rPr>
          <w:rFonts w:hint="eastAsia"/>
        </w:rPr>
        <w:t>Scenario 2: Measurement for the cell reselection, including intra-frequency and inter-frequency inter rat</w:t>
      </w:r>
    </w:p>
    <w:p>
      <w:pPr>
        <w:numPr>
          <w:ilvl w:val="0"/>
          <w:numId w:val="6"/>
        </w:numPr>
      </w:pPr>
      <w:r>
        <w:rPr>
          <w:rFonts w:hint="eastAsia"/>
        </w:rPr>
        <w:t xml:space="preserve">Scenario 3: SIB1 receiving or the Other SI receiving of the neighbor cells/Serving cell. </w:t>
      </w:r>
    </w:p>
    <w:p>
      <w:pPr>
        <w:numPr>
          <w:ilvl w:val="0"/>
          <w:numId w:val="6"/>
        </w:numPr>
      </w:pPr>
      <w:r>
        <w:rPr>
          <w:rFonts w:hint="eastAsia"/>
        </w:rPr>
        <w:t>Scenario 4: upper layer triggered CP plane procedure, e.g. Registration, Other MO signalling e.g.SMS. RRC triggered CP plane procedure, such as RAU</w:t>
      </w:r>
      <w:r>
        <w:t>.</w:t>
      </w:r>
    </w:p>
    <w:p>
      <w:pPr>
        <w:numPr>
          <w:ilvl w:val="0"/>
          <w:numId w:val="6"/>
        </w:numPr>
      </w:pPr>
      <w:r>
        <w:rPr>
          <w:rFonts w:hint="eastAsia"/>
        </w:rPr>
        <w:t>Scenario 5: Ran/CN paging response (e.g. busy indication).</w:t>
      </w:r>
    </w:p>
    <w:p>
      <w:pPr>
        <w:numPr>
          <w:ilvl w:val="0"/>
          <w:numId w:val="6"/>
        </w:numPr>
      </w:pPr>
      <w:r>
        <w:rPr>
          <w:rFonts w:hint="eastAsia"/>
        </w:rPr>
        <w:t>Scenario 6: MO data/call service.</w:t>
      </w:r>
    </w:p>
    <w:p>
      <w:pPr>
        <w:rPr>
          <w:b/>
          <w:bCs/>
        </w:rPr>
      </w:pPr>
      <w:r>
        <w:rPr>
          <w:rFonts w:hint="eastAsia"/>
          <w:b/>
          <w:bCs/>
        </w:rPr>
        <w:t>Observation 1:</w:t>
      </w:r>
      <w:r>
        <w:rPr>
          <w:b/>
          <w:bCs/>
        </w:rPr>
        <w:t xml:space="preserve"> </w:t>
      </w:r>
      <w:r>
        <w:rPr>
          <w:rFonts w:hint="eastAsia"/>
          <w:b/>
          <w:bCs/>
        </w:rPr>
        <w:t xml:space="preserve">The </w:t>
      </w:r>
      <w:r>
        <w:rPr>
          <w:b/>
          <w:bCs/>
        </w:rPr>
        <w:t>switching</w:t>
      </w:r>
      <w:r>
        <w:rPr>
          <w:rFonts w:hint="eastAsia"/>
          <w:b/>
          <w:bCs/>
        </w:rPr>
        <w:t xml:space="preserve"> trigger events can be summarized as below:</w:t>
      </w:r>
    </w:p>
    <w:p>
      <w:pPr>
        <w:numPr>
          <w:ilvl w:val="255"/>
          <w:numId w:val="0"/>
        </w:numPr>
        <w:rPr>
          <w:b/>
          <w:bCs/>
        </w:rPr>
      </w:pPr>
      <w:r>
        <w:rPr>
          <w:rFonts w:hint="eastAsia"/>
          <w:b/>
          <w:bCs/>
        </w:rPr>
        <w:t>Scenario 1: periodic switching, such as paging reception, serving cell measurement.</w:t>
      </w:r>
    </w:p>
    <w:p>
      <w:pPr>
        <w:numPr>
          <w:ilvl w:val="255"/>
          <w:numId w:val="0"/>
        </w:numPr>
        <w:rPr>
          <w:b/>
          <w:bCs/>
        </w:rPr>
      </w:pPr>
      <w:r>
        <w:rPr>
          <w:rFonts w:hint="eastAsia"/>
          <w:b/>
          <w:bCs/>
        </w:rPr>
        <w:t>Scenario 2: Measurement for the cell reselection, including intra-frequency and inter-frequency.</w:t>
      </w:r>
    </w:p>
    <w:p>
      <w:pPr>
        <w:numPr>
          <w:ilvl w:val="255"/>
          <w:numId w:val="0"/>
        </w:numPr>
        <w:rPr>
          <w:b/>
          <w:bCs/>
        </w:rPr>
      </w:pPr>
      <w:r>
        <w:rPr>
          <w:rFonts w:hint="eastAsia"/>
          <w:b/>
          <w:bCs/>
        </w:rPr>
        <w:t xml:space="preserve">Scenario 3: SIB1 receiving or the Other SI receiving of the neighbor cells/Serving cell. </w:t>
      </w:r>
    </w:p>
    <w:p>
      <w:pPr>
        <w:numPr>
          <w:ilvl w:val="255"/>
          <w:numId w:val="0"/>
        </w:numPr>
        <w:rPr>
          <w:b/>
          <w:bCs/>
        </w:rPr>
      </w:pPr>
      <w:r>
        <w:rPr>
          <w:rFonts w:hint="eastAsia"/>
          <w:b/>
          <w:bCs/>
        </w:rPr>
        <w:t>Scenario 4: upper layer triggered CP plane procedure, e.g. Registration, Other MO signalling e.g.SMS. RRC triggered CP plane procedure, such as RAU</w:t>
      </w:r>
    </w:p>
    <w:p>
      <w:pPr>
        <w:numPr>
          <w:ilvl w:val="255"/>
          <w:numId w:val="0"/>
        </w:numPr>
        <w:rPr>
          <w:b/>
          <w:bCs/>
        </w:rPr>
      </w:pPr>
      <w:r>
        <w:rPr>
          <w:rFonts w:hint="eastAsia"/>
          <w:b/>
          <w:bCs/>
        </w:rPr>
        <w:t>Scenario 5: Ran/CN paging response (e.g. busy indication).</w:t>
      </w:r>
    </w:p>
    <w:p>
      <w:pPr>
        <w:numPr>
          <w:ilvl w:val="255"/>
          <w:numId w:val="0"/>
        </w:numPr>
        <w:rPr>
          <w:b/>
          <w:bCs/>
        </w:rPr>
      </w:pPr>
      <w:r>
        <w:rPr>
          <w:rFonts w:hint="eastAsia"/>
          <w:b/>
          <w:bCs/>
        </w:rPr>
        <w:t>Scenario 6: MO data/call service.</w:t>
      </w:r>
    </w:p>
    <w:p>
      <w:pPr>
        <w:rPr>
          <w:rFonts w:eastAsia="宋体"/>
        </w:rPr>
      </w:pPr>
      <w:r>
        <w:rPr>
          <w:rFonts w:hint="eastAsia" w:eastAsia="宋体"/>
        </w:rPr>
        <w:t>It</w:t>
      </w:r>
      <w:r>
        <w:rPr>
          <w:rFonts w:eastAsia="宋体"/>
        </w:rPr>
        <w:t>’</w:t>
      </w:r>
      <w:r>
        <w:rPr>
          <w:rFonts w:hint="eastAsia" w:eastAsia="宋体"/>
        </w:rPr>
        <w:t>s clear that scenarios 1/2/3 shall belong to the short-time switching (one-shot or periodic), the scenario 5 may belong to the short-time switching, the scenario 6 belong to the long-time switching, but it</w:t>
      </w:r>
      <w:r>
        <w:rPr>
          <w:rFonts w:eastAsia="宋体"/>
        </w:rPr>
        <w:t>’</w:t>
      </w:r>
      <w:r>
        <w:rPr>
          <w:rFonts w:hint="eastAsia" w:eastAsia="宋体"/>
        </w:rPr>
        <w:t>s not clear that whether scenarios 4 belong to long-time switching or one-shot short-time switching. It seems that for the scenario 4, there would be 2 ways:</w:t>
      </w:r>
    </w:p>
    <w:p>
      <w:pPr>
        <w:numPr>
          <w:ilvl w:val="0"/>
          <w:numId w:val="7"/>
        </w:numPr>
        <w:rPr>
          <w:rFonts w:eastAsia="宋体"/>
        </w:rPr>
      </w:pPr>
      <w:r>
        <w:rPr>
          <w:rFonts w:hint="eastAsia" w:eastAsia="宋体"/>
        </w:rPr>
        <w:t>Ran2 doesn</w:t>
      </w:r>
      <w:r>
        <w:rPr>
          <w:rFonts w:eastAsia="宋体"/>
        </w:rPr>
        <w:t>’</w:t>
      </w:r>
      <w:r>
        <w:rPr>
          <w:rFonts w:hint="eastAsia" w:eastAsia="宋体"/>
        </w:rPr>
        <w:t>t specify them as long-leaving trigger condition, instead, it</w:t>
      </w:r>
      <w:r>
        <w:rPr>
          <w:rFonts w:eastAsia="宋体"/>
        </w:rPr>
        <w:t>’</w:t>
      </w:r>
      <w:r>
        <w:rPr>
          <w:rFonts w:hint="eastAsia" w:eastAsia="宋体"/>
        </w:rPr>
        <w:t>s left to UE implementation;</w:t>
      </w:r>
    </w:p>
    <w:p>
      <w:pPr>
        <w:numPr>
          <w:ilvl w:val="0"/>
          <w:numId w:val="7"/>
        </w:numPr>
        <w:rPr>
          <w:rFonts w:eastAsia="宋体"/>
        </w:rPr>
      </w:pPr>
      <w:r>
        <w:rPr>
          <w:rFonts w:hint="eastAsia" w:eastAsia="宋体"/>
        </w:rPr>
        <w:t>Ran 2 specify them as the long-leaving or short one-shot short-time switching trigger condition.</w:t>
      </w:r>
    </w:p>
    <w:p>
      <w:pPr>
        <w:rPr>
          <w:rFonts w:eastAsia="宋体"/>
        </w:rPr>
      </w:pPr>
      <w:r>
        <w:rPr>
          <w:rFonts w:hint="eastAsia" w:eastAsia="宋体"/>
        </w:rPr>
        <w:t xml:space="preserve">For the triggering events in the scenario 4, the time delay may be different for the different </w:t>
      </w:r>
      <w:r>
        <w:rPr>
          <w:rFonts w:eastAsia="宋体"/>
        </w:rPr>
        <w:t>cases</w:t>
      </w:r>
      <w:r>
        <w:rPr>
          <w:rFonts w:hint="eastAsia" w:eastAsia="宋体"/>
        </w:rPr>
        <w:t>. Take the registration procedure as an example, it may be triggered by capability parameters change, or by moving to a new TAI. For the capability parameters change, the registration procedure may not involve AMF change, but for moving to a new TAI, the AMF change may be involved</w:t>
      </w:r>
      <w:r>
        <w:rPr>
          <w:rFonts w:eastAsia="宋体"/>
        </w:rPr>
        <w:t xml:space="preserve"> then more delay was required</w:t>
      </w:r>
      <w:r>
        <w:rPr>
          <w:rFonts w:hint="eastAsia" w:eastAsia="宋体"/>
        </w:rPr>
        <w:t xml:space="preserve">. </w:t>
      </w:r>
    </w:p>
    <w:p>
      <w:pPr>
        <w:rPr>
          <w:rFonts w:eastAsia="宋体"/>
        </w:rPr>
      </w:pPr>
      <w:r>
        <w:rPr>
          <w:rFonts w:hint="eastAsia" w:eastAsia="宋体"/>
        </w:rPr>
        <w:t>Furthermore, whether ad</w:t>
      </w:r>
      <w:r>
        <w:rPr>
          <w:rFonts w:eastAsia="宋体"/>
        </w:rPr>
        <w:t>o</w:t>
      </w:r>
      <w:r>
        <w:rPr>
          <w:rFonts w:hint="eastAsia" w:eastAsia="宋体"/>
        </w:rPr>
        <w:t xml:space="preserve">pt long leaving </w:t>
      </w:r>
      <w:r>
        <w:rPr>
          <w:rFonts w:eastAsia="宋体"/>
        </w:rPr>
        <w:t>also depends</w:t>
      </w:r>
      <w:r>
        <w:rPr>
          <w:rFonts w:hint="eastAsia" w:eastAsia="宋体"/>
        </w:rPr>
        <w:t xml:space="preserve"> the ongoing serving type of the network A, for the case that there are only non-GBR bearer on the network A, the UE may adopt long-leaving procedure, otherwise, adopt short-time switching procedure to keep the connection as much as possible.</w:t>
      </w:r>
    </w:p>
    <w:p>
      <w:pPr>
        <w:numPr>
          <w:ilvl w:val="255"/>
          <w:numId w:val="0"/>
        </w:numPr>
        <w:rPr>
          <w:b/>
          <w:bCs/>
        </w:rPr>
      </w:pPr>
      <w:r>
        <w:rPr>
          <w:rFonts w:hint="eastAsia"/>
          <w:b/>
          <w:bCs/>
        </w:rPr>
        <w:t>Proposal 1: Scenarios 1/2/3 shall belong to the short-time switching (one-shot or periodic), the scenario 5 belong</w:t>
      </w:r>
      <w:r>
        <w:rPr>
          <w:b/>
          <w:bCs/>
        </w:rPr>
        <w:t>s</w:t>
      </w:r>
      <w:r>
        <w:rPr>
          <w:rFonts w:hint="eastAsia"/>
          <w:b/>
          <w:bCs/>
        </w:rPr>
        <w:t xml:space="preserve"> to the short-time switching, the scenario 6 belong to the long-time switching.</w:t>
      </w:r>
    </w:p>
    <w:p>
      <w:pPr>
        <w:numPr>
          <w:ilvl w:val="255"/>
          <w:numId w:val="0"/>
        </w:numPr>
        <w:rPr>
          <w:b/>
          <w:bCs/>
        </w:rPr>
      </w:pPr>
      <w:r>
        <w:rPr>
          <w:rFonts w:hint="eastAsia"/>
          <w:b/>
          <w:bCs/>
        </w:rPr>
        <w:t>Proposal 2: For the scenario 4, Ran2 doesn</w:t>
      </w:r>
      <w:r>
        <w:rPr>
          <w:b/>
          <w:bCs/>
        </w:rPr>
        <w:t>’</w:t>
      </w:r>
      <w:r>
        <w:rPr>
          <w:rFonts w:hint="eastAsia"/>
          <w:b/>
          <w:bCs/>
        </w:rPr>
        <w:t>t specify them as long-leaving</w:t>
      </w:r>
      <w:r>
        <w:rPr>
          <w:b/>
          <w:bCs/>
        </w:rPr>
        <w:t xml:space="preserve"> or short-leaving</w:t>
      </w:r>
      <w:r>
        <w:rPr>
          <w:rFonts w:hint="eastAsia"/>
          <w:b/>
          <w:bCs/>
        </w:rPr>
        <w:t xml:space="preserve"> trigger event, instead, it</w:t>
      </w:r>
      <w:r>
        <w:rPr>
          <w:b/>
          <w:bCs/>
        </w:rPr>
        <w:t>’</w:t>
      </w:r>
      <w:r>
        <w:rPr>
          <w:rFonts w:hint="eastAsia"/>
          <w:b/>
          <w:bCs/>
        </w:rPr>
        <w:t>s left to UE implementation.</w:t>
      </w:r>
    </w:p>
    <w:p>
      <w:pPr>
        <w:pStyle w:val="4"/>
        <w:numPr>
          <w:ilvl w:val="2"/>
          <w:numId w:val="0"/>
        </w:numPr>
        <w:rPr>
          <w:b w:val="0"/>
          <w:bCs w:val="0"/>
          <w:sz w:val="28"/>
          <w:szCs w:val="28"/>
          <w:lang w:val="en-US"/>
        </w:rPr>
      </w:pPr>
      <w:r>
        <w:rPr>
          <w:rFonts w:hint="eastAsia"/>
          <w:b w:val="0"/>
          <w:bCs w:val="0"/>
          <w:sz w:val="28"/>
          <w:szCs w:val="28"/>
          <w:lang w:val="en-US"/>
        </w:rPr>
        <w:t xml:space="preserve">2.1.2 Long-time switching </w:t>
      </w:r>
    </w:p>
    <w:p>
      <w:pPr>
        <w:rPr>
          <w:rFonts w:eastAsia="宋体"/>
        </w:rPr>
      </w:pPr>
      <w:r>
        <w:rPr>
          <w:rFonts w:hint="eastAsia"/>
        </w:rPr>
        <w:t xml:space="preserve">About the long-time switching procedure, as many companies suggest in the email discussion, whether to adopt NAS or AS signaling shall be discussed first. On the long-time switching type, </w:t>
      </w:r>
      <w:r>
        <w:rPr>
          <w:rFonts w:hint="eastAsia" w:eastAsia="宋体"/>
        </w:rPr>
        <w:t>SA2 has defined some assistance information for the MT restriction as below in [2]:</w:t>
      </w:r>
    </w:p>
    <w:p>
      <w:pPr>
        <w:pStyle w:val="124"/>
        <w:ind w:left="820" w:hanging="400"/>
      </w:pPr>
      <w:r>
        <w:t>-</w:t>
      </w:r>
      <w:r>
        <w:tab/>
      </w:r>
      <w:r>
        <w:t>An indication that the UE should only be paged for voice (MMTel voice or CS domain voice (for EPS)), or</w:t>
      </w:r>
    </w:p>
    <w:p>
      <w:pPr>
        <w:pStyle w:val="124"/>
        <w:ind w:left="820" w:hanging="400"/>
        <w:rPr>
          <w:lang w:eastAsia="zh-CN"/>
        </w:rPr>
      </w:pPr>
      <w:r>
        <w:t>-</w:t>
      </w:r>
      <w:r>
        <w:tab/>
      </w:r>
      <w:r>
        <w:t>An indication that the UE should not be paged at all, or</w:t>
      </w:r>
    </w:p>
    <w:p>
      <w:pPr>
        <w:pStyle w:val="124"/>
        <w:ind w:left="820" w:hanging="400"/>
      </w:pPr>
      <w:r>
        <w:t>-</w:t>
      </w:r>
      <w:r>
        <w:tab/>
      </w:r>
      <w:r>
        <w:t>PDN connection(s) for MT notification/paging restriction.</w:t>
      </w:r>
    </w:p>
    <w:p>
      <w:pPr>
        <w:rPr>
          <w:rFonts w:eastAsia="宋体"/>
          <w:b/>
          <w:bCs/>
        </w:rPr>
      </w:pPr>
      <w:r>
        <w:rPr>
          <w:rFonts w:hint="eastAsia"/>
          <w:b/>
          <w:bCs/>
        </w:rPr>
        <w:t xml:space="preserve">Observation 2: </w:t>
      </w:r>
      <w:r>
        <w:rPr>
          <w:rFonts w:hint="eastAsia" w:eastAsia="宋体"/>
          <w:b/>
          <w:bCs/>
        </w:rPr>
        <w:t>SA2 has defined some assistance information for the MT restriction as below in 23761:</w:t>
      </w:r>
    </w:p>
    <w:p>
      <w:pPr>
        <w:pStyle w:val="124"/>
        <w:ind w:left="820" w:hanging="400"/>
        <w:rPr>
          <w:b/>
          <w:bCs/>
        </w:rPr>
      </w:pPr>
      <w:r>
        <w:rPr>
          <w:b/>
          <w:bCs/>
        </w:rPr>
        <w:t>-</w:t>
      </w:r>
      <w:r>
        <w:rPr>
          <w:b/>
          <w:bCs/>
        </w:rPr>
        <w:tab/>
      </w:r>
      <w:r>
        <w:rPr>
          <w:b/>
          <w:bCs/>
        </w:rPr>
        <w:t>An indication that the UE should only be paged for voice (MMTel voice or CS domain voice (for EPS)), or</w:t>
      </w:r>
    </w:p>
    <w:p>
      <w:pPr>
        <w:pStyle w:val="124"/>
        <w:ind w:left="820" w:hanging="400"/>
        <w:rPr>
          <w:b/>
          <w:bCs/>
          <w:lang w:eastAsia="zh-CN"/>
        </w:rPr>
      </w:pPr>
      <w:r>
        <w:rPr>
          <w:b/>
          <w:bCs/>
        </w:rPr>
        <w:t>-</w:t>
      </w:r>
      <w:r>
        <w:rPr>
          <w:b/>
          <w:bCs/>
        </w:rPr>
        <w:tab/>
      </w:r>
      <w:r>
        <w:rPr>
          <w:b/>
          <w:bCs/>
        </w:rPr>
        <w:t>An indication that the UE should not be paged at all, or</w:t>
      </w:r>
    </w:p>
    <w:p>
      <w:pPr>
        <w:pStyle w:val="124"/>
        <w:ind w:left="820" w:hanging="400"/>
        <w:rPr>
          <w:b/>
          <w:bCs/>
        </w:rPr>
      </w:pPr>
      <w:r>
        <w:rPr>
          <w:b/>
          <w:bCs/>
        </w:rPr>
        <w:t>-</w:t>
      </w:r>
      <w:r>
        <w:rPr>
          <w:b/>
          <w:bCs/>
        </w:rPr>
        <w:tab/>
      </w:r>
      <w:r>
        <w:rPr>
          <w:b/>
          <w:bCs/>
        </w:rPr>
        <w:t>PDN connection(s) for MT notification/paging restriction.</w:t>
      </w:r>
    </w:p>
    <w:p>
      <w:r>
        <w:rPr>
          <w:rFonts w:hint="eastAsia"/>
        </w:rPr>
        <w:t>Based on this assistance information, the procedures for the NAS signaling based and the AS signaling based scheme were shown in Fig 1a/1b respectively.</w:t>
      </w:r>
    </w:p>
    <w:p>
      <w:pPr>
        <w:jc w:val="center"/>
      </w:pPr>
      <w:r>
        <w:object>
          <v:shape id="_x0000_i1025" o:spt="75" type="#_x0000_t75" style="height:239.1pt;width:385.8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pPr>
      <w:r>
        <w:rPr>
          <w:rFonts w:hint="eastAsia"/>
        </w:rPr>
        <w:t>Fig 1a: NAS signaling based long-leaving procedure</w:t>
      </w:r>
    </w:p>
    <w:p/>
    <w:p>
      <w:pPr>
        <w:jc w:val="center"/>
      </w:pPr>
      <w:r>
        <w:object>
          <v:shape id="_x0000_i1026" o:spt="75" type="#_x0000_t75" style="height:207.85pt;width:392.6pt;" o:ole="t" filled="f" o:preferrelative="t" stroked="f" coordsize="21600,21600">
            <v:path/>
            <v:fill on="f" focussize="0,0"/>
            <v:stroke on="f" joinstyle="miter"/>
            <v:imagedata r:id="rId10" o:title=""/>
            <o:lock v:ext="edit" aspectratio="f"/>
            <w10:wrap type="none"/>
            <w10:anchorlock/>
          </v:shape>
          <o:OLEObject Type="Embed" ProgID="Visio.Drawing.15" ShapeID="_x0000_i1026" DrawAspect="Content" ObjectID="_1468075726" r:id="rId9">
            <o:LockedField>false</o:LockedField>
          </o:OLEObject>
        </w:object>
      </w:r>
    </w:p>
    <w:p>
      <w:pPr>
        <w:jc w:val="center"/>
      </w:pPr>
      <w:r>
        <w:rPr>
          <w:rFonts w:hint="eastAsia"/>
        </w:rPr>
        <w:t>Fig 1b: AS signaling based long-leaving procedure</w:t>
      </w:r>
    </w:p>
    <w:p>
      <w:r>
        <w:rPr>
          <w:rFonts w:hint="eastAsia"/>
        </w:rPr>
        <w:t xml:space="preserve">From the Fig1b, we can see that if adopt As signaling, the UE need to map the NAS assistance information into AS information. Otherwise, the AS signaling shall include a NAS message container to include the MT restriction information, which would be similar to a NAS signaling based scheme. </w:t>
      </w:r>
      <w:r>
        <w:rPr>
          <w:rFonts w:hint="eastAsia" w:eastAsia="宋体"/>
        </w:rPr>
        <w:t>Thus, we think for the long-time switching, it</w:t>
      </w:r>
      <w:r>
        <w:rPr>
          <w:rFonts w:eastAsia="宋体"/>
        </w:rPr>
        <w:t>’</w:t>
      </w:r>
      <w:r>
        <w:rPr>
          <w:rFonts w:hint="eastAsia" w:eastAsia="宋体"/>
        </w:rPr>
        <w:t>s better to adopt a NAS signaling</w:t>
      </w:r>
      <w:r>
        <w:rPr>
          <w:rFonts w:eastAsia="宋体"/>
        </w:rPr>
        <w:t xml:space="preserve"> based scheme</w:t>
      </w:r>
      <w:r>
        <w:rPr>
          <w:rFonts w:hint="eastAsia" w:eastAsia="宋体"/>
        </w:rPr>
        <w:t>.</w:t>
      </w:r>
    </w:p>
    <w:p>
      <w:pPr>
        <w:rPr>
          <w:b/>
          <w:bCs/>
        </w:rPr>
      </w:pPr>
      <w:r>
        <w:rPr>
          <w:rFonts w:hint="eastAsia"/>
          <w:b/>
          <w:bCs/>
        </w:rPr>
        <w:t>Observation 3: If adopt As signaling, the UE need to map the NAS assistance information into AS information, otherwise, the AS signaling shall include a NAS message container to include the MT restriction information, which would be similar to a NAS signaling based scheme.</w:t>
      </w:r>
    </w:p>
    <w:p>
      <w:pPr>
        <w:rPr>
          <w:b/>
          <w:bCs/>
        </w:rPr>
      </w:pPr>
      <w:r>
        <w:rPr>
          <w:rFonts w:hint="eastAsia"/>
          <w:b/>
          <w:bCs/>
        </w:rPr>
        <w:t>Proposal 3: Adopt NAS signaling for the long-time switching.</w:t>
      </w:r>
    </w:p>
    <w:p>
      <w:r>
        <w:rPr>
          <w:rFonts w:hint="eastAsia"/>
        </w:rPr>
        <w:t>The other issue is about whether the UE need to indicate the preferred state. Though in the email discussion many companies agree to include preferred state in the switching notification message, we think it</w:t>
      </w:r>
      <w:r>
        <w:t>’</w:t>
      </w:r>
      <w:r>
        <w:rPr>
          <w:rFonts w:hint="eastAsia"/>
        </w:rPr>
        <w:t>s only available for the RRC signaling based scheme. For the NAS signaling based scheme, the network can distinguish the long-time switching from the short-time switching, also as many companies suggested it shall left to the network to determine Idle/Inactive state. Furthermore, it will also increase the complexity to include a RRC state in a NAS message.</w:t>
      </w:r>
    </w:p>
    <w:p>
      <w:pPr>
        <w:rPr>
          <w:b/>
          <w:bCs/>
        </w:rPr>
      </w:pPr>
      <w:r>
        <w:rPr>
          <w:rFonts w:hint="eastAsia"/>
          <w:b/>
          <w:bCs/>
        </w:rPr>
        <w:t>Proposal 4: Network determine Idle/Inactive state, no need to indicate the preferred state for the NAS signaling based scheme.</w:t>
      </w:r>
    </w:p>
    <w:p>
      <w:pPr>
        <w:pStyle w:val="4"/>
        <w:numPr>
          <w:ilvl w:val="2"/>
          <w:numId w:val="0"/>
        </w:numPr>
        <w:rPr>
          <w:b w:val="0"/>
          <w:bCs w:val="0"/>
          <w:sz w:val="28"/>
          <w:szCs w:val="28"/>
          <w:lang w:val="en-US"/>
        </w:rPr>
      </w:pPr>
      <w:r>
        <w:rPr>
          <w:rFonts w:hint="eastAsia"/>
          <w:b w:val="0"/>
          <w:bCs w:val="0"/>
          <w:sz w:val="28"/>
          <w:szCs w:val="28"/>
          <w:lang w:val="en-US"/>
        </w:rPr>
        <w:t xml:space="preserve">2.1.3 Short-time switching </w:t>
      </w:r>
    </w:p>
    <w:p>
      <w:r>
        <w:rPr>
          <w:rFonts w:hint="eastAsia"/>
        </w:rPr>
        <w:t>Per email discussion, the short-time switching procedure can be used for the switching notification procedure which keeps the UE in RRC_CONNECTED in network A after sending switching notification to network A. The short-time switching can be further divided into periodic short-time switching and one-shot short-time switching. In this chapter we first analyze which scenarios belong to the periodic short-time switching and which ones belong to the one-shot short-time switching.</w:t>
      </w:r>
    </w:p>
    <w:p>
      <w:r>
        <w:rPr>
          <w:rFonts w:hint="eastAsia"/>
        </w:rPr>
        <w:t>According to chapter 2.1.1, the scenarios below may trigger short-time switching:</w:t>
      </w:r>
    </w:p>
    <w:p>
      <w:pPr>
        <w:numPr>
          <w:ilvl w:val="0"/>
          <w:numId w:val="8"/>
        </w:numPr>
      </w:pPr>
      <w:r>
        <w:rPr>
          <w:rFonts w:hint="eastAsia"/>
        </w:rPr>
        <w:t>Scenario 1: periodic switching, such as paging reception, serving cell measurement.</w:t>
      </w:r>
    </w:p>
    <w:p>
      <w:pPr>
        <w:numPr>
          <w:ilvl w:val="0"/>
          <w:numId w:val="8"/>
        </w:numPr>
      </w:pPr>
      <w:r>
        <w:rPr>
          <w:rFonts w:hint="eastAsia"/>
        </w:rPr>
        <w:t>Scenario 2: Measurement for the cell reselection, including intra-frequency and inter-frequency inter-RAT.</w:t>
      </w:r>
    </w:p>
    <w:p>
      <w:pPr>
        <w:numPr>
          <w:ilvl w:val="0"/>
          <w:numId w:val="8"/>
        </w:numPr>
      </w:pPr>
      <w:r>
        <w:rPr>
          <w:rFonts w:hint="eastAsia"/>
        </w:rPr>
        <w:t xml:space="preserve">Scenario 3: SIB1 receiving or the Other SI receiving of the neighbor cells/Serving cell. </w:t>
      </w:r>
    </w:p>
    <w:p>
      <w:pPr>
        <w:numPr>
          <w:ilvl w:val="0"/>
          <w:numId w:val="8"/>
        </w:numPr>
      </w:pPr>
      <w:r>
        <w:rPr>
          <w:rFonts w:hint="eastAsia"/>
        </w:rPr>
        <w:t>Scenario 4: upper layer triggered CP plane procedure, e.g. Registration</w:t>
      </w:r>
      <w:r>
        <w:t xml:space="preserve">. </w:t>
      </w:r>
      <w:r>
        <w:rPr>
          <w:rFonts w:hint="eastAsia"/>
        </w:rPr>
        <w:t>Other MO signalling e.g.SMS. RRC triggered CP plane procedure, such as RAU (FFS)</w:t>
      </w:r>
    </w:p>
    <w:p>
      <w:pPr>
        <w:numPr>
          <w:ilvl w:val="0"/>
          <w:numId w:val="8"/>
        </w:numPr>
      </w:pPr>
      <w:r>
        <w:rPr>
          <w:rFonts w:hint="eastAsia"/>
        </w:rPr>
        <w:t>Scenario 5: Ran/CN paging response (e.g. busy indication).</w:t>
      </w:r>
    </w:p>
    <w:p>
      <w:r>
        <w:rPr>
          <w:rFonts w:hint="eastAsia"/>
        </w:rPr>
        <w:t xml:space="preserve">Obviously, scenarios 3/4/5 belong to the one-short-time switching, and the paging detection of the scenario 1 belongs to the periodic. </w:t>
      </w:r>
    </w:p>
    <w:p>
      <w:pPr>
        <w:rPr>
          <w:b/>
          <w:bCs/>
        </w:rPr>
      </w:pPr>
      <w:r>
        <w:rPr>
          <w:rFonts w:hint="eastAsia"/>
          <w:b/>
          <w:bCs/>
        </w:rPr>
        <w:t>Proposal 5: The paging detection of Scenario 1 belongs to the periodic short-time switching, scenarios 3/4/5 belong to the one-short-time switching.</w:t>
      </w:r>
    </w:p>
    <w:p>
      <w:r>
        <w:rPr>
          <w:rFonts w:hint="eastAsia"/>
        </w:rPr>
        <w:t>For the serving cell measurement in the scenario 1, according to the requirements of the 38133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b/>
                <w:bCs/>
                <w:lang w:eastAsia="en-US"/>
              </w:rPr>
            </w:pPr>
            <w:r>
              <w:rPr>
                <w:rFonts w:hint="eastAsia"/>
                <w:b/>
                <w:bCs/>
                <w:lang w:eastAsia="en-US"/>
              </w:rPr>
              <w:t xml:space="preserve">38133 </w:t>
            </w:r>
            <w:r>
              <w:rPr>
                <w:b/>
                <w:bCs/>
                <w:lang w:eastAsia="en-US"/>
              </w:rPr>
              <w:t>4.2.2.2</w:t>
            </w:r>
            <w:r>
              <w:rPr>
                <w:b/>
                <w:bCs/>
                <w:lang w:eastAsia="en-US"/>
              </w:rPr>
              <w:tab/>
            </w:r>
            <w:r>
              <w:rPr>
                <w:b/>
                <w:bCs/>
                <w:lang w:eastAsia="en-US"/>
              </w:rPr>
              <w:t>Measurement and evaluation of serving cell</w:t>
            </w:r>
          </w:p>
          <w:p>
            <w:pPr>
              <w:rPr>
                <w:rFonts w:cs="v4.2.0"/>
                <w:lang w:eastAsia="en-US"/>
              </w:rPr>
            </w:pPr>
            <w:r>
              <w:rPr>
                <w:rFonts w:cs="v4.2.0"/>
                <w:lang w:eastAsia="en-US"/>
              </w:rPr>
              <w:t xml:space="preserve">The UE shall measure the SS-RSRP and SS-RSRQ level of the serving cell and evaluate the cell selection criterion S defined in </w:t>
            </w:r>
            <w:r>
              <w:rPr>
                <w:lang w:eastAsia="en-US"/>
              </w:rPr>
              <w:t>TS 38.304</w:t>
            </w:r>
            <w:r>
              <w:rPr>
                <w:rFonts w:cs="v4.2.0"/>
                <w:lang w:eastAsia="en-US"/>
              </w:rPr>
              <w:t> [1] for the serving cell at least once every M1*N1 DRX cycle; where:</w:t>
            </w:r>
          </w:p>
          <w:p>
            <w:pPr>
              <w:ind w:left="284"/>
              <w:rPr>
                <w:rFonts w:cs="v4.2.0"/>
                <w:lang w:eastAsia="en-US"/>
              </w:rPr>
            </w:pPr>
            <w:r>
              <w:rPr>
                <w:rFonts w:cs="v4.2.0"/>
                <w:lang w:eastAsia="en-US"/>
              </w:rPr>
              <w:t>M1=2 if SMTC periodicity (T</w:t>
            </w:r>
            <w:r>
              <w:rPr>
                <w:rFonts w:cs="v4.2.0"/>
                <w:vertAlign w:val="subscript"/>
                <w:lang w:eastAsia="en-US"/>
              </w:rPr>
              <w:t>SMTC</w:t>
            </w:r>
            <w:r>
              <w:rPr>
                <w:rFonts w:cs="v4.2.0"/>
                <w:lang w:eastAsia="en-US"/>
              </w:rPr>
              <w:t xml:space="preserve">) </w:t>
            </w:r>
            <w:r>
              <w:rPr>
                <w:lang w:eastAsia="en-US"/>
              </w:rPr>
              <w:t>&gt;</w:t>
            </w:r>
            <w:r>
              <w:rPr>
                <w:rFonts w:cs="v4.2.0"/>
                <w:lang w:eastAsia="en-US"/>
              </w:rPr>
              <w:t xml:space="preserve"> 20 ms and DRX cycle </w:t>
            </w:r>
            <w:r>
              <w:rPr>
                <w:rFonts w:hint="eastAsia"/>
                <w:lang w:eastAsia="en-US"/>
              </w:rPr>
              <w:t>≤</w:t>
            </w:r>
            <w:r>
              <w:rPr>
                <w:rFonts w:cs="v4.2.0"/>
                <w:lang w:eastAsia="en-US"/>
              </w:rPr>
              <w:t xml:space="preserve"> 0.64 second,</w:t>
            </w:r>
          </w:p>
          <w:p>
            <w:pPr>
              <w:ind w:left="284"/>
              <w:rPr>
                <w:rFonts w:cs="v4.2.0"/>
                <w:lang w:eastAsia="en-US"/>
              </w:rPr>
            </w:pPr>
            <w:r>
              <w:rPr>
                <w:rFonts w:cs="v4.2.0"/>
                <w:lang w:eastAsia="en-US"/>
              </w:rPr>
              <w:t>otherwise M1=1.</w:t>
            </w:r>
          </w:p>
          <w:p>
            <w:pPr>
              <w:rPr>
                <w:lang w:eastAsia="en-US"/>
              </w:rPr>
            </w:pPr>
            <w:r>
              <w:rPr>
                <w:rFonts w:cs="v4.2.0"/>
                <w:lang w:eastAsia="en-US"/>
              </w:rPr>
              <w:t>The UE shall filter the SS-RSRP and SS-RSRQ measurements of the serving cell using at least 2 measurements. Within the set of measurements used for the filtering, at least two measurements shall be spaced by, at least DRX cycle/2.</w:t>
            </w:r>
          </w:p>
        </w:tc>
      </w:tr>
    </w:tbl>
    <w:p>
      <w:r>
        <w:rPr>
          <w:rFonts w:hint="eastAsia"/>
        </w:rPr>
        <w:t>Thus the measurement for the serving cell can also be seen as periodic events, thus the periodic short-time switching is also needed.</w:t>
      </w:r>
    </w:p>
    <w:p>
      <w:pPr>
        <w:rPr>
          <w:b/>
          <w:bCs/>
        </w:rPr>
      </w:pPr>
      <w:r>
        <w:rPr>
          <w:rFonts w:hint="eastAsia"/>
          <w:b/>
          <w:bCs/>
        </w:rPr>
        <w:t>Proposal 6: The measurement for the serving cell in the scenarios 1 can be seen as periodic events and the periodic short-time switching is needed.</w:t>
      </w:r>
    </w:p>
    <w:p>
      <w:r>
        <w:rPr>
          <w:rFonts w:hint="eastAsia" w:eastAsia="宋体"/>
        </w:rPr>
        <w:t>But it</w:t>
      </w:r>
      <w:r>
        <w:rPr>
          <w:rFonts w:eastAsia="宋体"/>
        </w:rPr>
        <w:t>’</w:t>
      </w:r>
      <w:r>
        <w:rPr>
          <w:rFonts w:hint="eastAsia" w:eastAsia="宋体"/>
        </w:rPr>
        <w:t xml:space="preserve">s not clear whether the scenario 2 belongs to the periodic or one short. According to the reselection requirement in the 38133, it seems also have periodic attributes. Take the intra-frequency reselection as an example, once </w:t>
      </w:r>
      <w:r>
        <w:t>the serving cell fulfils Srxlev</w:t>
      </w:r>
      <w:r>
        <w:rPr>
          <w:rFonts w:hint="eastAsia"/>
        </w:rPr>
        <w:t xml:space="preserve"> ≤</w:t>
      </w:r>
      <w:r>
        <w:t xml:space="preserve"> S</w:t>
      </w:r>
      <w:r>
        <w:rPr>
          <w:vertAlign w:val="subscript"/>
        </w:rPr>
        <w:t>IntraSearchP</w:t>
      </w:r>
      <w:r>
        <w:t xml:space="preserve"> </w:t>
      </w:r>
      <w:r>
        <w:rPr>
          <w:rFonts w:hint="eastAsia"/>
        </w:rPr>
        <w:t>or</w:t>
      </w:r>
      <w:r>
        <w:t xml:space="preserve"> Squal </w:t>
      </w:r>
      <w:r>
        <w:rPr>
          <w:rFonts w:hint="eastAsia"/>
        </w:rPr>
        <w:t>≤</w:t>
      </w:r>
      <w:r>
        <w:t xml:space="preserve"> S</w:t>
      </w:r>
      <w:r>
        <w:rPr>
          <w:vertAlign w:val="subscript"/>
        </w:rPr>
        <w:t>IntraSearch</w:t>
      </w:r>
      <w:r>
        <w:rPr>
          <w:rFonts w:hint="eastAsia"/>
          <w:vertAlign w:val="subscript"/>
        </w:rPr>
        <w:t xml:space="preserve">, </w:t>
      </w:r>
      <w:r>
        <w:rPr>
          <w:rFonts w:hint="eastAsia" w:eastAsia="宋体"/>
        </w:rPr>
        <w:t>the UE s</w:t>
      </w:r>
      <w:r>
        <w:t>hall perform intra-frequency measurements</w:t>
      </w:r>
      <w:r>
        <w:rPr>
          <w:rFonts w:hint="eastAsia"/>
        </w:rPr>
        <w:t xml:space="preserve"> according to the requirements in 38.133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eastAsia="宋体"/>
                <w:lang w:eastAsia="en-US"/>
              </w:rPr>
            </w:pPr>
            <w:r>
              <w:rPr>
                <w:lang w:eastAsia="en-US"/>
              </w:rPr>
              <w:t>The UE shall be able to evaluate whether a newly detectable intra-frequency cell meets the reselection criteria defined in TS38.304 [1] within T</w:t>
            </w:r>
            <w:r>
              <w:rPr>
                <w:vertAlign w:val="subscript"/>
                <w:lang w:eastAsia="en-US"/>
              </w:rPr>
              <w:t>detect,NR_Intra</w:t>
            </w:r>
            <w:r>
              <w:rPr>
                <w:i/>
                <w:vertAlign w:val="subscript"/>
                <w:lang w:eastAsia="en-US"/>
              </w:rPr>
              <w:t xml:space="preserve"> </w:t>
            </w:r>
            <w:r>
              <w:rPr>
                <w:lang w:eastAsia="en-US"/>
              </w:rPr>
              <w:t>when that Treselection= 0</w:t>
            </w:r>
            <w:r>
              <w:rPr>
                <w:i/>
                <w:vertAlign w:val="subscript"/>
                <w:lang w:eastAsia="en-US"/>
              </w:rPr>
              <w:t xml:space="preserve"> </w:t>
            </w:r>
            <w:r>
              <w:rPr>
                <w:lang w:eastAsia="en-US"/>
              </w:rPr>
              <w:t xml:space="preserve">. </w:t>
            </w:r>
            <w:bookmarkStart w:id="2" w:name="_Hlk45202889"/>
            <w:r>
              <w:rPr>
                <w:rFonts w:cs="v4.2.0"/>
                <w:lang w:eastAsia="en-US"/>
              </w:rPr>
              <w:t>The UE shall measure SS-RSRP and SS-RSRQ at least every T</w:t>
            </w:r>
            <w:r>
              <w:rPr>
                <w:rFonts w:cs="v4.2.0"/>
                <w:vertAlign w:val="subscript"/>
                <w:lang w:eastAsia="en-US"/>
              </w:rPr>
              <w:t>measure,NR_Intra</w:t>
            </w:r>
            <w:r>
              <w:rPr>
                <w:rFonts w:cs="v4.2.0"/>
                <w:lang w:eastAsia="en-US"/>
              </w:rPr>
              <w:t xml:space="preserve"> (see table 4.2.2.3-1 or table 4.2.2.3-2) for intra-frequency cells that are identified and measured according to the measurement rules.</w:t>
            </w:r>
            <w:bookmarkEnd w:id="2"/>
          </w:p>
        </w:tc>
      </w:tr>
    </w:tbl>
    <w:p>
      <w:pPr>
        <w:pStyle w:val="89"/>
        <w:rPr>
          <w:b w:val="0"/>
          <w:bCs/>
          <w:color w:val="auto"/>
        </w:rPr>
      </w:pPr>
      <w:r>
        <w:rPr>
          <w:b w:val="0"/>
          <w:bCs/>
          <w:color w:val="auto"/>
        </w:rPr>
        <w:t>Table 4.2.2.3-</w:t>
      </w:r>
      <w:r>
        <w:rPr>
          <w:rFonts w:hint="eastAsia" w:eastAsia="宋体"/>
          <w:b w:val="0"/>
          <w:bCs/>
          <w:color w:val="auto"/>
          <w:lang w:eastAsia="zh-CN"/>
        </w:rPr>
        <w:t>1 of 38.133</w:t>
      </w:r>
      <w:r>
        <w:rPr>
          <w:b w:val="0"/>
          <w:bCs/>
          <w:color w:val="auto"/>
        </w:rPr>
        <w:t>: T</w:t>
      </w:r>
      <w:r>
        <w:rPr>
          <w:b w:val="0"/>
          <w:bCs/>
          <w:color w:val="auto"/>
          <w:vertAlign w:val="subscript"/>
        </w:rPr>
        <w:t>detect,NR_Intra,</w:t>
      </w:r>
      <w:r>
        <w:rPr>
          <w:b w:val="0"/>
          <w:bCs/>
          <w:color w:val="auto"/>
        </w:rPr>
        <w:t xml:space="preserve"> T</w:t>
      </w:r>
      <w:r>
        <w:rPr>
          <w:b w:val="0"/>
          <w:bCs/>
          <w:color w:val="auto"/>
          <w:vertAlign w:val="subscript"/>
        </w:rPr>
        <w:t>measure,NR_Intra</w:t>
      </w:r>
      <w:r>
        <w:rPr>
          <w:b w:val="0"/>
          <w:bCs/>
          <w:color w:val="auto"/>
        </w:rPr>
        <w:t xml:space="preserve"> and T</w:t>
      </w:r>
      <w:r>
        <w:rPr>
          <w:b w:val="0"/>
          <w:bCs/>
          <w:color w:val="auto"/>
          <w:vertAlign w:val="subscript"/>
        </w:rPr>
        <w:t xml:space="preserve">evaluate,NR_Intra </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060"/>
        <w:gridCol w:w="1062"/>
        <w:gridCol w:w="2219"/>
        <w:gridCol w:w="2221"/>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04" w:type="pct"/>
            <w:tcBorders>
              <w:top w:val="single" w:color="auto" w:sz="4" w:space="0"/>
              <w:left w:val="single" w:color="auto" w:sz="4" w:space="0"/>
              <w:bottom w:val="nil"/>
              <w:right w:val="single" w:color="auto" w:sz="4" w:space="0"/>
            </w:tcBorders>
          </w:tcPr>
          <w:p>
            <w:pPr>
              <w:pStyle w:val="201"/>
              <w:rPr>
                <w:sz w:val="15"/>
                <w:szCs w:val="15"/>
              </w:rPr>
            </w:pPr>
            <w:r>
              <w:rPr>
                <w:sz w:val="15"/>
                <w:szCs w:val="15"/>
              </w:rP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Scaling Factor (N1)</w:t>
            </w:r>
          </w:p>
        </w:tc>
        <w:tc>
          <w:tcPr>
            <w:tcW w:w="1110" w:type="pct"/>
            <w:tcBorders>
              <w:top w:val="single" w:color="auto" w:sz="4" w:space="0"/>
              <w:left w:val="single" w:color="auto" w:sz="4" w:space="0"/>
              <w:bottom w:val="nil"/>
              <w:right w:val="single" w:color="auto" w:sz="4" w:space="0"/>
            </w:tcBorders>
          </w:tcPr>
          <w:p>
            <w:pPr>
              <w:pStyle w:val="201"/>
              <w:rPr>
                <w:sz w:val="15"/>
                <w:szCs w:val="15"/>
              </w:rPr>
            </w:pPr>
            <w:r>
              <w:rPr>
                <w:sz w:val="15"/>
                <w:szCs w:val="15"/>
              </w:rPr>
              <w:t>T</w:t>
            </w:r>
            <w:r>
              <w:rPr>
                <w:sz w:val="15"/>
                <w:szCs w:val="15"/>
                <w:vertAlign w:val="subscript"/>
              </w:rPr>
              <w:t>detect,NR_Intra</w:t>
            </w:r>
            <w:r>
              <w:rPr>
                <w:sz w:val="15"/>
                <w:szCs w:val="15"/>
              </w:rPr>
              <w:t xml:space="preserve"> [s] (number of DRX cycles)</w:t>
            </w:r>
          </w:p>
        </w:tc>
        <w:tc>
          <w:tcPr>
            <w:tcW w:w="1111" w:type="pct"/>
            <w:tcBorders>
              <w:top w:val="single" w:color="auto" w:sz="4" w:space="0"/>
              <w:left w:val="single" w:color="auto" w:sz="4" w:space="0"/>
              <w:bottom w:val="nil"/>
              <w:right w:val="single" w:color="auto" w:sz="4" w:space="0"/>
            </w:tcBorders>
          </w:tcPr>
          <w:p>
            <w:pPr>
              <w:pStyle w:val="201"/>
              <w:rPr>
                <w:sz w:val="15"/>
                <w:szCs w:val="15"/>
              </w:rPr>
            </w:pPr>
            <w:r>
              <w:rPr>
                <w:sz w:val="15"/>
                <w:szCs w:val="15"/>
              </w:rPr>
              <w:t>T</w:t>
            </w:r>
            <w:r>
              <w:rPr>
                <w:sz w:val="15"/>
                <w:szCs w:val="15"/>
                <w:vertAlign w:val="subscript"/>
              </w:rPr>
              <w:t>measure,NR_Intra</w:t>
            </w:r>
            <w:r>
              <w:rPr>
                <w:sz w:val="15"/>
                <w:szCs w:val="15"/>
              </w:rPr>
              <w:t xml:space="preserve"> [s] (number of DRX cycles)</w:t>
            </w:r>
          </w:p>
        </w:tc>
        <w:tc>
          <w:tcPr>
            <w:tcW w:w="1111" w:type="pct"/>
            <w:tcBorders>
              <w:top w:val="single" w:color="auto" w:sz="4" w:space="0"/>
              <w:left w:val="single" w:color="auto" w:sz="4" w:space="0"/>
              <w:bottom w:val="nil"/>
              <w:right w:val="single" w:color="auto" w:sz="4" w:space="0"/>
            </w:tcBorders>
          </w:tcPr>
          <w:p>
            <w:pPr>
              <w:pStyle w:val="201"/>
              <w:rPr>
                <w:sz w:val="15"/>
                <w:szCs w:val="15"/>
                <w:vertAlign w:val="subscript"/>
              </w:rPr>
            </w:pPr>
            <w:r>
              <w:rPr>
                <w:sz w:val="15"/>
                <w:szCs w:val="15"/>
              </w:rPr>
              <w:t>T</w:t>
            </w:r>
            <w:r>
              <w:rPr>
                <w:sz w:val="15"/>
                <w:szCs w:val="15"/>
                <w:vertAlign w:val="subscript"/>
              </w:rPr>
              <w:t>evaluate,NR_</w:t>
            </w:r>
            <w:r>
              <w:rPr>
                <w:rFonts w:cs="v4.2.0"/>
                <w:sz w:val="15"/>
                <w:szCs w:val="15"/>
                <w:vertAlign w:val="subscript"/>
              </w:rPr>
              <w:t>Intra</w:t>
            </w:r>
          </w:p>
          <w:p>
            <w:pPr>
              <w:pStyle w:val="201"/>
              <w:rPr>
                <w:sz w:val="15"/>
                <w:szCs w:val="15"/>
              </w:rPr>
            </w:pPr>
            <w:r>
              <w:rPr>
                <w:sz w:val="15"/>
                <w:szCs w:val="15"/>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0" w:type="auto"/>
            <w:tcBorders>
              <w:top w:val="nil"/>
              <w:left w:val="single" w:color="auto" w:sz="4" w:space="0"/>
              <w:bottom w:val="single" w:color="auto" w:sz="4" w:space="0"/>
              <w:right w:val="single" w:color="auto" w:sz="4" w:space="0"/>
            </w:tcBorders>
            <w:vAlign w:val="center"/>
          </w:tcPr>
          <w:p>
            <w:pPr>
              <w:pStyle w:val="201"/>
            </w:pPr>
          </w:p>
        </w:tc>
        <w:tc>
          <w:tcPr>
            <w:tcW w:w="530" w:type="pct"/>
            <w:tcBorders>
              <w:top w:val="single" w:color="auto" w:sz="4" w:space="0"/>
              <w:left w:val="single" w:color="auto" w:sz="4" w:space="0"/>
              <w:bottom w:val="single" w:color="auto" w:sz="4" w:space="0"/>
              <w:right w:val="single" w:color="auto" w:sz="4" w:space="0"/>
            </w:tcBorders>
          </w:tcPr>
          <w:p>
            <w:pPr>
              <w:pStyle w:val="201"/>
            </w:pPr>
            <w:r>
              <w:t>FR1</w:t>
            </w:r>
          </w:p>
        </w:tc>
        <w:tc>
          <w:tcPr>
            <w:tcW w:w="531" w:type="pct"/>
            <w:tcBorders>
              <w:top w:val="single" w:color="auto" w:sz="4" w:space="0"/>
              <w:left w:val="single" w:color="auto" w:sz="4" w:space="0"/>
              <w:bottom w:val="single" w:color="auto" w:sz="4" w:space="0"/>
              <w:right w:val="single" w:color="auto" w:sz="4" w:space="0"/>
            </w:tcBorders>
          </w:tcPr>
          <w:p>
            <w:pPr>
              <w:pStyle w:val="201"/>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201"/>
            </w:pPr>
          </w:p>
        </w:tc>
        <w:tc>
          <w:tcPr>
            <w:tcW w:w="1111" w:type="pct"/>
            <w:tcBorders>
              <w:top w:val="nil"/>
              <w:left w:val="single" w:color="auto" w:sz="4" w:space="0"/>
              <w:bottom w:val="single" w:color="auto" w:sz="4" w:space="0"/>
              <w:right w:val="single" w:color="auto" w:sz="4" w:space="0"/>
            </w:tcBorders>
            <w:vAlign w:val="center"/>
          </w:tcPr>
          <w:p>
            <w:pPr>
              <w:pStyle w:val="201"/>
            </w:pPr>
          </w:p>
        </w:tc>
        <w:tc>
          <w:tcPr>
            <w:tcW w:w="1111" w:type="pct"/>
            <w:tcBorders>
              <w:top w:val="nil"/>
              <w:left w:val="single" w:color="auto" w:sz="4" w:space="0"/>
              <w:bottom w:val="single" w:color="auto" w:sz="4" w:space="0"/>
              <w:right w:val="single" w:color="auto" w:sz="4" w:space="0"/>
            </w:tcBorders>
            <w:vAlign w:val="center"/>
          </w:tcPr>
          <w:p>
            <w:pPr>
              <w:pStyle w:val="2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0.32</w:t>
            </w:r>
          </w:p>
        </w:tc>
        <w:tc>
          <w:tcPr>
            <w:tcW w:w="530" w:type="pct"/>
            <w:tcBorders>
              <w:top w:val="single" w:color="auto" w:sz="4" w:space="0"/>
              <w:left w:val="single" w:color="auto" w:sz="4" w:space="0"/>
              <w:bottom w:val="nil"/>
              <w:right w:val="single" w:color="auto" w:sz="4" w:space="0"/>
            </w:tcBorders>
            <w:vAlign w:val="center"/>
          </w:tcPr>
          <w:p>
            <w:pPr>
              <w:pStyle w:val="202"/>
              <w:rPr>
                <w:szCs w:val="18"/>
              </w:rPr>
            </w:pPr>
            <w:r>
              <w:rPr>
                <w:szCs w:val="18"/>
              </w:rPr>
              <w:t>1</w:t>
            </w:r>
          </w:p>
        </w:tc>
        <w:tc>
          <w:tcPr>
            <w:tcW w:w="53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8</w:t>
            </w:r>
          </w:p>
        </w:tc>
        <w:tc>
          <w:tcPr>
            <w:tcW w:w="1110"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 xml:space="preserve">11.52 x N1 </w:t>
            </w:r>
            <w:r>
              <w:rPr>
                <w:szCs w:val="18"/>
                <w:lang w:eastAsia="zh-CN"/>
              </w:rPr>
              <w:t xml:space="preserve">x M2 </w:t>
            </w:r>
            <w:r>
              <w:rPr>
                <w:szCs w:val="18"/>
              </w:rPr>
              <w:t>(</w:t>
            </w:r>
            <w:r>
              <w:rPr>
                <w:color w:val="FF0000"/>
                <w:szCs w:val="18"/>
              </w:rPr>
              <w:t>36</w:t>
            </w:r>
            <w:r>
              <w:rPr>
                <w:szCs w:val="18"/>
              </w:rPr>
              <w:t xml:space="preserve"> x N1</w:t>
            </w:r>
            <w:r>
              <w:rPr>
                <w:szCs w:val="18"/>
                <w:lang w:eastAsia="zh-CN"/>
              </w:rPr>
              <w:t xml:space="preserve"> x M2</w:t>
            </w:r>
            <w:r>
              <w:rPr>
                <w:szCs w:val="18"/>
              </w:rPr>
              <w:t>)</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 xml:space="preserve">1.28 x N1 </w:t>
            </w:r>
            <w:r>
              <w:rPr>
                <w:szCs w:val="18"/>
                <w:lang w:eastAsia="zh-CN"/>
              </w:rPr>
              <w:t>x M2</w:t>
            </w:r>
            <w:r>
              <w:rPr>
                <w:snapToGrid w:val="0"/>
                <w:szCs w:val="18"/>
              </w:rPr>
              <w:t xml:space="preserve"> </w:t>
            </w:r>
            <w:r>
              <w:rPr>
                <w:color w:val="FF0000"/>
                <w:szCs w:val="18"/>
              </w:rPr>
              <w:t>(4</w:t>
            </w:r>
            <w:r>
              <w:rPr>
                <w:szCs w:val="18"/>
              </w:rPr>
              <w:t xml:space="preserve"> x N1</w:t>
            </w:r>
            <w:r>
              <w:rPr>
                <w:szCs w:val="18"/>
                <w:lang w:eastAsia="zh-CN"/>
              </w:rPr>
              <w:t xml:space="preserve"> x M2</w:t>
            </w:r>
            <w:r>
              <w:rPr>
                <w:szCs w:val="18"/>
              </w:rPr>
              <w:t>)</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 xml:space="preserve">5.12 x N1 </w:t>
            </w:r>
            <w:r>
              <w:rPr>
                <w:szCs w:val="18"/>
                <w:lang w:eastAsia="zh-CN"/>
              </w:rPr>
              <w:t>x M2</w:t>
            </w:r>
            <w:r>
              <w:rPr>
                <w:snapToGrid w:val="0"/>
                <w:szCs w:val="18"/>
              </w:rPr>
              <w:t xml:space="preserve"> </w:t>
            </w:r>
            <w:r>
              <w:rPr>
                <w:szCs w:val="18"/>
              </w:rPr>
              <w:t>(16 x N1</w:t>
            </w:r>
            <w:r>
              <w:rPr>
                <w:szCs w:val="18"/>
                <w:lang w:eastAsia="zh-CN"/>
              </w:rPr>
              <w:t xml:space="preserve"> x M2</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0.64</w:t>
            </w:r>
          </w:p>
        </w:tc>
        <w:tc>
          <w:tcPr>
            <w:tcW w:w="0" w:type="auto"/>
            <w:tcBorders>
              <w:top w:val="nil"/>
              <w:left w:val="single" w:color="auto" w:sz="4" w:space="0"/>
              <w:bottom w:val="nil"/>
              <w:right w:val="single" w:color="auto" w:sz="4" w:space="0"/>
            </w:tcBorders>
            <w:vAlign w:val="center"/>
          </w:tcPr>
          <w:p>
            <w:pPr>
              <w:pStyle w:val="202"/>
              <w:rPr>
                <w:szCs w:val="18"/>
              </w:rPr>
            </w:pPr>
          </w:p>
        </w:tc>
        <w:tc>
          <w:tcPr>
            <w:tcW w:w="53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5</w:t>
            </w:r>
          </w:p>
        </w:tc>
        <w:tc>
          <w:tcPr>
            <w:tcW w:w="1110"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17.92 x N1 (28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1.28 x N1 (2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1.28</w:t>
            </w:r>
          </w:p>
        </w:tc>
        <w:tc>
          <w:tcPr>
            <w:tcW w:w="0" w:type="auto"/>
            <w:tcBorders>
              <w:top w:val="nil"/>
              <w:left w:val="single" w:color="auto" w:sz="4" w:space="0"/>
              <w:bottom w:val="nil"/>
              <w:right w:val="single" w:color="auto" w:sz="4" w:space="0"/>
            </w:tcBorders>
            <w:vAlign w:val="center"/>
          </w:tcPr>
          <w:p>
            <w:pPr>
              <w:pStyle w:val="202"/>
              <w:rPr>
                <w:szCs w:val="18"/>
              </w:rPr>
            </w:pPr>
          </w:p>
        </w:tc>
        <w:tc>
          <w:tcPr>
            <w:tcW w:w="53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4</w:t>
            </w:r>
          </w:p>
        </w:tc>
        <w:tc>
          <w:tcPr>
            <w:tcW w:w="1110"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32 x N1 (25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1.28 x N1 (1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2.56</w:t>
            </w:r>
          </w:p>
        </w:tc>
        <w:tc>
          <w:tcPr>
            <w:tcW w:w="0" w:type="auto"/>
            <w:tcBorders>
              <w:top w:val="nil"/>
              <w:left w:val="single" w:color="auto" w:sz="4" w:space="0"/>
              <w:bottom w:val="single" w:color="auto" w:sz="4" w:space="0"/>
              <w:right w:val="single" w:color="auto" w:sz="4" w:space="0"/>
            </w:tcBorders>
            <w:vAlign w:val="center"/>
          </w:tcPr>
          <w:p>
            <w:pPr>
              <w:pStyle w:val="202"/>
              <w:rPr>
                <w:szCs w:val="18"/>
              </w:rPr>
            </w:pPr>
          </w:p>
        </w:tc>
        <w:tc>
          <w:tcPr>
            <w:tcW w:w="531" w:type="pct"/>
            <w:tcBorders>
              <w:top w:val="single" w:color="auto" w:sz="4" w:space="0"/>
              <w:left w:val="single" w:color="auto" w:sz="4" w:space="0"/>
              <w:bottom w:val="single" w:color="auto" w:sz="4" w:space="0"/>
              <w:right w:val="single" w:color="auto" w:sz="4" w:space="0"/>
            </w:tcBorders>
          </w:tcPr>
          <w:p>
            <w:pPr>
              <w:pStyle w:val="202"/>
              <w:rPr>
                <w:szCs w:val="18"/>
                <w:lang w:eastAsia="zh-CN"/>
              </w:rPr>
            </w:pPr>
            <w:r>
              <w:rPr>
                <w:szCs w:val="18"/>
                <w:lang w:eastAsia="zh-CN"/>
              </w:rPr>
              <w:t>3</w:t>
            </w:r>
          </w:p>
        </w:tc>
        <w:tc>
          <w:tcPr>
            <w:tcW w:w="1110" w:type="pct"/>
            <w:tcBorders>
              <w:top w:val="single" w:color="auto" w:sz="4" w:space="0"/>
              <w:left w:val="single" w:color="auto" w:sz="4" w:space="0"/>
              <w:bottom w:val="single" w:color="auto" w:sz="4" w:space="0"/>
              <w:right w:val="single" w:color="auto" w:sz="4" w:space="0"/>
            </w:tcBorders>
          </w:tcPr>
          <w:p>
            <w:pPr>
              <w:pStyle w:val="202"/>
              <w:rPr>
                <w:szCs w:val="18"/>
              </w:rPr>
            </w:pPr>
            <w:r>
              <w:rPr>
                <w:szCs w:val="18"/>
                <w:lang w:eastAsia="zh-CN"/>
              </w:rPr>
              <w:t>58.88</w:t>
            </w:r>
            <w:r>
              <w:rPr>
                <w:szCs w:val="18"/>
              </w:rPr>
              <w:t xml:space="preserve"> x N1 (23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2.56 x N1 (1 x N1)</w:t>
            </w:r>
          </w:p>
        </w:tc>
        <w:tc>
          <w:tcPr>
            <w:tcW w:w="1111" w:type="pct"/>
            <w:tcBorders>
              <w:top w:val="single" w:color="auto" w:sz="4" w:space="0"/>
              <w:left w:val="single" w:color="auto" w:sz="4" w:space="0"/>
              <w:bottom w:val="single" w:color="auto" w:sz="4" w:space="0"/>
              <w:right w:val="single" w:color="auto" w:sz="4" w:space="0"/>
            </w:tcBorders>
          </w:tcPr>
          <w:p>
            <w:pPr>
              <w:pStyle w:val="202"/>
              <w:rPr>
                <w:szCs w:val="18"/>
              </w:rPr>
            </w:pPr>
            <w:r>
              <w:rPr>
                <w:szCs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exac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264"/>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pPr>
              <w:pStyle w:val="264"/>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p>
        </w:tc>
      </w:tr>
    </w:tbl>
    <w:p>
      <w:pPr>
        <w:rPr>
          <w:rFonts w:eastAsia="宋体"/>
        </w:rPr>
      </w:pPr>
      <w:r>
        <w:rPr>
          <w:rFonts w:hint="eastAsia" w:eastAsia="宋体"/>
        </w:rPr>
        <w:t>Based on this table, for the intra frequency measurement, during the DRX cycle, the UE may detect the SSB to sync up first then detect paging, after paging detection, the UE may execute detection or the measurement or both of them. The detection/measurement Gap maybe contiguous or non-contiguous with PO, for that it depends on the SMTC of the intra-frequency. Take DRX cycle = 0.32s for the FR1 as an example, the UE may need the Gap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eastAsia="宋体"/>
                <w:lang w:eastAsia="en-US"/>
              </w:rPr>
            </w:pPr>
            <w:r>
              <w:rPr>
                <w:rFonts w:hint="eastAsia" w:eastAsia="宋体"/>
                <w:lang w:eastAsia="en-US"/>
              </w:rPr>
              <w:t>T1= DRX cycle     Length =   SSB detection (optional) + PO;</w:t>
            </w:r>
          </w:p>
          <w:p>
            <w:pPr>
              <w:rPr>
                <w:rFonts w:eastAsia="宋体"/>
                <w:lang w:eastAsia="en-US"/>
              </w:rPr>
            </w:pPr>
            <w:r>
              <w:rPr>
                <w:rFonts w:hint="eastAsia" w:eastAsia="宋体"/>
                <w:lang w:eastAsia="en-US"/>
              </w:rPr>
              <w:t>T2= 36 DRX cycle  Length =  SSB detection (optional) + PO + intra- frequency detection;</w:t>
            </w:r>
          </w:p>
          <w:p>
            <w:pPr>
              <w:rPr>
                <w:rFonts w:eastAsia="宋体"/>
                <w:lang w:eastAsia="en-US"/>
              </w:rPr>
            </w:pPr>
            <w:r>
              <w:rPr>
                <w:rFonts w:hint="eastAsia" w:eastAsia="宋体"/>
                <w:lang w:eastAsia="en-US"/>
              </w:rPr>
              <w:t>T3 = 4DRX cycle   Length =  SSB detection (optional) + PO + measurement;</w:t>
            </w:r>
          </w:p>
          <w:p>
            <w:pPr>
              <w:rPr>
                <w:lang w:eastAsia="en-US"/>
              </w:rPr>
            </w:pPr>
            <w:r>
              <w:rPr>
                <w:lang w:eastAsia="en-US"/>
              </w:rPr>
              <w:object>
                <v:shape id="_x0000_i1027" o:spt="75" type="#_x0000_t75" style="height:47.55pt;width:489.05pt;" o:ole="t" filled="f" o:preferrelative="t" stroked="f" coordsize="21600,21600">
                  <v:path/>
                  <v:fill on="f" focussize="0,0"/>
                  <v:stroke on="f" joinstyle="miter"/>
                  <v:imagedata r:id="rId12" o:title=""/>
                  <o:lock v:ext="edit" aspectratio="f"/>
                  <w10:wrap type="none"/>
                  <w10:anchorlock/>
                </v:shape>
                <o:OLEObject Type="Embed" ProgID="Visio.Drawing.15" ShapeID="_x0000_i1027" DrawAspect="Content" ObjectID="_1468075727" r:id="rId11">
                  <o:LockedField>false</o:LockedField>
                </o:OLEObject>
              </w:object>
            </w:r>
          </w:p>
          <w:p>
            <w:pPr>
              <w:jc w:val="center"/>
              <w:rPr>
                <w:rFonts w:eastAsia="宋体"/>
                <w:lang w:eastAsia="en-US"/>
              </w:rPr>
            </w:pPr>
            <w:r>
              <w:rPr>
                <w:rFonts w:hint="eastAsia"/>
                <w:lang w:eastAsia="en-US"/>
              </w:rPr>
              <w:t>Fig 2: SSB/Paging/Intra-frequency detection and measurement</w:t>
            </w:r>
          </w:p>
        </w:tc>
      </w:tr>
    </w:tbl>
    <w:p>
      <w:pPr>
        <w:rPr>
          <w:rFonts w:eastAsia="宋体"/>
        </w:rPr>
      </w:pPr>
      <w:r>
        <w:rPr>
          <w:rFonts w:hint="eastAsia" w:eastAsia="宋体"/>
        </w:rPr>
        <w:t>To save the space, the analysis for the inter frequency and inter RAT were included in the Annex, which is also similar to the infra-frequency. Just as shown in the Fig 2, the detection/measurement was also require the periodic Gap.</w:t>
      </w:r>
    </w:p>
    <w:p>
      <w:pPr>
        <w:rPr>
          <w:rFonts w:eastAsia="宋体"/>
        </w:rPr>
      </w:pPr>
      <w:r>
        <w:rPr>
          <w:rFonts w:hint="eastAsia" w:eastAsia="宋体"/>
          <w:b/>
          <w:bCs/>
        </w:rPr>
        <w:t>Observation 4: The detection/measurement for the intra-frequency, inter frequency and inter-Rat may also require periodic Gap.</w:t>
      </w:r>
    </w:p>
    <w:p>
      <w:pPr>
        <w:rPr>
          <w:rFonts w:eastAsia="宋体"/>
        </w:rPr>
      </w:pPr>
      <w:r>
        <w:rPr>
          <w:rFonts w:hint="eastAsia" w:eastAsia="宋体"/>
        </w:rPr>
        <w:t>However it also belongs to the UE implementation, anyway if take the Measurement for the cell reselection as one short event, the UE may need to coordinate leaving with the network A frequently, which will affect the performance of the network A seriously.</w:t>
      </w:r>
    </w:p>
    <w:p>
      <w:pPr>
        <w:rPr>
          <w:rFonts w:eastAsia="宋体"/>
          <w:b/>
          <w:bCs/>
        </w:rPr>
      </w:pPr>
      <w:r>
        <w:rPr>
          <w:rFonts w:hint="eastAsia" w:eastAsia="宋体"/>
          <w:b/>
          <w:bCs/>
        </w:rPr>
        <w:t>Proposal 7: RAN2 to discuss whether the scenario 2 belongs to the periodic or one-shot event, or left to the UE implementation without specification.</w:t>
      </w:r>
    </w:p>
    <w:p>
      <w:pPr>
        <w:pStyle w:val="5"/>
        <w:numPr>
          <w:ilvl w:val="2"/>
          <w:numId w:val="0"/>
        </w:numPr>
        <w:rPr>
          <w:b w:val="0"/>
          <w:bCs w:val="0"/>
          <w:lang w:val="en-US"/>
        </w:rPr>
      </w:pPr>
      <w:r>
        <w:rPr>
          <w:rFonts w:hint="eastAsia"/>
          <w:b w:val="0"/>
          <w:bCs w:val="0"/>
          <w:lang w:val="en-US"/>
        </w:rPr>
        <w:t xml:space="preserve">2.1.3.2 Periodic short-time switching </w:t>
      </w:r>
    </w:p>
    <w:p>
      <w:pPr>
        <w:rPr>
          <w:rFonts w:eastAsia="宋体"/>
        </w:rPr>
      </w:pPr>
      <w:r>
        <w:rPr>
          <w:rFonts w:hint="eastAsia" w:eastAsia="宋体"/>
        </w:rPr>
        <w:t>For the periodic short-time switching, as summarized in [1], the periodic short-time switching procedure contains the switching notification message and RRC Reconfiguration procedure to configure gaps. T</w:t>
      </w:r>
      <w:r>
        <w:rPr>
          <w:rFonts w:hint="eastAsia"/>
        </w:rPr>
        <w:t>he remaining issue is about the periodic Gap detail. Tho</w:t>
      </w:r>
      <w:r>
        <w:rPr>
          <w:rFonts w:hint="eastAsia" w:eastAsia="宋体"/>
        </w:rPr>
        <w:t>ugh companies agree to include Gap pattern in the switching notification message, the detail of the gap pattern is still FFS and also with other e.g. Indication of Need for Gap. In this chapter, we first discuss the detail information of the gap pattern and then discuss whether other information was needed.</w:t>
      </w:r>
    </w:p>
    <w:p>
      <w:pPr>
        <w:rPr>
          <w:rFonts w:eastAsia="宋体"/>
        </w:rPr>
      </w:pPr>
      <w:r>
        <w:rPr>
          <w:rFonts w:hint="eastAsia" w:eastAsia="宋体"/>
        </w:rPr>
        <w:t>For the gap pattern, considering the SFTD of the two networks, the network B shall map the timing info of the periodic Gap to the network A as shown in the Fig 3.</w:t>
      </w:r>
    </w:p>
    <w:p>
      <w:pPr>
        <w:rPr>
          <w:rFonts w:eastAsia="宋体"/>
        </w:rPr>
      </w:pPr>
      <w:r>
        <w:rPr>
          <w:rFonts w:eastAsia="宋体"/>
        </w:rPr>
        <w:object>
          <v:shape id="_x0000_i1028" o:spt="75" type="#_x0000_t75" style="height:165.75pt;width:459.15pt;" o:ole="t" filled="f" o:preferrelative="t" stroked="f" coordsize="21600,21600">
            <v:path/>
            <v:fill on="f" focussize="0,0"/>
            <v:stroke on="f" joinstyle="miter"/>
            <v:imagedata r:id="rId14" o:title=""/>
            <o:lock v:ext="edit" aspectratio="f"/>
            <w10:wrap type="none"/>
            <w10:anchorlock/>
          </v:shape>
          <o:OLEObject Type="Embed" ProgID="Visio.Drawing.15" ShapeID="_x0000_i1028" DrawAspect="Content" ObjectID="_1468075728" r:id="rId13">
            <o:LockedField>false</o:LockedField>
          </o:OLEObject>
        </w:object>
      </w:r>
    </w:p>
    <w:p>
      <w:pPr>
        <w:jc w:val="center"/>
      </w:pPr>
      <w:r>
        <w:rPr>
          <w:rFonts w:hint="eastAsia"/>
        </w:rPr>
        <w:t>Fig 3: The periodic Gap Mapping between 2 networks</w:t>
      </w:r>
    </w:p>
    <w:p>
      <w:r>
        <w:rPr>
          <w:rFonts w:hint="eastAsia"/>
        </w:rPr>
        <w:t xml:space="preserve">In the Fig 3, by mapping the periodic Gap pattern of the network B to the network A, the (start FN,SFN,Symbol, duration) become (x, 2, n, 2), instead of the (y, 0,m.4). From the Fig 3, we also can see that for the gap pattern, the UE shall indicate the duration of the Gap, the gap start time, gap </w:t>
      </w:r>
      <w:r>
        <w:rPr>
          <w:rFonts w:hint="eastAsia"/>
          <w:lang w:eastAsia="sv-SE"/>
        </w:rPr>
        <w:t xml:space="preserve">repetition </w:t>
      </w:r>
      <w:r>
        <w:rPr>
          <w:rFonts w:hint="eastAsia"/>
        </w:rPr>
        <w:t>period, and the reference SCS or take the  SCS of initial BWP of network A as reference SCS.</w:t>
      </w:r>
    </w:p>
    <w:p>
      <w:pPr>
        <w:spacing w:after="0" w:line="240" w:lineRule="auto"/>
        <w:rPr>
          <w:b/>
          <w:bCs/>
        </w:rPr>
      </w:pPr>
      <w:r>
        <w:rPr>
          <w:rFonts w:hint="eastAsia" w:eastAsia="宋体"/>
          <w:b/>
          <w:bCs/>
        </w:rPr>
        <w:t xml:space="preserve">Proposal 8: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period, and the reference SCS or take the SCS of initial BWP of network A as reference SCS.</w:t>
      </w:r>
    </w:p>
    <w:p>
      <w:pPr>
        <w:spacing w:after="0" w:line="240" w:lineRule="auto"/>
        <w:rPr>
          <w:b/>
          <w:bCs/>
        </w:rPr>
      </w:pPr>
    </w:p>
    <w:p>
      <w:r>
        <w:rPr>
          <w:rFonts w:hint="eastAsia"/>
        </w:rPr>
        <w:t>Furthermore, as observation 4 described, the detection/measurement for the intra-frequency, inter frequency and inter-Rat may also require periodic Gap. In other words, the UE may need different Gap patterns for the different purposes. C</w:t>
      </w:r>
      <w:r>
        <w:t>onsidering that</w:t>
      </w:r>
      <w:r>
        <w:rPr>
          <w:rFonts w:hint="eastAsia"/>
        </w:rPr>
        <w:t xml:space="preserve"> for some cases the Network A can</w:t>
      </w:r>
      <w:r>
        <w:t>’</w:t>
      </w:r>
      <w:r>
        <w:rPr>
          <w:rFonts w:hint="eastAsia"/>
        </w:rPr>
        <w:t>t assign all of the required Gaps to the UE, thus it</w:t>
      </w:r>
      <w:r>
        <w:t>’</w:t>
      </w:r>
      <w:r>
        <w:rPr>
          <w:rFonts w:hint="eastAsia"/>
        </w:rPr>
        <w:t>s better to also indicate the purpose/usage for each gap pattern, then the network can assign the Gap selectively, e.g</w:t>
      </w:r>
      <w:r>
        <w:t>.</w:t>
      </w:r>
      <w:r>
        <w:rPr>
          <w:rFonts w:hint="eastAsia"/>
        </w:rPr>
        <w:t xml:space="preserve"> give the Gap for paging with the highest priority.</w:t>
      </w:r>
    </w:p>
    <w:p>
      <w:pPr>
        <w:rPr>
          <w:rFonts w:eastAsia="宋体"/>
          <w:b/>
          <w:bCs/>
        </w:rPr>
      </w:pPr>
      <w:r>
        <w:rPr>
          <w:rFonts w:hint="eastAsia" w:eastAsia="宋体"/>
          <w:b/>
          <w:bCs/>
        </w:rPr>
        <w:t>Proposal 9: The UE may require multiple gap patterns for the different purposes.</w:t>
      </w:r>
    </w:p>
    <w:p>
      <w:pPr>
        <w:rPr>
          <w:rFonts w:eastAsia="宋体"/>
          <w:b/>
          <w:bCs/>
        </w:rPr>
      </w:pPr>
      <w:r>
        <w:rPr>
          <w:rFonts w:hint="eastAsia" w:eastAsia="宋体"/>
          <w:b/>
          <w:bCs/>
        </w:rPr>
        <w:t>Proposal 9.1: The UE shall also indicate the purpose/usage for each gap pattern, then the network can assign the Gap selectively, e.g</w:t>
      </w:r>
      <w:r>
        <w:rPr>
          <w:rFonts w:eastAsia="宋体"/>
          <w:b/>
          <w:bCs/>
        </w:rPr>
        <w:t>.</w:t>
      </w:r>
      <w:r>
        <w:rPr>
          <w:rFonts w:hint="eastAsia" w:eastAsia="宋体"/>
          <w:b/>
          <w:bCs/>
        </w:rPr>
        <w:t xml:space="preserve"> give the Gap for paging with the highest priority.</w:t>
      </w:r>
    </w:p>
    <w:p>
      <w:r>
        <w:rPr>
          <w:rFonts w:hint="eastAsia"/>
        </w:rPr>
        <w:t>Another issue is whether the UE need to report indication of Need for Gap, our understanding is that this indication can be used by the network to open or close the Gap pattern assignment. For example, the intra-frequency cell detection/measurement was only performed when</w:t>
      </w:r>
      <w:r>
        <w:rPr>
          <w:rFonts w:hint="eastAsia" w:eastAsia="宋体"/>
        </w:rPr>
        <w:t xml:space="preserve"> </w:t>
      </w:r>
      <w:r>
        <w:t>the serving cell fulfils Srxlev</w:t>
      </w:r>
      <w:r>
        <w:rPr>
          <w:rFonts w:hint="eastAsia"/>
        </w:rPr>
        <w:t xml:space="preserve"> ≤</w:t>
      </w:r>
      <w:r>
        <w:t xml:space="preserve"> S</w:t>
      </w:r>
      <w:r>
        <w:rPr>
          <w:vertAlign w:val="subscript"/>
        </w:rPr>
        <w:t>IntraSearchP</w:t>
      </w:r>
      <w:r>
        <w:t xml:space="preserve"> </w:t>
      </w:r>
      <w:r>
        <w:rPr>
          <w:rFonts w:hint="eastAsia"/>
        </w:rPr>
        <w:t>or</w:t>
      </w:r>
      <w:r>
        <w:t xml:space="preserve"> Squal </w:t>
      </w:r>
      <w:r>
        <w:rPr>
          <w:rFonts w:hint="eastAsia"/>
        </w:rPr>
        <w:t>≤</w:t>
      </w:r>
      <w:r>
        <w:t xml:space="preserve"> S</w:t>
      </w:r>
      <w:r>
        <w:rPr>
          <w:vertAlign w:val="subscript"/>
        </w:rPr>
        <w:t>IntraSearch</w:t>
      </w:r>
      <w:r>
        <w:rPr>
          <w:rFonts w:hint="eastAsia"/>
          <w:vertAlign w:val="subscript"/>
        </w:rPr>
        <w:t xml:space="preserve">, </w:t>
      </w:r>
      <w:r>
        <w:rPr>
          <w:rFonts w:hint="eastAsia"/>
        </w:rPr>
        <w:t>Thus, the UE can send an indication of Need for Gap or not when the requirement was satisfied or unsatisfied to avoid reporting the Gap pattern for the intra-frequency cell detection/measurement frequently.</w:t>
      </w:r>
    </w:p>
    <w:p>
      <w:pPr>
        <w:rPr>
          <w:b/>
          <w:bCs/>
        </w:rPr>
      </w:pPr>
      <w:r>
        <w:rPr>
          <w:rFonts w:hint="eastAsia" w:eastAsia="宋体"/>
          <w:b/>
          <w:bCs/>
        </w:rPr>
        <w:t xml:space="preserve">Proposal 10: Include </w:t>
      </w:r>
      <w:r>
        <w:rPr>
          <w:rFonts w:hint="eastAsia"/>
          <w:b/>
          <w:bCs/>
        </w:rPr>
        <w:t>Need for Gap indication for each Gap pattern.</w:t>
      </w:r>
    </w:p>
    <w:p>
      <w:pPr>
        <w:pStyle w:val="5"/>
        <w:numPr>
          <w:ilvl w:val="2"/>
          <w:numId w:val="0"/>
        </w:numPr>
        <w:rPr>
          <w:b w:val="0"/>
          <w:bCs w:val="0"/>
          <w:lang w:val="en-US"/>
        </w:rPr>
      </w:pPr>
      <w:r>
        <w:rPr>
          <w:rFonts w:hint="eastAsia"/>
          <w:b w:val="0"/>
          <w:bCs w:val="0"/>
          <w:lang w:val="en-US"/>
        </w:rPr>
        <w:t>2.1.3.2 One-shot short-time switching</w:t>
      </w:r>
    </w:p>
    <w:p>
      <w:pPr>
        <w:rPr>
          <w:rFonts w:eastAsia="宋体"/>
        </w:rPr>
      </w:pPr>
      <w:r>
        <w:rPr>
          <w:rFonts w:hint="eastAsia"/>
        </w:rPr>
        <w:t xml:space="preserve">About the one-shot short-time switching, according to the email discussion, </w:t>
      </w:r>
      <w:r>
        <w:t>companies’</w:t>
      </w:r>
      <w:r>
        <w:rPr>
          <w:rFonts w:hint="eastAsia"/>
        </w:rPr>
        <w:t xml:space="preserve"> views are divergent. As the proposal 7 in [1], the switching notification message for one-shot short-time switching carries gap pattern request information. FFS use the common switching notification message for </w:t>
      </w:r>
      <w:r>
        <w:rPr>
          <w:rFonts w:hint="eastAsia"/>
          <w:lang w:eastAsia="ko-KR"/>
        </w:rPr>
        <w:t>the one-shot and periodic short-time switching.</w:t>
      </w:r>
      <w:r>
        <w:rPr>
          <w:rFonts w:hint="eastAsia"/>
        </w:rPr>
        <w:t xml:space="preserve"> We think before we further discuss this issue, we need to clarify which kind of Gaps would be adopted for one-shot short-time switching, according to the previous submitted papers, </w:t>
      </w:r>
      <w:r>
        <w:rPr>
          <w:rFonts w:hint="eastAsia" w:eastAsia="宋体"/>
        </w:rPr>
        <w:t>there would be 3 options:</w:t>
      </w:r>
    </w:p>
    <w:p>
      <w:pPr>
        <w:numPr>
          <w:ilvl w:val="0"/>
          <w:numId w:val="9"/>
        </w:numPr>
        <w:rPr>
          <w:rFonts w:eastAsia="宋体"/>
        </w:rPr>
      </w:pPr>
      <w:r>
        <w:rPr>
          <w:rFonts w:hint="eastAsia" w:eastAsia="宋体"/>
        </w:rPr>
        <w:t>Option 1: Scheduled Gap,</w:t>
      </w:r>
      <w:r>
        <w:rPr>
          <w:rFonts w:eastAsia="宋体"/>
        </w:rPr>
        <w:t xml:space="preserve"> </w:t>
      </w:r>
      <w:r>
        <w:rPr>
          <w:rFonts w:hint="eastAsia" w:eastAsia="宋体"/>
        </w:rPr>
        <w:t>the Gap length equals to the short-time switching duration, during the Gap the network shall avoid both DL and UL scheduling;</w:t>
      </w:r>
    </w:p>
    <w:tbl>
      <w:tblPr>
        <w:tblStyle w:val="57"/>
        <w:tblW w:w="0" w:type="auto"/>
        <w:tblInd w:w="4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7" w:type="dxa"/>
          </w:tcPr>
          <w:p>
            <w:pPr>
              <w:jc w:val="center"/>
              <w:rPr>
                <w:rFonts w:eastAsia="宋体"/>
                <w:lang w:eastAsia="en-US"/>
              </w:rPr>
            </w:pPr>
            <w:r>
              <w:rPr>
                <w:rFonts w:eastAsia="宋体"/>
                <w:lang w:eastAsia="en-US"/>
              </w:rPr>
              <w:object>
                <v:shape id="_x0000_i1029" o:spt="75" type="#_x0000_t75" style="height:118.2pt;width:486.35pt;" o:ole="t" filled="f" o:preferrelative="t" stroked="f" coordsize="21600,21600">
                  <v:path/>
                  <v:fill on="f" focussize="0,0"/>
                  <v:stroke on="f" joinstyle="miter"/>
                  <v:imagedata r:id="rId16" o:title=""/>
                  <o:lock v:ext="edit" aspectratio="f"/>
                  <w10:wrap type="none"/>
                  <w10:anchorlock/>
                </v:shape>
                <o:OLEObject Type="Embed" ProgID="Visio.Drawing.15" ShapeID="_x0000_i1029" DrawAspect="Content" ObjectID="_1468075729" r:id="rId15">
                  <o:LockedField>false</o:LockedField>
                </o:OLEObject>
              </w:object>
            </w:r>
            <w:r>
              <w:rPr>
                <w:rFonts w:hint="eastAsia" w:eastAsia="宋体"/>
                <w:lang w:eastAsia="en-US"/>
              </w:rPr>
              <w:t xml:space="preserve">Fig 4a: Option 1 of </w:t>
            </w:r>
            <w:r>
              <w:rPr>
                <w:rFonts w:hint="eastAsia"/>
                <w:lang w:eastAsia="en-US"/>
              </w:rPr>
              <w:t>one-shot short-time switching</w:t>
            </w:r>
          </w:p>
        </w:tc>
      </w:tr>
    </w:tbl>
    <w:p>
      <w:pPr>
        <w:numPr>
          <w:ilvl w:val="0"/>
          <w:numId w:val="9"/>
        </w:numPr>
        <w:rPr>
          <w:rFonts w:eastAsia="宋体"/>
        </w:rPr>
      </w:pPr>
      <w:r>
        <w:rPr>
          <w:rFonts w:hint="eastAsia" w:eastAsia="宋体"/>
        </w:rPr>
        <w:t xml:space="preserve">Option 2: Scheduled Gap with TDM pattern, which is similar to the measurement GAP, the network A reserve the Gap periodically during the Scheduled Gap; </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9" w:type="dxa"/>
          </w:tcPr>
          <w:p>
            <w:pPr>
              <w:rPr>
                <w:rFonts w:eastAsia="宋体"/>
                <w:lang w:eastAsia="en-US"/>
              </w:rPr>
            </w:pPr>
            <w:r>
              <w:rPr>
                <w:rFonts w:eastAsia="宋体"/>
                <w:lang w:eastAsia="en-US"/>
              </w:rPr>
              <w:object>
                <v:shape id="_x0000_i1030" o:spt="75" type="#_x0000_t75" style="height:117.5pt;width:446.25pt;" o:ole="t" filled="f" o:preferrelative="t" stroked="f" coordsize="21600,21600">
                  <v:path/>
                  <v:fill on="f" focussize="0,0"/>
                  <v:stroke on="f" joinstyle="miter"/>
                  <v:imagedata r:id="rId18" o:title=""/>
                  <o:lock v:ext="edit" aspectratio="f"/>
                  <w10:wrap type="none"/>
                  <w10:anchorlock/>
                </v:shape>
                <o:OLEObject Type="Embed" ProgID="Visio.Drawing.15" ShapeID="_x0000_i1030" DrawAspect="Content" ObjectID="_1468075730" r:id="rId17">
                  <o:LockedField>false</o:LockedField>
                </o:OLEObject>
              </w:object>
            </w:r>
          </w:p>
          <w:p>
            <w:pPr>
              <w:jc w:val="center"/>
              <w:rPr>
                <w:rFonts w:eastAsia="宋体"/>
                <w:lang w:eastAsia="en-US"/>
              </w:rPr>
            </w:pPr>
            <w:r>
              <w:rPr>
                <w:rFonts w:hint="eastAsia" w:eastAsia="宋体"/>
                <w:lang w:eastAsia="en-US"/>
              </w:rPr>
              <w:t xml:space="preserve">Fig 4b: Option 2 of </w:t>
            </w:r>
            <w:r>
              <w:rPr>
                <w:rFonts w:hint="eastAsia"/>
                <w:lang w:eastAsia="en-US"/>
              </w:rPr>
              <w:t>one-shot short-time switching</w:t>
            </w:r>
          </w:p>
        </w:tc>
      </w:tr>
    </w:tbl>
    <w:p>
      <w:pPr>
        <w:rPr>
          <w:rFonts w:eastAsia="宋体"/>
        </w:rPr>
      </w:pPr>
    </w:p>
    <w:p>
      <w:pPr>
        <w:numPr>
          <w:ilvl w:val="0"/>
          <w:numId w:val="9"/>
        </w:numPr>
        <w:rPr>
          <w:rFonts w:eastAsia="宋体"/>
        </w:rPr>
      </w:pPr>
      <w:r>
        <w:rPr>
          <w:rFonts w:hint="eastAsia" w:eastAsia="宋体"/>
        </w:rPr>
        <w:t>Option 3: Autonomous Gap, during the Gap, just as some legacy MUSIM UE has done, it</w:t>
      </w:r>
      <w:r>
        <w:rPr>
          <w:rFonts w:eastAsia="宋体"/>
        </w:rPr>
        <w:t>’</w:t>
      </w:r>
      <w:r>
        <w:rPr>
          <w:rFonts w:hint="eastAsia" w:eastAsia="宋体"/>
        </w:rPr>
        <w:t>s left to the UE implementation on how to communicate with 2 networks.</w:t>
      </w:r>
    </w:p>
    <w:tbl>
      <w:tblPr>
        <w:tblStyle w:val="57"/>
        <w:tblW w:w="0" w:type="auto"/>
        <w:tblInd w:w="4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7" w:type="dxa"/>
          </w:tcPr>
          <w:p>
            <w:pPr>
              <w:rPr>
                <w:rFonts w:eastAsia="宋体"/>
                <w:lang w:eastAsia="en-US"/>
              </w:rPr>
            </w:pPr>
            <w:r>
              <w:rPr>
                <w:rFonts w:eastAsia="宋体"/>
                <w:lang w:eastAsia="en-US"/>
              </w:rPr>
              <w:object>
                <v:shape id="_x0000_i1031" o:spt="75" type="#_x0000_t75" style="height:105.95pt;width:455.75pt;" o:ole="t" filled="f" o:preferrelative="t" stroked="f" coordsize="21600,21600">
                  <v:path/>
                  <v:fill on="f" focussize="0,0"/>
                  <v:stroke on="f" joinstyle="miter"/>
                  <v:imagedata r:id="rId20" o:title=""/>
                  <o:lock v:ext="edit" aspectratio="f"/>
                  <w10:wrap type="none"/>
                  <w10:anchorlock/>
                </v:shape>
                <o:OLEObject Type="Embed" ProgID="Visio.Drawing.15" ShapeID="_x0000_i1031" DrawAspect="Content" ObjectID="_1468075731" r:id="rId19">
                  <o:LockedField>false</o:LockedField>
                </o:OLEObject>
              </w:object>
            </w:r>
          </w:p>
          <w:p>
            <w:pPr>
              <w:jc w:val="center"/>
              <w:rPr>
                <w:rFonts w:eastAsia="宋体"/>
                <w:lang w:eastAsia="en-US"/>
              </w:rPr>
            </w:pPr>
            <w:r>
              <w:rPr>
                <w:rFonts w:hint="eastAsia" w:eastAsia="宋体"/>
                <w:lang w:eastAsia="en-US"/>
              </w:rPr>
              <w:t xml:space="preserve">Fig 4c: Option 3 of </w:t>
            </w:r>
            <w:r>
              <w:rPr>
                <w:rFonts w:hint="eastAsia"/>
                <w:lang w:eastAsia="en-US"/>
              </w:rPr>
              <w:t>one-shot short-time switching</w:t>
            </w:r>
          </w:p>
        </w:tc>
      </w:tr>
    </w:tbl>
    <w:p>
      <w:pPr>
        <w:rPr>
          <w:rFonts w:eastAsia="宋体"/>
        </w:rPr>
      </w:pPr>
    </w:p>
    <w:p>
      <w:r>
        <w:rPr>
          <w:rFonts w:hint="eastAsia"/>
        </w:rPr>
        <w:t>For the option 1, for that both the DL and UL can</w:t>
      </w:r>
      <w:r>
        <w:t>’</w:t>
      </w:r>
      <w:r>
        <w:rPr>
          <w:rFonts w:hint="eastAsia"/>
        </w:rPr>
        <w:t xml:space="preserve">t be scheduled and that the one-shot procedure may take tens of milliseconds, it would affect the UE experience. </w:t>
      </w:r>
    </w:p>
    <w:p>
      <w:r>
        <w:rPr>
          <w:rFonts w:hint="eastAsia"/>
        </w:rPr>
        <w:t>For the option 2, the UE need to provide sufficient assistance information for the network A to determine the TDM pattern during the scheduled Gap.</w:t>
      </w:r>
    </w:p>
    <w:p>
      <w:r>
        <w:rPr>
          <w:rFonts w:hint="eastAsia"/>
        </w:rPr>
        <w:t>For the option 3, during the autonomous Gap, similar to some legacy MUSIM UE has done, the UE may keep temporary and short dual active state by TDM method.</w:t>
      </w:r>
    </w:p>
    <w:p>
      <w:pPr>
        <w:rPr>
          <w:rFonts w:eastAsia="宋体"/>
          <w:b/>
          <w:bCs/>
        </w:rPr>
      </w:pPr>
      <w:r>
        <w:rPr>
          <w:rFonts w:hint="eastAsia"/>
          <w:b/>
          <w:bCs/>
        </w:rPr>
        <w:t>Observation 5: There are 3 Gap type option</w:t>
      </w:r>
      <w:r>
        <w:rPr>
          <w:b/>
          <w:bCs/>
        </w:rPr>
        <w:t>s</w:t>
      </w:r>
      <w:r>
        <w:rPr>
          <w:rFonts w:hint="eastAsia"/>
          <w:b/>
          <w:bCs/>
        </w:rPr>
        <w:t xml:space="preserve"> for the one-shot short-time switching</w:t>
      </w:r>
      <w:r>
        <w:rPr>
          <w:b/>
          <w:bCs/>
        </w:rPr>
        <w:t>:</w:t>
      </w:r>
    </w:p>
    <w:p>
      <w:pPr>
        <w:numPr>
          <w:ilvl w:val="0"/>
          <w:numId w:val="9"/>
        </w:numPr>
        <w:rPr>
          <w:rFonts w:eastAsia="宋体"/>
          <w:b/>
          <w:bCs/>
        </w:rPr>
      </w:pPr>
      <w:r>
        <w:rPr>
          <w:rFonts w:hint="eastAsia" w:eastAsia="宋体"/>
          <w:b/>
          <w:bCs/>
        </w:rPr>
        <w:t>Option 1: Scheduled Gap,</w:t>
      </w:r>
      <w:r>
        <w:rPr>
          <w:rFonts w:eastAsia="宋体"/>
          <w:b/>
          <w:bCs/>
        </w:rPr>
        <w:t xml:space="preserve"> </w:t>
      </w:r>
      <w:r>
        <w:rPr>
          <w:rFonts w:hint="eastAsia" w:eastAsia="宋体"/>
          <w:b/>
          <w:bCs/>
        </w:rPr>
        <w:t>the Gap length equals to the short-time switching duration, during the Gap the network shall avoid both DL and UL scheduling;</w:t>
      </w:r>
    </w:p>
    <w:p>
      <w:pPr>
        <w:numPr>
          <w:ilvl w:val="0"/>
          <w:numId w:val="9"/>
        </w:numPr>
        <w:rPr>
          <w:rFonts w:eastAsia="宋体"/>
          <w:b/>
          <w:bCs/>
        </w:rPr>
      </w:pPr>
      <w:r>
        <w:rPr>
          <w:rFonts w:hint="eastAsia" w:eastAsia="宋体"/>
          <w:b/>
          <w:bCs/>
        </w:rPr>
        <w:t xml:space="preserve">Option 2: Scheduled Gap with TDM pattern, which is similar to the measurement GAP, the network A reserve the Gap periodically during the Scheduled Gap; </w:t>
      </w:r>
    </w:p>
    <w:p>
      <w:pPr>
        <w:numPr>
          <w:ilvl w:val="0"/>
          <w:numId w:val="9"/>
        </w:numPr>
        <w:rPr>
          <w:rFonts w:eastAsia="宋体"/>
          <w:b/>
          <w:bCs/>
        </w:rPr>
      </w:pPr>
      <w:r>
        <w:rPr>
          <w:rFonts w:hint="eastAsia" w:eastAsia="宋体"/>
          <w:b/>
          <w:bCs/>
        </w:rPr>
        <w:t>Option 3: Autonomous Gap, during the Gap, just as some legacy MUSIM UE has done, it</w:t>
      </w:r>
      <w:r>
        <w:rPr>
          <w:rFonts w:eastAsia="宋体"/>
          <w:b/>
          <w:bCs/>
        </w:rPr>
        <w:t>’</w:t>
      </w:r>
      <w:r>
        <w:rPr>
          <w:rFonts w:hint="eastAsia" w:eastAsia="宋体"/>
          <w:b/>
          <w:bCs/>
        </w:rPr>
        <w:t>s left to the UE implementation on how to communicate with 2 networks.</w:t>
      </w:r>
    </w:p>
    <w:p>
      <w:pPr>
        <w:rPr>
          <w:b/>
          <w:bCs/>
        </w:rPr>
      </w:pPr>
      <w:r>
        <w:rPr>
          <w:rFonts w:hint="eastAsia"/>
          <w:b/>
          <w:bCs/>
        </w:rPr>
        <w:t>Proposal 11: Ran2 to discuss which kind of Gap to be adopted for one-shot short-time switching first.</w:t>
      </w:r>
    </w:p>
    <w:p>
      <w:r>
        <w:rPr>
          <w:rFonts w:hint="eastAsia"/>
        </w:rPr>
        <w:t>Besides the gap type issues, there are also other 2 issues on the one-short-time switching as below:</w:t>
      </w:r>
    </w:p>
    <w:p>
      <w:pPr>
        <w:numPr>
          <w:ilvl w:val="0"/>
          <w:numId w:val="10"/>
        </w:numPr>
      </w:pPr>
      <w:r>
        <w:rPr>
          <w:rFonts w:hint="eastAsia"/>
        </w:rPr>
        <w:t>If the communication with network B ended before the scheduled/autonomous gap, does the UE need to indicate to the network A?</w:t>
      </w:r>
    </w:p>
    <w:p>
      <w:pPr>
        <w:numPr>
          <w:ilvl w:val="0"/>
          <w:numId w:val="10"/>
        </w:numPr>
      </w:pPr>
      <w:r>
        <w:rPr>
          <w:rFonts w:hint="eastAsia"/>
        </w:rPr>
        <w:t>If the communication with the network B can</w:t>
      </w:r>
      <w:r>
        <w:t>’</w:t>
      </w:r>
      <w:r>
        <w:rPr>
          <w:rFonts w:hint="eastAsia"/>
        </w:rPr>
        <w:t>t be finished before the scheduled/autonomous gap, should the network A keep at the connected state or back to Idle/Inactive state?</w:t>
      </w:r>
    </w:p>
    <w:p>
      <w:r>
        <w:rPr>
          <w:rFonts w:hint="eastAsia"/>
        </w:rPr>
        <w:t>The first issue has been concluded in the proposal 8 in [1] that a Return message is not needed for one-shot short-time switching. For the second issue, whether the network A keep at the connected or back to Idle/Inactive state shall be determined based on the service/procedure priorities of the 2 USIMs. As analyzed as above, the one-shot short-time switching procedure maybe adopted for the below scenarios:</w:t>
      </w:r>
    </w:p>
    <w:p>
      <w:pPr>
        <w:numPr>
          <w:ilvl w:val="0"/>
          <w:numId w:val="8"/>
        </w:numPr>
      </w:pPr>
      <w:r>
        <w:rPr>
          <w:rFonts w:hint="eastAsia"/>
        </w:rPr>
        <w:t>Scenario 2: Measurement for the cell reselection, including intra-frequency and inter-frequency. (FFS)</w:t>
      </w:r>
    </w:p>
    <w:p>
      <w:pPr>
        <w:numPr>
          <w:ilvl w:val="0"/>
          <w:numId w:val="8"/>
        </w:numPr>
      </w:pPr>
      <w:r>
        <w:rPr>
          <w:rFonts w:hint="eastAsia"/>
        </w:rPr>
        <w:t xml:space="preserve">Scenario 3: SIB1 receiving or the Other SI receiving of the neighbor cells/Serving cell. </w:t>
      </w:r>
    </w:p>
    <w:p>
      <w:pPr>
        <w:numPr>
          <w:ilvl w:val="0"/>
          <w:numId w:val="8"/>
        </w:numPr>
      </w:pPr>
      <w:r>
        <w:rPr>
          <w:rFonts w:hint="eastAsia"/>
        </w:rPr>
        <w:t>Scenario 4: upper layer triggered CP plane procedure, e.g. Registration, Other MO signalling e.g.SMS. RRC triggered CP plane procedure, such as RAU (FFS)</w:t>
      </w:r>
    </w:p>
    <w:p>
      <w:pPr>
        <w:numPr>
          <w:ilvl w:val="0"/>
          <w:numId w:val="8"/>
        </w:numPr>
      </w:pPr>
      <w:r>
        <w:rPr>
          <w:rFonts w:hint="eastAsia"/>
        </w:rPr>
        <w:t>Scenario 5: Ran/CN paging response (e.g. busy indication).</w:t>
      </w:r>
    </w:p>
    <w:p>
      <w:r>
        <w:rPr>
          <w:rFonts w:hint="eastAsia"/>
        </w:rPr>
        <w:t>For the scenario 2/3, compared with the data/voice service on the network A, it shall have lower priority, while for the scenario 4, for the registration, per the CT1 spec, the UE can re-transmit it for several times. For the MO signalling e.g.SMS, if it has high priority, it can adopt long-leaving procedure, For the RAU, it may lead UE enter into Idle state, anyway, such kind of problem can be reduced by configure a long-enough Gap. For the scenario 5, the UE can resend it in the next DRX cycle, if still needed, e.g. detect paging again in the next DRX cycle.</w:t>
      </w:r>
    </w:p>
    <w:p>
      <w:r>
        <w:rPr>
          <w:rFonts w:hint="eastAsia"/>
        </w:rPr>
        <w:t>From above analysis, the intention of the one-shot short-time switching procedure is to reduce the impact to the network A as much as possible, thus, it</w:t>
      </w:r>
      <w:r>
        <w:t>’</w:t>
      </w:r>
      <w:r>
        <w:rPr>
          <w:rFonts w:hint="eastAsia"/>
        </w:rPr>
        <w:t>s better to keep network A at the connected. Anyway, it can also be determined by the network A to determine whether to keep at connected state, or the UE can give a suggestion when requiring Gap.</w:t>
      </w:r>
    </w:p>
    <w:p>
      <w:pPr>
        <w:rPr>
          <w:b/>
          <w:bCs/>
        </w:rPr>
      </w:pPr>
      <w:r>
        <w:rPr>
          <w:rFonts w:hint="eastAsia"/>
          <w:b/>
          <w:bCs/>
        </w:rPr>
        <w:t>Proposal 12: If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back to</w:t>
      </w:r>
      <w:r>
        <w:rPr>
          <w:rFonts w:hint="eastAsia"/>
          <w:b/>
          <w:bCs/>
        </w:rPr>
        <w:t xml:space="preserve"> the network A.</w:t>
      </w:r>
    </w:p>
    <w:p>
      <w:r>
        <w:rPr>
          <w:rFonts w:hint="eastAsia"/>
        </w:rPr>
        <w:t>Furthermore, for the short-time switching procedure, for the scenario 4/5, the UE shall try to finish the procedure on the network B as soon as possible. Meanwhile the network B shall know that the UE was at short-leaving state of the other USIM, then the network B shall not trigger the mobility (e.g</w:t>
      </w:r>
      <w:r>
        <w:t>.</w:t>
      </w:r>
      <w:r>
        <w:rPr>
          <w:rFonts w:hint="eastAsia"/>
        </w:rPr>
        <w:t xml:space="preserve"> handover, redirection), measurement and DC related procedure.</w:t>
      </w:r>
    </w:p>
    <w:p>
      <w:pPr>
        <w:rPr>
          <w:b/>
          <w:bCs/>
        </w:rPr>
      </w:pPr>
      <w:r>
        <w:rPr>
          <w:rFonts w:hint="eastAsia"/>
          <w:b/>
          <w:bCs/>
        </w:rPr>
        <w:t>Proposal 13: The UE shall inform the network B that it was at short-time switching procedure on the other network, then the network B can avoid to trigger the mobility (e.g</w:t>
      </w:r>
      <w:r>
        <w:rPr>
          <w:b/>
          <w:bCs/>
        </w:rPr>
        <w:t>.</w:t>
      </w:r>
      <w:r>
        <w:rPr>
          <w:rFonts w:hint="eastAsia"/>
          <w:b/>
          <w:bCs/>
        </w:rPr>
        <w:t xml:space="preserve"> handover, redirection), measurement and DC related procedures.</w:t>
      </w:r>
    </w:p>
    <w:p>
      <w:pPr>
        <w:pStyle w:val="3"/>
        <w:keepNext w:val="0"/>
        <w:keepLines w:val="0"/>
        <w:ind w:left="0" w:firstLine="0"/>
        <w:rPr>
          <w:b w:val="0"/>
          <w:bCs w:val="0"/>
          <w:sz w:val="28"/>
          <w:szCs w:val="28"/>
          <w:lang w:val="en-US"/>
        </w:rPr>
      </w:pPr>
      <w:r>
        <w:rPr>
          <w:rFonts w:hint="eastAsia"/>
          <w:b w:val="0"/>
          <w:bCs w:val="0"/>
          <w:sz w:val="28"/>
          <w:szCs w:val="28"/>
          <w:lang w:val="en-US"/>
        </w:rPr>
        <w:t>2.2 Busy indication</w:t>
      </w:r>
    </w:p>
    <w:p>
      <w:r>
        <w:rPr>
          <w:rFonts w:hint="eastAsia"/>
        </w:rPr>
        <w:t>About the busy indication, as summarized in [1], the general RRC procedure of sending Busy Indication in RRC_INACTIVE state includes: UE sends busy indication in the RRC connection resume request message, and the network confirms the busy indication via RRCRelease. The UE shall keep RRC_CONNECTED in network A during sending busy indication in network B. The Switching for receiving the paging and sending busy indication is up to UE implementation in one-step or two steps.</w:t>
      </w:r>
    </w:p>
    <w:p>
      <w:pPr>
        <w:rPr>
          <w:rFonts w:eastAsia="宋体"/>
        </w:rPr>
      </w:pPr>
      <w:r>
        <w:rPr>
          <w:rFonts w:hint="eastAsia"/>
          <w:bCs/>
        </w:rPr>
        <w:t xml:space="preserve">However as we analyzed in the email discussion, </w:t>
      </w:r>
      <w:r>
        <w:rPr>
          <w:rFonts w:hint="eastAsia" w:eastAsia="宋体"/>
        </w:rPr>
        <w:t>even the busy indication was sent, there are still 2 problems:</w:t>
      </w:r>
    </w:p>
    <w:p>
      <w:pPr>
        <w:numPr>
          <w:ilvl w:val="0"/>
          <w:numId w:val="11"/>
        </w:numPr>
        <w:rPr>
          <w:bCs/>
        </w:rPr>
      </w:pPr>
      <w:r>
        <w:rPr>
          <w:rFonts w:hint="eastAsia"/>
          <w:bCs/>
        </w:rPr>
        <w:t>For the Inactive state without MT restriction info from CN, after receiving a busy indication from the UE, if there were data arrived on other PDUs, whether the gNB trigger the RAN paging again?</w:t>
      </w:r>
    </w:p>
    <w:p>
      <w:pPr>
        <w:numPr>
          <w:ilvl w:val="0"/>
          <w:numId w:val="11"/>
        </w:numPr>
        <w:rPr>
          <w:bCs/>
        </w:rPr>
      </w:pPr>
      <w:r>
        <w:rPr>
          <w:rFonts w:hint="eastAsia"/>
          <w:bCs/>
        </w:rPr>
        <w:t>For the Inactive state without MT restriction info from CN, after receiving a busy indication from the UE, when the gNB can resume the paging?</w:t>
      </w:r>
    </w:p>
    <w:p>
      <w:pPr>
        <w:rPr>
          <w:bCs/>
        </w:rPr>
      </w:pPr>
      <w:r>
        <w:rPr>
          <w:rFonts w:hint="eastAsia"/>
          <w:bCs/>
        </w:rPr>
        <w:t>Anyway, for these issues, we can further discuss it in the next meeting.</w:t>
      </w:r>
    </w:p>
    <w:p>
      <w:pPr>
        <w:rPr>
          <w:b/>
          <w:bCs/>
        </w:rPr>
      </w:pPr>
      <w:r>
        <w:rPr>
          <w:rFonts w:hint="eastAsia"/>
          <w:b/>
          <w:bCs/>
        </w:rPr>
        <w:t>Observation 6: The following 2 issues for the busy indication can be further discussed.</w:t>
      </w:r>
    </w:p>
    <w:p>
      <w:pPr>
        <w:numPr>
          <w:ilvl w:val="0"/>
          <w:numId w:val="12"/>
        </w:numPr>
        <w:rPr>
          <w:b/>
        </w:rPr>
      </w:pPr>
      <w:r>
        <w:rPr>
          <w:rFonts w:hint="eastAsia"/>
          <w:b/>
        </w:rPr>
        <w:t>For the Inactive state without MT restriction info from CN, after receiving a busy indication from the UE, if there were data arrived on other PDUs, whether the gNB trigger the RAN paging again?</w:t>
      </w:r>
    </w:p>
    <w:p>
      <w:pPr>
        <w:numPr>
          <w:ilvl w:val="0"/>
          <w:numId w:val="12"/>
        </w:numPr>
        <w:rPr>
          <w:b/>
        </w:rPr>
      </w:pPr>
      <w:r>
        <w:rPr>
          <w:rFonts w:hint="eastAsia"/>
          <w:b/>
        </w:rPr>
        <w:t>For the Inactive state without MT restriction info from CN, after receiving a busy indication from the UE, when the gNB can resume the paging?</w:t>
      </w:r>
    </w:p>
    <w:p>
      <w:pPr>
        <w:rPr>
          <w:b/>
          <w:bCs/>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rPr>
          <w:b/>
          <w:bCs/>
        </w:rPr>
      </w:pPr>
      <w:r>
        <w:rPr>
          <w:rFonts w:hint="eastAsia"/>
          <w:b/>
          <w:bCs/>
        </w:rPr>
        <w:t>Observation 1:</w:t>
      </w:r>
      <w:r>
        <w:rPr>
          <w:b/>
          <w:bCs/>
        </w:rPr>
        <w:t xml:space="preserve"> </w:t>
      </w:r>
      <w:r>
        <w:rPr>
          <w:rFonts w:hint="eastAsia"/>
          <w:b/>
          <w:bCs/>
        </w:rPr>
        <w:t xml:space="preserve">The </w:t>
      </w:r>
      <w:r>
        <w:rPr>
          <w:b/>
          <w:bCs/>
        </w:rPr>
        <w:t>switching</w:t>
      </w:r>
      <w:r>
        <w:rPr>
          <w:rFonts w:hint="eastAsia"/>
          <w:b/>
          <w:bCs/>
        </w:rPr>
        <w:t xml:space="preserve"> trigger events can be summarized as below:</w:t>
      </w:r>
    </w:p>
    <w:p>
      <w:pPr>
        <w:numPr>
          <w:ilvl w:val="255"/>
          <w:numId w:val="0"/>
        </w:numPr>
        <w:rPr>
          <w:b/>
          <w:bCs/>
        </w:rPr>
      </w:pPr>
      <w:r>
        <w:rPr>
          <w:rFonts w:hint="eastAsia"/>
          <w:b/>
          <w:bCs/>
        </w:rPr>
        <w:t>Scenario 1: periodic switching, such as paging reception, serving cell measurement.</w:t>
      </w:r>
    </w:p>
    <w:p>
      <w:pPr>
        <w:numPr>
          <w:ilvl w:val="255"/>
          <w:numId w:val="0"/>
        </w:numPr>
        <w:rPr>
          <w:b/>
          <w:bCs/>
        </w:rPr>
      </w:pPr>
      <w:r>
        <w:rPr>
          <w:rFonts w:hint="eastAsia"/>
          <w:b/>
          <w:bCs/>
        </w:rPr>
        <w:t>Scenario 2: Measurement for the cell reselection, including intra-frequency and inter-frequency.</w:t>
      </w:r>
    </w:p>
    <w:p>
      <w:pPr>
        <w:numPr>
          <w:ilvl w:val="255"/>
          <w:numId w:val="0"/>
        </w:numPr>
        <w:rPr>
          <w:b/>
          <w:bCs/>
        </w:rPr>
      </w:pPr>
      <w:r>
        <w:rPr>
          <w:rFonts w:hint="eastAsia"/>
          <w:b/>
          <w:bCs/>
        </w:rPr>
        <w:t xml:space="preserve">Scenario 3: SIB1 receiving or the Other SI receiving of the neighbor cells/Serving cell. </w:t>
      </w:r>
    </w:p>
    <w:p>
      <w:pPr>
        <w:numPr>
          <w:ilvl w:val="255"/>
          <w:numId w:val="0"/>
        </w:numPr>
        <w:rPr>
          <w:b/>
          <w:bCs/>
        </w:rPr>
      </w:pPr>
      <w:r>
        <w:rPr>
          <w:rFonts w:hint="eastAsia"/>
          <w:b/>
          <w:bCs/>
        </w:rPr>
        <w:t>Scenario 4: upper layer triggered CP plane procedure, e.g. Registration, Other MO signalling e.g.SMS. RRC triggered CP plane procedure, such as RAU</w:t>
      </w:r>
    </w:p>
    <w:p>
      <w:pPr>
        <w:numPr>
          <w:ilvl w:val="255"/>
          <w:numId w:val="0"/>
        </w:numPr>
        <w:rPr>
          <w:b/>
          <w:bCs/>
        </w:rPr>
      </w:pPr>
      <w:r>
        <w:rPr>
          <w:rFonts w:hint="eastAsia"/>
          <w:b/>
          <w:bCs/>
        </w:rPr>
        <w:t>Scenario 5: Ran/CN paging response (e.g. busy indication).</w:t>
      </w:r>
    </w:p>
    <w:p>
      <w:pPr>
        <w:numPr>
          <w:ilvl w:val="255"/>
          <w:numId w:val="0"/>
        </w:numPr>
        <w:rPr>
          <w:b/>
          <w:bCs/>
        </w:rPr>
      </w:pPr>
      <w:r>
        <w:rPr>
          <w:rFonts w:hint="eastAsia"/>
          <w:b/>
          <w:bCs/>
        </w:rPr>
        <w:t>Scenario 6: MO data/call service.</w:t>
      </w:r>
    </w:p>
    <w:p>
      <w:pPr>
        <w:numPr>
          <w:ilvl w:val="255"/>
          <w:numId w:val="0"/>
        </w:numPr>
        <w:rPr>
          <w:b/>
          <w:bCs/>
        </w:rPr>
      </w:pPr>
      <w:r>
        <w:rPr>
          <w:rFonts w:hint="eastAsia"/>
          <w:b/>
          <w:bCs/>
        </w:rPr>
        <w:t>Proposal 1: Scenarios 1/2/3 shall belong to the short-time switching (one-shot or periodic), the scenario 5 belong</w:t>
      </w:r>
      <w:r>
        <w:rPr>
          <w:b/>
          <w:bCs/>
        </w:rPr>
        <w:t>s</w:t>
      </w:r>
      <w:r>
        <w:rPr>
          <w:rFonts w:hint="eastAsia"/>
          <w:b/>
          <w:bCs/>
        </w:rPr>
        <w:t xml:space="preserve"> to the short-time switching, the scenario 6 belong to the long-time switching.</w:t>
      </w:r>
    </w:p>
    <w:p>
      <w:pPr>
        <w:numPr>
          <w:ilvl w:val="255"/>
          <w:numId w:val="0"/>
        </w:numPr>
        <w:rPr>
          <w:b/>
          <w:bCs/>
        </w:rPr>
      </w:pPr>
      <w:r>
        <w:rPr>
          <w:rFonts w:hint="eastAsia"/>
          <w:b/>
          <w:bCs/>
        </w:rPr>
        <w:t>Proposal 2: For the scenario 4, Ran2 doesn</w:t>
      </w:r>
      <w:r>
        <w:rPr>
          <w:b/>
          <w:bCs/>
        </w:rPr>
        <w:t>’</w:t>
      </w:r>
      <w:r>
        <w:rPr>
          <w:rFonts w:hint="eastAsia"/>
          <w:b/>
          <w:bCs/>
        </w:rPr>
        <w:t>t specify them as long-leaving</w:t>
      </w:r>
      <w:r>
        <w:rPr>
          <w:b/>
          <w:bCs/>
        </w:rPr>
        <w:t xml:space="preserve"> or short-leaving</w:t>
      </w:r>
      <w:r>
        <w:rPr>
          <w:rFonts w:hint="eastAsia"/>
          <w:b/>
          <w:bCs/>
        </w:rPr>
        <w:t xml:space="preserve"> trigger event, instead, it</w:t>
      </w:r>
      <w:r>
        <w:rPr>
          <w:b/>
          <w:bCs/>
        </w:rPr>
        <w:t>’</w:t>
      </w:r>
      <w:r>
        <w:rPr>
          <w:rFonts w:hint="eastAsia"/>
          <w:b/>
          <w:bCs/>
        </w:rPr>
        <w:t>s left to UE implementation.</w:t>
      </w:r>
    </w:p>
    <w:p>
      <w:pPr>
        <w:rPr>
          <w:rFonts w:eastAsia="宋体"/>
          <w:b/>
          <w:bCs/>
        </w:rPr>
      </w:pPr>
      <w:r>
        <w:rPr>
          <w:rFonts w:hint="eastAsia"/>
          <w:b/>
          <w:bCs/>
        </w:rPr>
        <w:t xml:space="preserve">Observation 2: </w:t>
      </w:r>
      <w:r>
        <w:rPr>
          <w:rFonts w:hint="eastAsia" w:eastAsia="宋体"/>
          <w:b/>
          <w:bCs/>
        </w:rPr>
        <w:t>SA2 has defined some assistance information for the MT restriction as below in 23761:</w:t>
      </w:r>
    </w:p>
    <w:p>
      <w:pPr>
        <w:pStyle w:val="124"/>
        <w:ind w:left="820" w:hanging="400"/>
        <w:rPr>
          <w:b/>
          <w:bCs/>
        </w:rPr>
      </w:pPr>
      <w:r>
        <w:rPr>
          <w:b/>
          <w:bCs/>
        </w:rPr>
        <w:t>-</w:t>
      </w:r>
      <w:r>
        <w:rPr>
          <w:b/>
          <w:bCs/>
        </w:rPr>
        <w:tab/>
      </w:r>
      <w:r>
        <w:rPr>
          <w:b/>
          <w:bCs/>
        </w:rPr>
        <w:t>An indication that the UE should only be paged for voice (MMTel voice or CS domain voice (for EPS)), or</w:t>
      </w:r>
    </w:p>
    <w:p>
      <w:pPr>
        <w:pStyle w:val="124"/>
        <w:ind w:left="820" w:hanging="400"/>
        <w:rPr>
          <w:b/>
          <w:bCs/>
          <w:lang w:eastAsia="zh-CN"/>
        </w:rPr>
      </w:pPr>
      <w:r>
        <w:rPr>
          <w:b/>
          <w:bCs/>
        </w:rPr>
        <w:t>-</w:t>
      </w:r>
      <w:r>
        <w:rPr>
          <w:b/>
          <w:bCs/>
        </w:rPr>
        <w:tab/>
      </w:r>
      <w:r>
        <w:rPr>
          <w:b/>
          <w:bCs/>
        </w:rPr>
        <w:t>An indication that the UE should not be paged at all, or</w:t>
      </w:r>
    </w:p>
    <w:p>
      <w:pPr>
        <w:pStyle w:val="124"/>
        <w:ind w:left="820" w:hanging="400"/>
        <w:rPr>
          <w:b/>
          <w:bCs/>
        </w:rPr>
      </w:pPr>
      <w:r>
        <w:rPr>
          <w:b/>
          <w:bCs/>
        </w:rPr>
        <w:t>-</w:t>
      </w:r>
      <w:r>
        <w:rPr>
          <w:b/>
          <w:bCs/>
        </w:rPr>
        <w:tab/>
      </w:r>
      <w:r>
        <w:rPr>
          <w:b/>
          <w:bCs/>
        </w:rPr>
        <w:t>PDN connection(s) for MT notification/paging restriction.</w:t>
      </w:r>
    </w:p>
    <w:p>
      <w:pPr>
        <w:rPr>
          <w:b/>
          <w:bCs/>
        </w:rPr>
      </w:pPr>
      <w:r>
        <w:rPr>
          <w:rFonts w:hint="eastAsia"/>
          <w:b/>
          <w:bCs/>
        </w:rPr>
        <w:t>Observation 3: If adopt As signaling, the UE need to map the NAS assistance information into AS information, otherwise, the AS signaling shall include a NAS message container to include the MT restriction information, which would be similar to a NAS signaling based scheme.</w:t>
      </w:r>
    </w:p>
    <w:p>
      <w:pPr>
        <w:rPr>
          <w:b/>
          <w:bCs/>
        </w:rPr>
      </w:pPr>
      <w:r>
        <w:rPr>
          <w:rFonts w:hint="eastAsia"/>
          <w:b/>
          <w:bCs/>
        </w:rPr>
        <w:t>Proposal 3: Adopt NAS signaling for the long-time switching.</w:t>
      </w:r>
    </w:p>
    <w:p>
      <w:pPr>
        <w:rPr>
          <w:b/>
          <w:bCs/>
        </w:rPr>
      </w:pPr>
      <w:r>
        <w:rPr>
          <w:rFonts w:hint="eastAsia"/>
          <w:b/>
          <w:bCs/>
        </w:rPr>
        <w:t>Proposal 4: Network determine Idle/Inactive state, no need to indicate the preferred state for the NAS signaling based scheme.</w:t>
      </w:r>
    </w:p>
    <w:p>
      <w:pPr>
        <w:rPr>
          <w:b/>
          <w:bCs/>
        </w:rPr>
      </w:pPr>
      <w:r>
        <w:rPr>
          <w:rFonts w:hint="eastAsia"/>
          <w:b/>
          <w:bCs/>
        </w:rPr>
        <w:t>Proposal 5: The paging detection of Scenario 1 belongs to the periodic short-time switching, scenarios 3/4/5 belong to the one-short-time switching.</w:t>
      </w:r>
    </w:p>
    <w:p>
      <w:pPr>
        <w:rPr>
          <w:b/>
          <w:bCs/>
        </w:rPr>
      </w:pPr>
      <w:r>
        <w:rPr>
          <w:rFonts w:hint="eastAsia"/>
          <w:b/>
          <w:bCs/>
        </w:rPr>
        <w:t>Proposal 6: The measurement for the serving cell in the scenarios 1 can be seen as periodic events and the periodic short-time switching is needed.</w:t>
      </w:r>
    </w:p>
    <w:p>
      <w:pPr>
        <w:rPr>
          <w:rFonts w:eastAsia="宋体"/>
        </w:rPr>
      </w:pPr>
      <w:r>
        <w:rPr>
          <w:rFonts w:hint="eastAsia" w:eastAsia="宋体"/>
          <w:b/>
          <w:bCs/>
        </w:rPr>
        <w:t>Observation 4: The detection/measurement for the intra-frequency, inter frequency and inter-Rat may also require periodic Gap.</w:t>
      </w:r>
    </w:p>
    <w:p>
      <w:pPr>
        <w:rPr>
          <w:rFonts w:eastAsia="宋体"/>
          <w:b/>
          <w:bCs/>
        </w:rPr>
      </w:pPr>
      <w:r>
        <w:rPr>
          <w:rFonts w:hint="eastAsia" w:eastAsia="宋体"/>
          <w:b/>
          <w:bCs/>
        </w:rPr>
        <w:t>Proposal 7: RAN2 to discuss whether the scenario 2 belongs to the periodic or one-shot event, or left to the UE implementation without specification.</w:t>
      </w:r>
    </w:p>
    <w:p>
      <w:pPr>
        <w:spacing w:after="0" w:line="240" w:lineRule="auto"/>
        <w:rPr>
          <w:b/>
          <w:bCs/>
        </w:rPr>
      </w:pPr>
      <w:r>
        <w:rPr>
          <w:rFonts w:hint="eastAsia" w:eastAsia="宋体"/>
          <w:b/>
          <w:bCs/>
        </w:rPr>
        <w:t xml:space="preserve">Proposal 8: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period, and the reference SCS or take the SCS of initial BWP of network A as reference SCS.</w:t>
      </w:r>
    </w:p>
    <w:p>
      <w:pPr>
        <w:rPr>
          <w:rFonts w:eastAsia="宋体"/>
          <w:b/>
          <w:bCs/>
        </w:rPr>
      </w:pPr>
      <w:r>
        <w:rPr>
          <w:rFonts w:hint="eastAsia" w:eastAsia="宋体"/>
          <w:b/>
          <w:bCs/>
        </w:rPr>
        <w:t>Proposal 9: The UE may require multiple gap patterns for the different purposes.</w:t>
      </w:r>
    </w:p>
    <w:p>
      <w:pPr>
        <w:rPr>
          <w:rFonts w:eastAsia="宋体"/>
          <w:b/>
          <w:bCs/>
        </w:rPr>
      </w:pPr>
      <w:r>
        <w:rPr>
          <w:rFonts w:hint="eastAsia" w:eastAsia="宋体"/>
          <w:b/>
          <w:bCs/>
        </w:rPr>
        <w:t>Proposal 9.1: The UE shall also indicate the purpose/usage for each gap pattern, then the network can assign the Gap selectively, e.g</w:t>
      </w:r>
      <w:r>
        <w:rPr>
          <w:rFonts w:eastAsia="宋体"/>
          <w:b/>
          <w:bCs/>
        </w:rPr>
        <w:t>.</w:t>
      </w:r>
      <w:r>
        <w:rPr>
          <w:rFonts w:hint="eastAsia" w:eastAsia="宋体"/>
          <w:b/>
          <w:bCs/>
        </w:rPr>
        <w:t xml:space="preserve"> give the Gap for paging with the highest priority.</w:t>
      </w:r>
    </w:p>
    <w:p>
      <w:pPr>
        <w:rPr>
          <w:b/>
          <w:bCs/>
        </w:rPr>
      </w:pPr>
      <w:r>
        <w:rPr>
          <w:rFonts w:hint="eastAsia" w:eastAsia="宋体"/>
          <w:b/>
          <w:bCs/>
        </w:rPr>
        <w:t xml:space="preserve">Proposal 10: Include </w:t>
      </w:r>
      <w:r>
        <w:rPr>
          <w:rFonts w:hint="eastAsia"/>
          <w:b/>
          <w:bCs/>
        </w:rPr>
        <w:t>Need for Gap indication for each Gap pattern.</w:t>
      </w:r>
    </w:p>
    <w:p>
      <w:pPr>
        <w:rPr>
          <w:rFonts w:eastAsia="宋体"/>
          <w:b/>
          <w:bCs/>
        </w:rPr>
      </w:pPr>
      <w:r>
        <w:rPr>
          <w:rFonts w:hint="eastAsia"/>
          <w:b/>
          <w:bCs/>
        </w:rPr>
        <w:t>Observation 5: There are 3 Gap type option</w:t>
      </w:r>
      <w:r>
        <w:rPr>
          <w:b/>
          <w:bCs/>
        </w:rPr>
        <w:t>s</w:t>
      </w:r>
      <w:r>
        <w:rPr>
          <w:rFonts w:hint="eastAsia"/>
          <w:b/>
          <w:bCs/>
        </w:rPr>
        <w:t xml:space="preserve"> for the one-shot short-time switching</w:t>
      </w:r>
      <w:r>
        <w:rPr>
          <w:b/>
          <w:bCs/>
        </w:rPr>
        <w:t>:</w:t>
      </w:r>
    </w:p>
    <w:p>
      <w:pPr>
        <w:numPr>
          <w:ilvl w:val="0"/>
          <w:numId w:val="9"/>
        </w:numPr>
        <w:rPr>
          <w:rFonts w:eastAsia="宋体"/>
          <w:b/>
          <w:bCs/>
        </w:rPr>
      </w:pPr>
      <w:r>
        <w:rPr>
          <w:rFonts w:hint="eastAsia" w:eastAsia="宋体"/>
          <w:b/>
          <w:bCs/>
        </w:rPr>
        <w:t>Option 1: Scheduled Gap,</w:t>
      </w:r>
      <w:r>
        <w:rPr>
          <w:rFonts w:eastAsia="宋体"/>
          <w:b/>
          <w:bCs/>
        </w:rPr>
        <w:t xml:space="preserve"> </w:t>
      </w:r>
      <w:r>
        <w:rPr>
          <w:rFonts w:hint="eastAsia" w:eastAsia="宋体"/>
          <w:b/>
          <w:bCs/>
        </w:rPr>
        <w:t>the Gap length equals to the short-time switching duration, during the Gap the network shall avoid both DL and UL scheduling;</w:t>
      </w:r>
    </w:p>
    <w:p>
      <w:pPr>
        <w:numPr>
          <w:ilvl w:val="0"/>
          <w:numId w:val="9"/>
        </w:numPr>
        <w:rPr>
          <w:rFonts w:eastAsia="宋体"/>
          <w:b/>
          <w:bCs/>
        </w:rPr>
      </w:pPr>
      <w:r>
        <w:rPr>
          <w:rFonts w:hint="eastAsia" w:eastAsia="宋体"/>
          <w:b/>
          <w:bCs/>
        </w:rPr>
        <w:t xml:space="preserve">Option 2: Scheduled Gap with TDM pattern, which is similar to the measurement GAP, the network A reserve the Gap periodically during the Scheduled Gap; </w:t>
      </w:r>
    </w:p>
    <w:p>
      <w:pPr>
        <w:numPr>
          <w:ilvl w:val="0"/>
          <w:numId w:val="9"/>
        </w:numPr>
        <w:rPr>
          <w:rFonts w:eastAsia="宋体"/>
          <w:b/>
          <w:bCs/>
        </w:rPr>
      </w:pPr>
      <w:r>
        <w:rPr>
          <w:rFonts w:hint="eastAsia" w:eastAsia="宋体"/>
          <w:b/>
          <w:bCs/>
        </w:rPr>
        <w:t>Option 3: Autonomous Gap, during the Gap, just as some legacy MUSIM UE has done, it</w:t>
      </w:r>
      <w:r>
        <w:rPr>
          <w:rFonts w:eastAsia="宋体"/>
          <w:b/>
          <w:bCs/>
        </w:rPr>
        <w:t>’</w:t>
      </w:r>
      <w:r>
        <w:rPr>
          <w:rFonts w:hint="eastAsia" w:eastAsia="宋体"/>
          <w:b/>
          <w:bCs/>
        </w:rPr>
        <w:t>s left to the UE implementation on how to communicate with 2 networks.</w:t>
      </w:r>
    </w:p>
    <w:p>
      <w:pPr>
        <w:rPr>
          <w:b/>
          <w:bCs/>
        </w:rPr>
      </w:pPr>
      <w:r>
        <w:rPr>
          <w:rFonts w:hint="eastAsia"/>
          <w:b/>
          <w:bCs/>
        </w:rPr>
        <w:t>Proposal 11: Ran2 to discuss which kind of Gap to be adopted for one-shot short-time switching first.</w:t>
      </w:r>
    </w:p>
    <w:p>
      <w:pPr>
        <w:rPr>
          <w:b/>
          <w:bCs/>
        </w:rPr>
      </w:pPr>
      <w:r>
        <w:rPr>
          <w:rFonts w:hint="eastAsia"/>
          <w:b/>
          <w:bCs/>
        </w:rPr>
        <w:t>Proposal 12: If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back to</w:t>
      </w:r>
      <w:r>
        <w:rPr>
          <w:rFonts w:hint="eastAsia"/>
          <w:b/>
          <w:bCs/>
        </w:rPr>
        <w:t xml:space="preserve"> the network A.</w:t>
      </w:r>
    </w:p>
    <w:p>
      <w:pPr>
        <w:rPr>
          <w:b/>
          <w:bCs/>
        </w:rPr>
      </w:pPr>
      <w:r>
        <w:rPr>
          <w:rFonts w:hint="eastAsia"/>
          <w:b/>
          <w:bCs/>
        </w:rPr>
        <w:t>Proposal 13: The UE shall inform the network B that it was at short-time switching procedure on the other network, then the network B can avoid to trigger the mobility (e.g</w:t>
      </w:r>
      <w:r>
        <w:rPr>
          <w:b/>
          <w:bCs/>
        </w:rPr>
        <w:t>.</w:t>
      </w:r>
      <w:r>
        <w:rPr>
          <w:rFonts w:hint="eastAsia"/>
          <w:b/>
          <w:bCs/>
        </w:rPr>
        <w:t xml:space="preserve"> handover, redirection), measurement and DC related procedures.</w:t>
      </w:r>
    </w:p>
    <w:p>
      <w:pPr>
        <w:rPr>
          <w:b/>
          <w:bCs/>
        </w:rPr>
      </w:pPr>
      <w:r>
        <w:rPr>
          <w:rFonts w:hint="eastAsia"/>
          <w:b/>
          <w:bCs/>
        </w:rPr>
        <w:t>Observation 6: The following 2 issues for the busy indication can be further discussed.</w:t>
      </w:r>
    </w:p>
    <w:p>
      <w:pPr>
        <w:numPr>
          <w:ilvl w:val="0"/>
          <w:numId w:val="12"/>
        </w:numPr>
        <w:rPr>
          <w:b/>
        </w:rPr>
      </w:pPr>
      <w:r>
        <w:rPr>
          <w:rFonts w:hint="eastAsia"/>
          <w:b/>
        </w:rPr>
        <w:t>For the Inactive state without MT restriction info from CN, after receiving a busy indication from the UE, if there were data arrived on other PDUs, whether the gNB trigger the RAN paging again?</w:t>
      </w:r>
    </w:p>
    <w:p>
      <w:pPr>
        <w:numPr>
          <w:ilvl w:val="0"/>
          <w:numId w:val="12"/>
        </w:numPr>
        <w:spacing w:before="156" w:beforeLines="50"/>
      </w:pPr>
      <w:r>
        <w:rPr>
          <w:rFonts w:hint="eastAsia"/>
          <w:b/>
        </w:rPr>
        <w:t>For the Inactive state without MT restriction info from CN, after receiving a busy indication from the UE, when the gNB can resume the paging?</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3"/>
        </w:numPr>
      </w:pPr>
      <w:r>
        <w:t>R</w:t>
      </w:r>
      <w:r>
        <w:rPr>
          <w:rFonts w:hint="eastAsia"/>
        </w:rPr>
        <w:t>2</w:t>
      </w:r>
      <w:r>
        <w:t>-20</w:t>
      </w:r>
      <w:r>
        <w:rPr>
          <w:rFonts w:hint="eastAsia"/>
        </w:rPr>
        <w:t xml:space="preserve">xxxx    </w:t>
      </w:r>
      <w:r>
        <w:t>[DRAFT] [post112-e][256][Multi-SIM] Network switching details (vivo)</w:t>
      </w:r>
    </w:p>
    <w:p>
      <w:pPr>
        <w:numPr>
          <w:ilvl w:val="0"/>
          <w:numId w:val="13"/>
        </w:numPr>
      </w:pPr>
      <w:r>
        <w:rPr>
          <w:rFonts w:hint="eastAsia"/>
        </w:rPr>
        <w:t xml:space="preserve">23761   </w:t>
      </w:r>
      <w:r>
        <w:rPr>
          <w:rFonts w:cs="Arial"/>
          <w:szCs w:val="34"/>
        </w:rPr>
        <w:t>Study on system enablers for devices having multiple Universal Subscriber Identity Modules (USIM)</w:t>
      </w:r>
      <w:r>
        <w:rPr>
          <w:rFonts w:hint="eastAsia" w:cs="Arial"/>
          <w:szCs w:val="34"/>
        </w:rPr>
        <w:t xml:space="preserve">  3GPP</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b w:val="0"/>
          <w:bCs w:val="0"/>
          <w:sz w:val="28"/>
          <w:szCs w:val="28"/>
        </w:rPr>
      </w:pPr>
      <w:r>
        <w:rPr>
          <w:rFonts w:hint="eastAsia" w:ascii="Arial" w:hAnsi="Arial" w:cs="Arial"/>
          <w:b w:val="0"/>
          <w:bCs w:val="0"/>
          <w:kern w:val="0"/>
          <w:sz w:val="32"/>
          <w:szCs w:val="36"/>
        </w:rPr>
        <w:t xml:space="preserve">Annex </w:t>
      </w:r>
      <w:r>
        <w:rPr>
          <w:rFonts w:hint="eastAsia" w:ascii="Arial" w:hAnsi="Arial"/>
          <w:b w:val="0"/>
          <w:bCs w:val="0"/>
          <w:sz w:val="28"/>
          <w:szCs w:val="28"/>
        </w:rPr>
        <w:t>Inter frequency and Inter Rat measurement requirements</w:t>
      </w:r>
    </w:p>
    <w:p>
      <w:r>
        <w:rPr>
          <w:rFonts w:hint="eastAsia"/>
        </w:rPr>
        <w:t>According to the 38304, the UE will trigger the inter frequency or inter-Rat measurement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107"/>
              <w:ind w:left="0" w:firstLine="0"/>
            </w:pPr>
            <w:r>
              <w:rPr>
                <w:lang w:eastAsia="zh-CN"/>
              </w:rPr>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pPr>
              <w:pStyle w:val="107"/>
              <w:ind w:left="0" w:firstLine="0"/>
              <w:rPr>
                <w:lang w:eastAsia="zh-CN"/>
              </w:rPr>
            </w:pPr>
            <w:r>
              <w:rPr>
                <w:lang w:eastAsia="zh-CN"/>
              </w:rPr>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pPr>
              <w:pStyle w:val="124"/>
              <w:ind w:left="820" w:hanging="400"/>
              <w:rPr>
                <w:lang w:eastAsia="zh-CN"/>
              </w:rPr>
            </w:pPr>
            <w:r>
              <w:t>-</w:t>
            </w:r>
            <w:r>
              <w:tab/>
            </w:r>
            <w:r>
              <w:t>If the serving cell fulfils Srxlev</w:t>
            </w:r>
            <w:r>
              <w:rPr>
                <w:rFonts w:hint="eastAsia"/>
              </w:rPr>
              <w:t>≤</w:t>
            </w:r>
            <w:r>
              <w:t xml:space="preserve"> S</w:t>
            </w:r>
            <w:r>
              <w:rPr>
                <w:vertAlign w:val="subscript"/>
              </w:rPr>
              <w:t>nonIntraSearchP</w:t>
            </w:r>
            <w:r>
              <w:t xml:space="preserve"> </w:t>
            </w:r>
            <w:r>
              <w:rPr>
                <w:rFonts w:hint="eastAsia" w:eastAsia="宋体"/>
                <w:lang w:eastAsia="zh-CN"/>
              </w:rPr>
              <w:t xml:space="preserve">or </w:t>
            </w:r>
            <w:r>
              <w:t xml:space="preserve">Squal </w:t>
            </w:r>
            <w:r>
              <w:rPr>
                <w:rFonts w:hint="eastAsia"/>
              </w:rPr>
              <w:t>≤</w:t>
            </w:r>
            <w:r>
              <w:t xml:space="preserve"> S</w:t>
            </w:r>
            <w:r>
              <w:rPr>
                <w:vertAlign w:val="subscript"/>
              </w:rPr>
              <w:t>nonIntraSearchQ</w:t>
            </w:r>
            <w:r>
              <w:t>, the UE shall perform measurements of NR inter-frequencies or inter-RAT frequency cells of equal or lower priority according to TS 38.133 [8].</w:t>
            </w:r>
          </w:p>
        </w:tc>
      </w:tr>
    </w:tbl>
    <w:p>
      <w:pPr>
        <w:pStyle w:val="89"/>
        <w:rPr>
          <w:color w:val="auto"/>
          <w:vertAlign w:val="subscript"/>
        </w:rPr>
      </w:pPr>
      <w:r>
        <w:rPr>
          <w:color w:val="auto"/>
        </w:rPr>
        <w:t>Table 4.2.2.4-1: T</w:t>
      </w:r>
      <w:r>
        <w:rPr>
          <w:color w:val="auto"/>
          <w:vertAlign w:val="subscript"/>
        </w:rPr>
        <w:t>detect,NR_Inter,</w:t>
      </w:r>
      <w:r>
        <w:rPr>
          <w:color w:val="auto"/>
        </w:rPr>
        <w:t xml:space="preserve"> T</w:t>
      </w:r>
      <w:r>
        <w:rPr>
          <w:color w:val="auto"/>
          <w:vertAlign w:val="subscript"/>
        </w:rPr>
        <w:t>measure,NR_Inter</w:t>
      </w:r>
      <w:r>
        <w:rPr>
          <w:color w:val="auto"/>
        </w:rPr>
        <w:t xml:space="preserve"> and T</w:t>
      </w:r>
      <w:r>
        <w:rPr>
          <w:color w:val="auto"/>
          <w:vertAlign w:val="subscript"/>
        </w:rPr>
        <w:t>evaluate,NR_Inter</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060"/>
        <w:gridCol w:w="1062"/>
        <w:gridCol w:w="2551"/>
        <w:gridCol w:w="201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Scaling Factor (N1)</w:t>
            </w:r>
          </w:p>
        </w:tc>
        <w:tc>
          <w:tcPr>
            <w:tcW w:w="1276" w:type="pct"/>
            <w:vMerge w:val="restart"/>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T</w:t>
            </w:r>
            <w:r>
              <w:rPr>
                <w:sz w:val="15"/>
                <w:szCs w:val="15"/>
                <w:vertAlign w:val="subscript"/>
              </w:rPr>
              <w:t>detect,NR_</w:t>
            </w:r>
            <w:r>
              <w:rPr>
                <w:rFonts w:cs="v4.2.0"/>
                <w:sz w:val="15"/>
                <w:szCs w:val="15"/>
                <w:vertAlign w:val="subscript"/>
              </w:rPr>
              <w:t>Inter</w:t>
            </w:r>
            <w:r>
              <w:rPr>
                <w:sz w:val="15"/>
                <w:szCs w:val="15"/>
              </w:rPr>
              <w:t xml:space="preserve"> [s] (number of DRX cycles)</w:t>
            </w:r>
          </w:p>
        </w:tc>
        <w:tc>
          <w:tcPr>
            <w:tcW w:w="1006" w:type="pct"/>
            <w:vMerge w:val="restart"/>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T</w:t>
            </w:r>
            <w:r>
              <w:rPr>
                <w:sz w:val="15"/>
                <w:szCs w:val="15"/>
                <w:vertAlign w:val="subscript"/>
              </w:rPr>
              <w:t>measure,NR_</w:t>
            </w:r>
            <w:r>
              <w:rPr>
                <w:rFonts w:cs="v4.2.0"/>
                <w:sz w:val="15"/>
                <w:szCs w:val="15"/>
                <w:vertAlign w:val="subscript"/>
              </w:rPr>
              <w:t>Inter</w:t>
            </w:r>
            <w:r>
              <w:rPr>
                <w:sz w:val="15"/>
                <w:szCs w:val="15"/>
              </w:rPr>
              <w:t xml:space="preserve"> [s] (number of DRX cycles)</w:t>
            </w:r>
          </w:p>
        </w:tc>
        <w:tc>
          <w:tcPr>
            <w:tcW w:w="1050" w:type="pct"/>
            <w:vMerge w:val="restart"/>
            <w:tcBorders>
              <w:top w:val="single" w:color="auto" w:sz="4" w:space="0"/>
              <w:left w:val="single" w:color="auto" w:sz="4" w:space="0"/>
              <w:bottom w:val="single" w:color="auto" w:sz="4" w:space="0"/>
              <w:right w:val="single" w:color="auto" w:sz="4" w:space="0"/>
            </w:tcBorders>
          </w:tcPr>
          <w:p>
            <w:pPr>
              <w:pStyle w:val="201"/>
              <w:rPr>
                <w:sz w:val="15"/>
                <w:szCs w:val="15"/>
              </w:rPr>
            </w:pPr>
            <w:r>
              <w:rPr>
                <w:sz w:val="15"/>
                <w:szCs w:val="15"/>
              </w:rPr>
              <w:t>T</w:t>
            </w:r>
            <w:r>
              <w:rPr>
                <w:sz w:val="15"/>
                <w:szCs w:val="15"/>
                <w:vertAlign w:val="subscript"/>
              </w:rPr>
              <w:t>evaluate,NR_</w:t>
            </w:r>
            <w:r>
              <w:rPr>
                <w:rFonts w:cs="v4.2.0"/>
                <w:sz w:val="15"/>
                <w:szCs w:val="15"/>
                <w:vertAlign w:val="subscript"/>
              </w:rPr>
              <w:t>Inter</w:t>
            </w:r>
            <w:r>
              <w:rPr>
                <w:sz w:val="15"/>
                <w:szCs w:val="15"/>
              </w:rP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01"/>
            </w:pPr>
          </w:p>
        </w:tc>
        <w:tc>
          <w:tcPr>
            <w:tcW w:w="530" w:type="pct"/>
            <w:tcBorders>
              <w:top w:val="single" w:color="auto" w:sz="4" w:space="0"/>
              <w:left w:val="single" w:color="auto" w:sz="4" w:space="0"/>
              <w:bottom w:val="single" w:color="auto" w:sz="4" w:space="0"/>
              <w:right w:val="single" w:color="auto" w:sz="4" w:space="0"/>
            </w:tcBorders>
          </w:tcPr>
          <w:p>
            <w:pPr>
              <w:pStyle w:val="201"/>
            </w:pPr>
            <w:r>
              <w:t>FR1</w:t>
            </w:r>
          </w:p>
        </w:tc>
        <w:tc>
          <w:tcPr>
            <w:tcW w:w="531" w:type="pct"/>
            <w:tcBorders>
              <w:top w:val="single" w:color="auto" w:sz="4" w:space="0"/>
              <w:left w:val="single" w:color="auto" w:sz="4" w:space="0"/>
              <w:bottom w:val="single" w:color="auto" w:sz="4" w:space="0"/>
              <w:right w:val="single" w:color="auto" w:sz="4" w:space="0"/>
            </w:tcBorders>
          </w:tcPr>
          <w:p>
            <w:pPr>
              <w:pStyle w:val="201"/>
              <w:rPr>
                <w:vertAlign w:val="superscript"/>
              </w:rPr>
            </w:pPr>
            <w:r>
              <w:t>FR2</w:t>
            </w:r>
            <w:r>
              <w:rPr>
                <w:vertAlign w:val="superscript"/>
              </w:rPr>
              <w:t>Note1</w:t>
            </w:r>
          </w:p>
        </w:tc>
        <w:tc>
          <w:tcPr>
            <w:tcW w:w="1276" w:type="pct"/>
            <w:vMerge w:val="continue"/>
            <w:tcBorders>
              <w:top w:val="single" w:color="auto" w:sz="4" w:space="0"/>
              <w:left w:val="single" w:color="auto" w:sz="4" w:space="0"/>
              <w:bottom w:val="single" w:color="auto" w:sz="4" w:space="0"/>
              <w:right w:val="single" w:color="auto" w:sz="4" w:space="0"/>
            </w:tcBorders>
            <w:vAlign w:val="center"/>
          </w:tcPr>
          <w:p>
            <w:pPr>
              <w:pStyle w:val="201"/>
            </w:pPr>
          </w:p>
        </w:tc>
        <w:tc>
          <w:tcPr>
            <w:tcW w:w="1006" w:type="pct"/>
            <w:vMerge w:val="continue"/>
            <w:tcBorders>
              <w:top w:val="single" w:color="auto" w:sz="4" w:space="0"/>
              <w:left w:val="single" w:color="auto" w:sz="4" w:space="0"/>
              <w:bottom w:val="single" w:color="auto" w:sz="4" w:space="0"/>
              <w:right w:val="single" w:color="auto" w:sz="4" w:space="0"/>
            </w:tcBorders>
            <w:vAlign w:val="center"/>
          </w:tcPr>
          <w:p>
            <w:pPr>
              <w:pStyle w:val="201"/>
            </w:pPr>
          </w:p>
        </w:tc>
        <w:tc>
          <w:tcPr>
            <w:tcW w:w="1050" w:type="pct"/>
            <w:vMerge w:val="continue"/>
            <w:tcBorders>
              <w:top w:val="single" w:color="auto" w:sz="4" w:space="0"/>
              <w:left w:val="single" w:color="auto" w:sz="4" w:space="0"/>
              <w:bottom w:val="single" w:color="auto" w:sz="4" w:space="0"/>
              <w:right w:val="single" w:color="auto" w:sz="4" w:space="0"/>
            </w:tcBorders>
            <w:vAlign w:val="center"/>
          </w:tcPr>
          <w:p>
            <w:pPr>
              <w:pStyle w:val="2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0.32</w:t>
            </w:r>
          </w:p>
        </w:tc>
        <w:tc>
          <w:tcPr>
            <w:tcW w:w="530" w:type="pct"/>
            <w:tcBorders>
              <w:top w:val="single" w:color="auto" w:sz="4" w:space="0"/>
              <w:left w:val="single" w:color="auto" w:sz="4" w:space="0"/>
              <w:bottom w:val="nil"/>
              <w:right w:val="single" w:color="auto" w:sz="4" w:space="0"/>
            </w:tcBorders>
          </w:tcPr>
          <w:p>
            <w:pPr>
              <w:pStyle w:val="202"/>
              <w:rPr>
                <w:sz w:val="15"/>
                <w:szCs w:val="15"/>
              </w:rPr>
            </w:pPr>
            <w:r>
              <w:rPr>
                <w:sz w:val="15"/>
                <w:szCs w:val="15"/>
              </w:rPr>
              <w:t>1</w:t>
            </w:r>
          </w:p>
        </w:tc>
        <w:tc>
          <w:tcPr>
            <w:tcW w:w="531"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8</w:t>
            </w:r>
          </w:p>
        </w:tc>
        <w:tc>
          <w:tcPr>
            <w:tcW w:w="127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 xml:space="preserve">11.52 x N1 </w:t>
            </w:r>
            <w:r>
              <w:rPr>
                <w:sz w:val="15"/>
                <w:szCs w:val="15"/>
                <w:lang w:eastAsia="zh-CN"/>
              </w:rPr>
              <w:t xml:space="preserve">x 1.5 </w:t>
            </w:r>
            <w:r>
              <w:rPr>
                <w:sz w:val="15"/>
                <w:szCs w:val="15"/>
              </w:rPr>
              <w:t>(</w:t>
            </w:r>
            <w:r>
              <w:rPr>
                <w:color w:val="FF0000"/>
                <w:sz w:val="15"/>
                <w:szCs w:val="15"/>
              </w:rPr>
              <w:t>36</w:t>
            </w:r>
            <w:r>
              <w:rPr>
                <w:sz w:val="15"/>
                <w:szCs w:val="15"/>
              </w:rPr>
              <w:t xml:space="preserve"> x N1</w:t>
            </w:r>
            <w:r>
              <w:rPr>
                <w:sz w:val="15"/>
                <w:szCs w:val="15"/>
                <w:lang w:eastAsia="zh-CN"/>
              </w:rPr>
              <w:t xml:space="preserve"> x 1.5</w:t>
            </w:r>
            <w:r>
              <w:rPr>
                <w:sz w:val="15"/>
                <w:szCs w:val="15"/>
              </w:rPr>
              <w:t>)</w:t>
            </w:r>
          </w:p>
        </w:tc>
        <w:tc>
          <w:tcPr>
            <w:tcW w:w="100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 xml:space="preserve">1.28 x N1 </w:t>
            </w:r>
            <w:r>
              <w:rPr>
                <w:sz w:val="15"/>
                <w:szCs w:val="15"/>
                <w:lang w:eastAsia="zh-CN"/>
              </w:rPr>
              <w:t xml:space="preserve">x 1.5 </w:t>
            </w:r>
            <w:r>
              <w:rPr>
                <w:sz w:val="15"/>
                <w:szCs w:val="15"/>
              </w:rPr>
              <w:t>(</w:t>
            </w:r>
            <w:r>
              <w:rPr>
                <w:color w:val="FF0000"/>
                <w:sz w:val="15"/>
                <w:szCs w:val="15"/>
              </w:rPr>
              <w:t>4</w:t>
            </w:r>
            <w:r>
              <w:rPr>
                <w:sz w:val="15"/>
                <w:szCs w:val="15"/>
              </w:rPr>
              <w:t xml:space="preserve"> x N1</w:t>
            </w:r>
            <w:r>
              <w:rPr>
                <w:sz w:val="15"/>
                <w:szCs w:val="15"/>
                <w:lang w:eastAsia="zh-CN"/>
              </w:rPr>
              <w:t xml:space="preserve"> x 1.5</w:t>
            </w:r>
            <w:r>
              <w:rPr>
                <w:sz w:val="15"/>
                <w:szCs w:val="15"/>
              </w:rPr>
              <w:t>)</w:t>
            </w:r>
          </w:p>
        </w:tc>
        <w:tc>
          <w:tcPr>
            <w:tcW w:w="1050"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 xml:space="preserve">5.12 x N1 </w:t>
            </w:r>
            <w:r>
              <w:rPr>
                <w:sz w:val="15"/>
                <w:szCs w:val="15"/>
                <w:lang w:eastAsia="zh-CN"/>
              </w:rPr>
              <w:t xml:space="preserve">x 1.5 </w:t>
            </w:r>
            <w:r>
              <w:rPr>
                <w:sz w:val="15"/>
                <w:szCs w:val="15"/>
              </w:rPr>
              <w:t>(16 x N1</w:t>
            </w:r>
            <w:r>
              <w:rPr>
                <w:sz w:val="15"/>
                <w:szCs w:val="15"/>
                <w:lang w:eastAsia="zh-CN"/>
              </w:rPr>
              <w:t xml:space="preserve"> x 1.5</w:t>
            </w:r>
            <w:r>
              <w:rPr>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0.64</w:t>
            </w:r>
          </w:p>
        </w:tc>
        <w:tc>
          <w:tcPr>
            <w:tcW w:w="0" w:type="auto"/>
            <w:tcBorders>
              <w:top w:val="nil"/>
              <w:left w:val="single" w:color="auto" w:sz="4" w:space="0"/>
              <w:bottom w:val="nil"/>
              <w:right w:val="single" w:color="auto" w:sz="4" w:space="0"/>
            </w:tcBorders>
          </w:tcPr>
          <w:p>
            <w:pPr>
              <w:pStyle w:val="202"/>
              <w:rPr>
                <w:sz w:val="15"/>
                <w:szCs w:val="15"/>
              </w:rPr>
            </w:pPr>
          </w:p>
        </w:tc>
        <w:tc>
          <w:tcPr>
            <w:tcW w:w="531"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5</w:t>
            </w:r>
          </w:p>
        </w:tc>
        <w:tc>
          <w:tcPr>
            <w:tcW w:w="127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17.92x N1 (28 x N1)</w:t>
            </w:r>
          </w:p>
        </w:tc>
        <w:tc>
          <w:tcPr>
            <w:tcW w:w="100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1.28 x N1 (2 x N1)</w:t>
            </w:r>
          </w:p>
        </w:tc>
        <w:tc>
          <w:tcPr>
            <w:tcW w:w="1050"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1.28</w:t>
            </w:r>
          </w:p>
        </w:tc>
        <w:tc>
          <w:tcPr>
            <w:tcW w:w="0" w:type="auto"/>
            <w:tcBorders>
              <w:top w:val="nil"/>
              <w:left w:val="single" w:color="auto" w:sz="4" w:space="0"/>
              <w:bottom w:val="nil"/>
              <w:right w:val="single" w:color="auto" w:sz="4" w:space="0"/>
            </w:tcBorders>
          </w:tcPr>
          <w:p>
            <w:pPr>
              <w:pStyle w:val="202"/>
              <w:rPr>
                <w:sz w:val="15"/>
                <w:szCs w:val="15"/>
              </w:rPr>
            </w:pPr>
          </w:p>
        </w:tc>
        <w:tc>
          <w:tcPr>
            <w:tcW w:w="531"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4</w:t>
            </w:r>
          </w:p>
        </w:tc>
        <w:tc>
          <w:tcPr>
            <w:tcW w:w="127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32 x N1 (25 x N1)</w:t>
            </w:r>
          </w:p>
        </w:tc>
        <w:tc>
          <w:tcPr>
            <w:tcW w:w="100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1.28 x N1 (1 x N1)</w:t>
            </w:r>
          </w:p>
        </w:tc>
        <w:tc>
          <w:tcPr>
            <w:tcW w:w="1050"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604"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2.56</w:t>
            </w:r>
          </w:p>
        </w:tc>
        <w:tc>
          <w:tcPr>
            <w:tcW w:w="0" w:type="auto"/>
            <w:tcBorders>
              <w:top w:val="nil"/>
              <w:left w:val="single" w:color="auto" w:sz="4" w:space="0"/>
              <w:bottom w:val="single" w:color="auto" w:sz="4" w:space="0"/>
              <w:right w:val="single" w:color="auto" w:sz="4" w:space="0"/>
            </w:tcBorders>
          </w:tcPr>
          <w:p>
            <w:pPr>
              <w:pStyle w:val="202"/>
              <w:rPr>
                <w:sz w:val="15"/>
                <w:szCs w:val="15"/>
              </w:rPr>
            </w:pPr>
          </w:p>
        </w:tc>
        <w:tc>
          <w:tcPr>
            <w:tcW w:w="531"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3</w:t>
            </w:r>
          </w:p>
        </w:tc>
        <w:tc>
          <w:tcPr>
            <w:tcW w:w="127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58.88 x N1 (23 x N1)</w:t>
            </w:r>
          </w:p>
        </w:tc>
        <w:tc>
          <w:tcPr>
            <w:tcW w:w="1006"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2.56 x N1 (1 x N1)</w:t>
            </w:r>
          </w:p>
        </w:tc>
        <w:tc>
          <w:tcPr>
            <w:tcW w:w="1050" w:type="pct"/>
            <w:tcBorders>
              <w:top w:val="single" w:color="auto" w:sz="4" w:space="0"/>
              <w:left w:val="single" w:color="auto" w:sz="4" w:space="0"/>
              <w:bottom w:val="single" w:color="auto" w:sz="4" w:space="0"/>
              <w:right w:val="single" w:color="auto" w:sz="4" w:space="0"/>
            </w:tcBorders>
          </w:tcPr>
          <w:p>
            <w:pPr>
              <w:pStyle w:val="202"/>
              <w:rPr>
                <w:sz w:val="15"/>
                <w:szCs w:val="15"/>
              </w:rPr>
            </w:pPr>
            <w:r>
              <w:rPr>
                <w:sz w:val="15"/>
                <w:szCs w:val="15"/>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264"/>
              <w:rPr>
                <w:sz w:val="15"/>
                <w:szCs w:val="15"/>
              </w:rPr>
            </w:pPr>
            <w:r>
              <w:rPr>
                <w:snapToGrid w:val="0"/>
                <w:sz w:val="15"/>
                <w:szCs w:val="15"/>
                <w:lang w:eastAsia="zh-CN"/>
              </w:rPr>
              <w:t>Note 1</w:t>
            </w:r>
            <w:r>
              <w:rPr>
                <w:sz w:val="15"/>
                <w:szCs w:val="15"/>
              </w:rPr>
              <w:t>:</w:t>
            </w:r>
            <w:r>
              <w:rPr>
                <w:sz w:val="15"/>
                <w:szCs w:val="15"/>
                <w:lang w:val="en-US"/>
              </w:rPr>
              <w:tab/>
            </w:r>
            <w:r>
              <w:rPr>
                <w:sz w:val="15"/>
                <w:szCs w:val="15"/>
              </w:rPr>
              <w:t xml:space="preserve">Applies for UE supporting power class </w:t>
            </w:r>
            <w:r>
              <w:rPr>
                <w:sz w:val="15"/>
                <w:szCs w:val="15"/>
                <w:lang w:eastAsia="zh-CN"/>
              </w:rPr>
              <w:t>2&amp;3&amp;4</w:t>
            </w:r>
            <w:r>
              <w:rPr>
                <w:sz w:val="15"/>
                <w:szCs w:val="15"/>
              </w:rPr>
              <w:t>. For UE supporting power class 1, N1 = 8 for all DRX cycle length.</w:t>
            </w:r>
          </w:p>
        </w:tc>
      </w:tr>
    </w:tbl>
    <w:p/>
    <w:p>
      <w:pPr>
        <w:pStyle w:val="89"/>
        <w:rPr>
          <w:rFonts w:cs="v4.2.0"/>
          <w:color w:val="auto"/>
          <w:vertAlign w:val="subscript"/>
          <w:lang w:eastAsia="zh-CN"/>
        </w:rPr>
      </w:pPr>
      <w:r>
        <w:rPr>
          <w:snapToGrid w:val="0"/>
          <w:color w:val="auto"/>
        </w:rPr>
        <w:t xml:space="preserve">Table 4.2.2.5-1: </w:t>
      </w:r>
      <w:r>
        <w:rPr>
          <w:color w:val="auto"/>
        </w:rPr>
        <w:t>T</w:t>
      </w:r>
      <w:r>
        <w:rPr>
          <w:color w:val="auto"/>
          <w:vertAlign w:val="subscript"/>
        </w:rPr>
        <w:t>detect,</w:t>
      </w:r>
      <w:r>
        <w:rPr>
          <w:color w:val="auto"/>
          <w:vertAlign w:val="subscript"/>
          <w:lang w:eastAsia="zh-CN"/>
        </w:rPr>
        <w:t>E</w:t>
      </w:r>
      <w:r>
        <w:rPr>
          <w:color w:val="auto"/>
          <w:vertAlign w:val="subscript"/>
        </w:rPr>
        <w:t>UTRAN</w:t>
      </w:r>
      <w:r>
        <w:rPr>
          <w:snapToGrid w:val="0"/>
          <w:color w:val="auto"/>
        </w:rPr>
        <w:t xml:space="preserve">, </w:t>
      </w:r>
      <w:r>
        <w:rPr>
          <w:color w:val="auto"/>
        </w:rPr>
        <w:t>T</w:t>
      </w:r>
      <w:r>
        <w:rPr>
          <w:color w:val="auto"/>
          <w:vertAlign w:val="subscript"/>
        </w:rPr>
        <w:t>measure,</w:t>
      </w:r>
      <w:r>
        <w:rPr>
          <w:color w:val="auto"/>
          <w:vertAlign w:val="subscript"/>
          <w:lang w:eastAsia="zh-CN"/>
        </w:rPr>
        <w:t>E</w:t>
      </w:r>
      <w:r>
        <w:rPr>
          <w:color w:val="auto"/>
          <w:vertAlign w:val="subscript"/>
        </w:rPr>
        <w:t>UTRAN,</w:t>
      </w:r>
      <w:r>
        <w:rPr>
          <w:color w:val="auto"/>
        </w:rPr>
        <w:t xml:space="preserve"> and </w:t>
      </w:r>
      <w:r>
        <w:rPr>
          <w:rFonts w:cs="v4.2.0"/>
          <w:color w:val="auto"/>
        </w:rPr>
        <w:t>T</w:t>
      </w:r>
      <w:r>
        <w:rPr>
          <w:rFonts w:cs="v4.2.0"/>
          <w:color w:val="auto"/>
          <w:vertAlign w:val="subscript"/>
        </w:rPr>
        <w:t>evaluate,</w:t>
      </w:r>
      <w:r>
        <w:rPr>
          <w:rFonts w:cs="v4.2.0"/>
          <w:color w:val="auto"/>
          <w:vertAlign w:val="subscript"/>
          <w:lang w:eastAsia="zh-CN"/>
        </w:rPr>
        <w:t>E</w:t>
      </w:r>
      <w:r>
        <w:rPr>
          <w:rFonts w:cs="v4.2.0"/>
          <w:color w:val="auto"/>
          <w:vertAlign w:val="subscript"/>
        </w:rPr>
        <w:t>UTRAN</w:t>
      </w:r>
    </w:p>
    <w:tbl>
      <w:tblPr>
        <w:tblStyle w:val="56"/>
        <w:tblW w:w="32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562"/>
        <w:gridCol w:w="1704"/>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2" w:type="pct"/>
            <w:tcBorders>
              <w:top w:val="single" w:color="auto" w:sz="4" w:space="0"/>
              <w:left w:val="single" w:color="auto" w:sz="4" w:space="0"/>
              <w:bottom w:val="single" w:color="auto" w:sz="4" w:space="0"/>
              <w:right w:val="single" w:color="auto" w:sz="4" w:space="0"/>
            </w:tcBorders>
          </w:tcPr>
          <w:p>
            <w:pPr>
              <w:pStyle w:val="201"/>
              <w:rPr>
                <w:snapToGrid w:val="0"/>
              </w:rPr>
            </w:pPr>
            <w:r>
              <w:t>DRX cycle length [s]</w:t>
            </w:r>
          </w:p>
        </w:tc>
        <w:tc>
          <w:tcPr>
            <w:tcW w:w="1195" w:type="pct"/>
            <w:tcBorders>
              <w:top w:val="single" w:color="auto" w:sz="4" w:space="0"/>
              <w:left w:val="single" w:color="auto" w:sz="4" w:space="0"/>
              <w:bottom w:val="single" w:color="auto" w:sz="4" w:space="0"/>
              <w:right w:val="single" w:color="auto" w:sz="4" w:space="0"/>
            </w:tcBorders>
          </w:tcPr>
          <w:p>
            <w:pPr>
              <w:pStyle w:val="201"/>
            </w:pPr>
            <w:r>
              <w:t>T</w:t>
            </w:r>
            <w:r>
              <w:rPr>
                <w:vertAlign w:val="subscript"/>
              </w:rPr>
              <w:t>detect,EUTRAN</w:t>
            </w:r>
            <w:r>
              <w:t xml:space="preserve"> [s] (number of DRX cycles)</w:t>
            </w:r>
          </w:p>
        </w:tc>
        <w:tc>
          <w:tcPr>
            <w:tcW w:w="1304" w:type="pct"/>
            <w:tcBorders>
              <w:top w:val="single" w:color="auto" w:sz="4" w:space="0"/>
              <w:left w:val="single" w:color="auto" w:sz="4" w:space="0"/>
              <w:bottom w:val="single" w:color="auto" w:sz="4" w:space="0"/>
              <w:right w:val="single" w:color="auto" w:sz="4" w:space="0"/>
            </w:tcBorders>
          </w:tcPr>
          <w:p>
            <w:pPr>
              <w:pStyle w:val="201"/>
              <w:rPr>
                <w:snapToGrid w:val="0"/>
              </w:rPr>
            </w:pPr>
            <w:r>
              <w:t>T</w:t>
            </w:r>
            <w:r>
              <w:rPr>
                <w:vertAlign w:val="subscript"/>
              </w:rPr>
              <w:t>measure,EUTRAN</w:t>
            </w:r>
            <w:r>
              <w:t xml:space="preserve"> [s] (number of DRX cycles)</w:t>
            </w:r>
          </w:p>
        </w:tc>
        <w:tc>
          <w:tcPr>
            <w:tcW w:w="1646" w:type="pct"/>
            <w:tcBorders>
              <w:top w:val="single" w:color="auto" w:sz="4" w:space="0"/>
              <w:left w:val="single" w:color="auto" w:sz="4" w:space="0"/>
              <w:bottom w:val="single" w:color="auto" w:sz="4" w:space="0"/>
              <w:right w:val="single" w:color="auto" w:sz="4" w:space="0"/>
            </w:tcBorders>
          </w:tcPr>
          <w:p>
            <w:pPr>
              <w:pStyle w:val="201"/>
              <w:rPr>
                <w:vertAlign w:val="subscript"/>
                <w:lang w:eastAsia="zh-CN"/>
              </w:rPr>
            </w:pPr>
            <w:r>
              <w:t>T</w:t>
            </w:r>
            <w:r>
              <w:rPr>
                <w:vertAlign w:val="subscript"/>
              </w:rPr>
              <w:t>evaluate,EUTRAN</w:t>
            </w:r>
          </w:p>
          <w:p>
            <w:pPr>
              <w:pStyle w:val="20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2"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0.32</w:t>
            </w:r>
          </w:p>
        </w:tc>
        <w:tc>
          <w:tcPr>
            <w:tcW w:w="1195"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11.52 (</w:t>
            </w:r>
            <w:r>
              <w:rPr>
                <w:color w:val="FF0000"/>
                <w:szCs w:val="18"/>
              </w:rPr>
              <w:t>36</w:t>
            </w:r>
            <w:r>
              <w:rPr>
                <w:szCs w:val="18"/>
              </w:rPr>
              <w:t>)</w:t>
            </w:r>
          </w:p>
        </w:tc>
        <w:tc>
          <w:tcPr>
            <w:tcW w:w="1304"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napToGrid w:val="0"/>
                <w:szCs w:val="18"/>
              </w:rPr>
              <w:t>1.28 (</w:t>
            </w:r>
            <w:r>
              <w:rPr>
                <w:snapToGrid w:val="0"/>
                <w:color w:val="FF0000"/>
                <w:szCs w:val="18"/>
              </w:rPr>
              <w:t>4</w:t>
            </w:r>
            <w:r>
              <w:rPr>
                <w:snapToGrid w:val="0"/>
                <w:szCs w:val="18"/>
              </w:rPr>
              <w:t>)</w:t>
            </w:r>
          </w:p>
        </w:tc>
        <w:tc>
          <w:tcPr>
            <w:tcW w:w="1646"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2"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0.64</w:t>
            </w:r>
          </w:p>
        </w:tc>
        <w:tc>
          <w:tcPr>
            <w:tcW w:w="1195"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17.92 (28)</w:t>
            </w:r>
          </w:p>
        </w:tc>
        <w:tc>
          <w:tcPr>
            <w:tcW w:w="1304"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napToGrid w:val="0"/>
                <w:szCs w:val="18"/>
              </w:rPr>
              <w:t>1.28 (2)</w:t>
            </w:r>
          </w:p>
        </w:tc>
        <w:tc>
          <w:tcPr>
            <w:tcW w:w="1646"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2"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1.28</w:t>
            </w:r>
          </w:p>
        </w:tc>
        <w:tc>
          <w:tcPr>
            <w:tcW w:w="1195"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32(25)</w:t>
            </w:r>
          </w:p>
        </w:tc>
        <w:tc>
          <w:tcPr>
            <w:tcW w:w="1304"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napToGrid w:val="0"/>
                <w:szCs w:val="18"/>
              </w:rPr>
              <w:t>1.28 (1)</w:t>
            </w:r>
          </w:p>
        </w:tc>
        <w:tc>
          <w:tcPr>
            <w:tcW w:w="1646"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852"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2.56</w:t>
            </w:r>
          </w:p>
        </w:tc>
        <w:tc>
          <w:tcPr>
            <w:tcW w:w="1195"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58.88 (23)</w:t>
            </w:r>
          </w:p>
        </w:tc>
        <w:tc>
          <w:tcPr>
            <w:tcW w:w="1304"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napToGrid w:val="0"/>
                <w:szCs w:val="18"/>
              </w:rPr>
              <w:t>2.56 (1)</w:t>
            </w:r>
          </w:p>
        </w:tc>
        <w:tc>
          <w:tcPr>
            <w:tcW w:w="1646" w:type="pct"/>
            <w:tcBorders>
              <w:top w:val="single" w:color="auto" w:sz="4" w:space="0"/>
              <w:left w:val="single" w:color="auto" w:sz="4" w:space="0"/>
              <w:bottom w:val="single" w:color="auto" w:sz="4" w:space="0"/>
              <w:right w:val="single" w:color="auto" w:sz="4" w:space="0"/>
            </w:tcBorders>
          </w:tcPr>
          <w:p>
            <w:pPr>
              <w:pStyle w:val="202"/>
              <w:rPr>
                <w:snapToGrid w:val="0"/>
                <w:szCs w:val="18"/>
              </w:rPr>
            </w:pPr>
            <w:r>
              <w:rPr>
                <w:szCs w:val="18"/>
              </w:rPr>
              <w:t>7.68 (3)</w:t>
            </w:r>
          </w:p>
        </w:tc>
      </w:tr>
    </w:tbl>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9EB5A8"/>
    <w:multiLevelType w:val="singleLevel"/>
    <w:tmpl w:val="919EB5A8"/>
    <w:lvl w:ilvl="0" w:tentative="0">
      <w:start w:val="1"/>
      <w:numFmt w:val="bullet"/>
      <w:lvlText w:val=""/>
      <w:lvlJc w:val="left"/>
      <w:pPr>
        <w:ind w:left="420" w:hanging="420"/>
      </w:pPr>
      <w:rPr>
        <w:rFonts w:hint="default" w:ascii="Wingdings" w:hAnsi="Wingdings"/>
      </w:rPr>
    </w:lvl>
  </w:abstractNum>
  <w:abstractNum w:abstractNumId="1">
    <w:nsid w:val="C47D61EA"/>
    <w:multiLevelType w:val="singleLevel"/>
    <w:tmpl w:val="C47D61EA"/>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7BB790"/>
    <w:multiLevelType w:val="singleLevel"/>
    <w:tmpl w:val="007BB790"/>
    <w:lvl w:ilvl="0" w:tentative="0">
      <w:start w:val="1"/>
      <w:numFmt w:val="decimal"/>
      <w:suff w:val="space"/>
      <w:lvlText w:val="(%1)"/>
      <w:lvlJc w:val="left"/>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0D7EC4E8"/>
    <w:multiLevelType w:val="singleLevel"/>
    <w:tmpl w:val="0D7EC4E8"/>
    <w:lvl w:ilvl="0" w:tentative="0">
      <w:start w:val="1"/>
      <w:numFmt w:val="decimal"/>
      <w:suff w:val="space"/>
      <w:lvlText w:val="(%1)"/>
      <w:lvlJc w:val="left"/>
    </w:lvl>
  </w:abstractNum>
  <w:abstractNum w:abstractNumId="6">
    <w:nsid w:val="414E31A2"/>
    <w:multiLevelType w:val="singleLevel"/>
    <w:tmpl w:val="414E31A2"/>
    <w:lvl w:ilvl="0" w:tentative="0">
      <w:start w:val="1"/>
      <w:numFmt w:val="bullet"/>
      <w:lvlText w:val=""/>
      <w:lvlJc w:val="left"/>
      <w:pPr>
        <w:ind w:left="420" w:hanging="420"/>
      </w:pPr>
      <w:rPr>
        <w:rFonts w:hint="default" w:ascii="Wingdings" w:hAnsi="Wingdings"/>
      </w:rPr>
    </w:lvl>
  </w:abstractNum>
  <w:abstractNum w:abstractNumId="7">
    <w:nsid w:val="46CA7005"/>
    <w:multiLevelType w:val="singleLevel"/>
    <w:tmpl w:val="46CA7005"/>
    <w:lvl w:ilvl="0" w:tentative="0">
      <w:start w:val="1"/>
      <w:numFmt w:val="decimal"/>
      <w:lvlText w:val="%1)"/>
      <w:lvlJc w:val="left"/>
      <w:pPr>
        <w:ind w:left="425" w:hanging="425"/>
      </w:pPr>
      <w:rPr>
        <w:rFonts w:hint="default"/>
      </w:rPr>
    </w:lvl>
  </w:abstractNum>
  <w:abstractNum w:abstractNumId="8">
    <w:nsid w:val="4B22DB92"/>
    <w:multiLevelType w:val="singleLevel"/>
    <w:tmpl w:val="4B22DB92"/>
    <w:lvl w:ilvl="0" w:tentative="0">
      <w:start w:val="1"/>
      <w:numFmt w:val="decimal"/>
      <w:lvlText w:val="%1)"/>
      <w:lvlJc w:val="left"/>
      <w:pPr>
        <w:ind w:left="425" w:hanging="425"/>
      </w:pPr>
      <w:rPr>
        <w:rFonts w:hint="default"/>
      </w:rPr>
    </w:lvl>
  </w:abstractNum>
  <w:abstractNum w:abstractNumId="9">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22D36B8"/>
    <w:multiLevelType w:val="singleLevel"/>
    <w:tmpl w:val="522D36B8"/>
    <w:lvl w:ilvl="0" w:tentative="0">
      <w:start w:val="1"/>
      <w:numFmt w:val="bullet"/>
      <w:lvlText w:val=""/>
      <w:lvlJc w:val="left"/>
      <w:pPr>
        <w:ind w:left="420" w:hanging="420"/>
      </w:pPr>
      <w:rPr>
        <w:rFonts w:hint="default" w:ascii="Wingdings" w:hAnsi="Wingdings"/>
      </w:rPr>
    </w:lvl>
  </w:abstractNum>
  <w:abstractNum w:abstractNumId="12">
    <w:nsid w:val="5E4F858D"/>
    <w:multiLevelType w:val="singleLevel"/>
    <w:tmpl w:val="5E4F858D"/>
    <w:lvl w:ilvl="0" w:tentative="0">
      <w:start w:val="1"/>
      <w:numFmt w:val="decimal"/>
      <w:suff w:val="space"/>
      <w:lvlText w:val="(%1)"/>
      <w:lvlJc w:val="left"/>
    </w:lvl>
  </w:abstractNum>
  <w:num w:numId="1">
    <w:abstractNumId w:val="2"/>
  </w:num>
  <w:num w:numId="2">
    <w:abstractNumId w:val="10"/>
  </w:num>
  <w:num w:numId="3">
    <w:abstractNumId w:val="9"/>
  </w:num>
  <w:num w:numId="4">
    <w:abstractNumId w:val="4"/>
  </w:num>
  <w:num w:numId="5">
    <w:abstractNumId w:val="5"/>
  </w:num>
  <w:num w:numId="6">
    <w:abstractNumId w:val="11"/>
  </w:num>
  <w:num w:numId="7">
    <w:abstractNumId w:val="12"/>
  </w:num>
  <w:num w:numId="8">
    <w:abstractNumId w:val="6"/>
  </w:num>
  <w:num w:numId="9">
    <w:abstractNumId w:val="0"/>
  </w:num>
  <w:num w:numId="10">
    <w:abstractNumId w:val="3"/>
  </w:num>
  <w:num w:numId="11">
    <w:abstractNumId w:val="8"/>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1172D"/>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4"/>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6.emf"/><Relationship Id="rId17" Type="http://schemas.openxmlformats.org/officeDocument/2006/relationships/package" Target="embeddings/Microsoft_Visio___6.vsdx"/><Relationship Id="rId16" Type="http://schemas.openxmlformats.org/officeDocument/2006/relationships/image" Target="media/image5.emf"/><Relationship Id="rId15" Type="http://schemas.openxmlformats.org/officeDocument/2006/relationships/package" Target="embeddings/Microsoft_Visio___5.vsdx"/><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E6FDA7-6DF1-49A6-BC85-9C39FB10B80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13</Pages>
  <Words>4210</Words>
  <Characters>24003</Characters>
  <Lines>200</Lines>
  <Paragraphs>56</Paragraphs>
  <TotalTime>23</TotalTime>
  <ScaleCrop>false</ScaleCrop>
  <LinksUpToDate>false</LinksUpToDate>
  <CharactersWithSpaces>28157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cp:lastModifiedBy>
  <cp:lastPrinted>2113-01-01T00:00:00Z</cp:lastPrinted>
  <dcterms:modified xsi:type="dcterms:W3CDTF">2021-01-15T05:50:20Z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