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BD951" w14:textId="36087E36" w:rsidR="000C082F" w:rsidRDefault="000C082F" w:rsidP="000C082F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 w:rsidR="001A342F">
        <w:rPr>
          <w:b/>
          <w:noProof/>
          <w:sz w:val="24"/>
        </w:rPr>
        <w:t>3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40237" w:rsidRPr="00040237">
        <w:rPr>
          <w:b/>
          <w:i/>
          <w:noProof/>
          <w:sz w:val="28"/>
        </w:rPr>
        <w:t>R2-2100388</w:t>
      </w:r>
    </w:p>
    <w:p w14:paraId="5BECC9CC" w14:textId="5A6AD9A9" w:rsidR="000C082F" w:rsidRDefault="000C082F" w:rsidP="000C082F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1A342F">
        <w:rPr>
          <w:rFonts w:cs="Arial"/>
          <w:b/>
          <w:noProof/>
          <w:color w:val="000000"/>
          <w:sz w:val="24"/>
          <w:szCs w:val="24"/>
        </w:rPr>
        <w:t>January</w:t>
      </w:r>
      <w:r w:rsidR="00A74129">
        <w:rPr>
          <w:rFonts w:cs="Arial"/>
          <w:b/>
          <w:noProof/>
          <w:color w:val="000000"/>
          <w:sz w:val="24"/>
          <w:szCs w:val="24"/>
        </w:rPr>
        <w:t xml:space="preserve"> </w:t>
      </w:r>
      <w:r w:rsidR="001A342F">
        <w:rPr>
          <w:rFonts w:cs="Arial"/>
          <w:b/>
          <w:noProof/>
          <w:color w:val="000000"/>
          <w:sz w:val="24"/>
          <w:szCs w:val="24"/>
        </w:rPr>
        <w:t>25</w:t>
      </w:r>
      <w:r w:rsidR="00A74129" w:rsidRPr="00D1615C">
        <w:rPr>
          <w:rFonts w:cs="Arial"/>
          <w:b/>
          <w:noProof/>
          <w:color w:val="000000"/>
          <w:sz w:val="24"/>
          <w:szCs w:val="24"/>
        </w:rPr>
        <w:t xml:space="preserve"> – </w:t>
      </w:r>
      <w:r w:rsidR="001A342F">
        <w:rPr>
          <w:rFonts w:cs="Arial"/>
          <w:b/>
          <w:noProof/>
          <w:color w:val="000000"/>
          <w:sz w:val="24"/>
          <w:szCs w:val="24"/>
        </w:rPr>
        <w:t>February</w:t>
      </w:r>
      <w:r w:rsidR="00BD39A9">
        <w:rPr>
          <w:rFonts w:cs="Arial"/>
          <w:b/>
          <w:noProof/>
          <w:color w:val="000000"/>
          <w:sz w:val="24"/>
          <w:szCs w:val="24"/>
        </w:rPr>
        <w:t xml:space="preserve"> 5</w:t>
      </w:r>
      <w:r w:rsidR="00A74129" w:rsidRPr="00D1615C">
        <w:rPr>
          <w:rFonts w:cs="Arial"/>
          <w:b/>
          <w:noProof/>
          <w:color w:val="000000"/>
          <w:sz w:val="24"/>
          <w:szCs w:val="24"/>
        </w:rPr>
        <w:t>, 20</w:t>
      </w:r>
      <w:r w:rsidR="00A74129">
        <w:rPr>
          <w:rFonts w:cs="Arial"/>
          <w:b/>
          <w:noProof/>
          <w:color w:val="000000"/>
          <w:sz w:val="24"/>
          <w:szCs w:val="24"/>
        </w:rPr>
        <w:t>2</w:t>
      </w:r>
      <w:r w:rsidR="00BD39A9">
        <w:rPr>
          <w:rFonts w:cs="Arial"/>
          <w:b/>
          <w:noProof/>
          <w:color w:val="000000"/>
          <w:sz w:val="24"/>
          <w:szCs w:val="24"/>
        </w:rPr>
        <w:t>1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26067AFE" w14:textId="77777777" w:rsidR="000C082F" w:rsidRPr="00B9091D" w:rsidRDefault="000C082F" w:rsidP="000C082F">
      <w:pPr>
        <w:pStyle w:val="Header"/>
        <w:rPr>
          <w:bCs/>
          <w:noProof w:val="0"/>
          <w:sz w:val="24"/>
          <w:lang w:eastAsia="ja-JP"/>
        </w:rPr>
      </w:pPr>
    </w:p>
    <w:p w14:paraId="61A91A9E" w14:textId="4F4C342E" w:rsidR="000C082F" w:rsidRPr="009B04CE" w:rsidRDefault="000C082F" w:rsidP="000C082F">
      <w:pPr>
        <w:pStyle w:val="CRCoverPage"/>
        <w:rPr>
          <w:rFonts w:eastAsia="SimSun" w:cs="Arial"/>
          <w:b/>
          <w:sz w:val="24"/>
          <w:szCs w:val="24"/>
          <w:lang w:val="en-US"/>
        </w:rPr>
      </w:pPr>
      <w:r w:rsidRPr="5C4C7E83">
        <w:rPr>
          <w:rFonts w:cs="Arial"/>
          <w:b/>
          <w:sz w:val="24"/>
          <w:szCs w:val="24"/>
          <w:lang w:val="en-US"/>
        </w:rPr>
        <w:t>Agenda item:</w:t>
      </w:r>
      <w:r w:rsidRPr="5C4C7E83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ab/>
      </w:r>
      <w:r w:rsidR="00040237">
        <w:rPr>
          <w:rFonts w:cs="Arial"/>
          <w:b/>
          <w:bCs/>
          <w:sz w:val="24"/>
          <w:szCs w:val="24"/>
          <w:lang w:val="en-US"/>
        </w:rPr>
        <w:t>5.4.3</w:t>
      </w:r>
      <w:r w:rsidRPr="008E2FBE">
        <w:rPr>
          <w:rFonts w:cs="Arial"/>
          <w:b/>
          <w:bCs/>
          <w:sz w:val="24"/>
          <w:lang w:val="en-US"/>
        </w:rPr>
        <w:tab/>
      </w:r>
    </w:p>
    <w:p w14:paraId="2F6F1004" w14:textId="77777777" w:rsidR="000C082F" w:rsidRPr="00242FBB" w:rsidRDefault="000C082F" w:rsidP="000C082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2C64384" w14:textId="0FF68EC6" w:rsidR="000C082F" w:rsidRPr="00594D7E" w:rsidRDefault="000C082F" w:rsidP="000C082F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5C4C7E83">
        <w:rPr>
          <w:rFonts w:ascii="Arial" w:hAnsi="Arial" w:cs="Arial"/>
          <w:b/>
          <w:sz w:val="24"/>
          <w:szCs w:val="24"/>
        </w:rPr>
        <w:t xml:space="preserve"> </w:t>
      </w:r>
      <w:r w:rsidR="00BD39A9">
        <w:rPr>
          <w:rFonts w:ascii="Arial" w:hAnsi="Arial" w:cs="Arial"/>
          <w:b/>
          <w:bCs/>
          <w:sz w:val="24"/>
          <w:szCs w:val="24"/>
        </w:rPr>
        <w:t xml:space="preserve">Clarification on </w:t>
      </w:r>
      <w:r w:rsidR="00FB22C4" w:rsidRPr="00FB22C4">
        <w:rPr>
          <w:rFonts w:ascii="Arial" w:hAnsi="Arial" w:cs="Arial"/>
          <w:b/>
          <w:bCs/>
          <w:sz w:val="24"/>
          <w:szCs w:val="24"/>
        </w:rPr>
        <w:t>BCS reporting and support for intra-band EN-DC band combinations</w:t>
      </w:r>
    </w:p>
    <w:p w14:paraId="1B190588" w14:textId="77777777" w:rsidR="000C082F" w:rsidRPr="00242FBB" w:rsidRDefault="000C082F" w:rsidP="000C082F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29F5FF6F" w14:textId="77777777" w:rsidR="000C082F" w:rsidRDefault="000C082F" w:rsidP="000C082F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7750BBC" w14:textId="49EED83B" w:rsidR="001734F1" w:rsidRPr="00EA5AE0" w:rsidRDefault="001734F1" w:rsidP="00C16BA1">
      <w:pPr>
        <w:jc w:val="both"/>
        <w:rPr>
          <w:lang w:val="en-US"/>
        </w:rPr>
      </w:pPr>
      <w:r>
        <w:rPr>
          <w:lang w:val="en-US"/>
        </w:rPr>
        <w:t>In RAN #</w:t>
      </w:r>
      <w:r w:rsidR="00F52D07">
        <w:rPr>
          <w:lang w:val="en-US"/>
        </w:rPr>
        <w:t>90</w:t>
      </w:r>
      <w:r>
        <w:rPr>
          <w:lang w:val="en-US"/>
        </w:rPr>
        <w:t xml:space="preserve">e, </w:t>
      </w:r>
      <w:r w:rsidR="00734611" w:rsidRPr="00734611">
        <w:rPr>
          <w:lang w:val="en-US"/>
        </w:rPr>
        <w:t xml:space="preserve">RAN has discussed the topic of BCS reporting of intra-band part of inter-band EN-DC </w:t>
      </w:r>
      <w:r w:rsidR="00734611">
        <w:rPr>
          <w:lang w:val="en-US"/>
        </w:rPr>
        <w:t>[1]. The main concern</w:t>
      </w:r>
      <w:r w:rsidR="008C33BF">
        <w:rPr>
          <w:lang w:val="en-US"/>
        </w:rPr>
        <w:t xml:space="preserve"> was</w:t>
      </w:r>
      <w:r w:rsidR="00734611">
        <w:rPr>
          <w:lang w:val="en-US"/>
        </w:rPr>
        <w:t xml:space="preserve"> that</w:t>
      </w:r>
      <w:r w:rsidR="00F52D07">
        <w:rPr>
          <w:lang w:val="en-US"/>
        </w:rPr>
        <w:t xml:space="preserve"> </w:t>
      </w:r>
      <w:r w:rsidR="00F52D07">
        <w:t xml:space="preserve">intra-band LTE-NR band combination in uplink </w:t>
      </w:r>
      <w:r w:rsidR="002E3936">
        <w:t>is</w:t>
      </w:r>
      <w:r w:rsidR="00F52D07">
        <w:t xml:space="preserve"> mandated blindly even if the UE support intra-band LTE-NR band combination for downlink only but </w:t>
      </w:r>
      <w:r w:rsidR="002E3936">
        <w:t>doesn’t</w:t>
      </w:r>
      <w:r w:rsidR="00F52D07">
        <w:t xml:space="preserve"> support for uplink. </w:t>
      </w:r>
      <w:r w:rsidR="009812BB">
        <w:t xml:space="preserve">During the discussion, it was questioned how BCS information should be interpreted when </w:t>
      </w:r>
      <w:r w:rsidR="00FE124A">
        <w:t xml:space="preserve">the support of </w:t>
      </w:r>
      <w:r w:rsidR="009812BB">
        <w:t>downlink and uplink band</w:t>
      </w:r>
      <w:r w:rsidR="00FE124A">
        <w:t xml:space="preserve"> </w:t>
      </w:r>
      <w:r w:rsidR="009812BB">
        <w:t>combination is d</w:t>
      </w:r>
      <w:r w:rsidR="00FE124A">
        <w:t xml:space="preserve">ifferent. As a conclusion, </w:t>
      </w:r>
      <w:r w:rsidR="00F52D07">
        <w:t xml:space="preserve">RAN sent </w:t>
      </w:r>
      <w:proofErr w:type="gramStart"/>
      <w:r w:rsidR="00F52D07">
        <w:t>an</w:t>
      </w:r>
      <w:proofErr w:type="gramEnd"/>
      <w:r w:rsidR="00F52D07">
        <w:t xml:space="preserve"> LS to RAN2/4 to clarify this case and to have proper change for clarification </w:t>
      </w:r>
      <w:r w:rsidR="0048580E">
        <w:t>[</w:t>
      </w:r>
      <w:r w:rsidR="00973414">
        <w:t>2</w:t>
      </w:r>
      <w:r w:rsidR="0048580E">
        <w:t>]</w:t>
      </w:r>
      <w:r w:rsidR="00F52D07">
        <w:t xml:space="preserve"> </w:t>
      </w:r>
      <w:r w:rsidR="00B84EA3">
        <w:t xml:space="preserve">and copied </w:t>
      </w:r>
      <w:r w:rsidR="00E05BE8">
        <w:t>in Annex</w:t>
      </w:r>
      <w:r w:rsidR="00B84EA3">
        <w:t xml:space="preserve"> for easy reference. </w:t>
      </w:r>
      <w:r w:rsidR="00020717">
        <w:br/>
      </w:r>
      <w:r>
        <w:rPr>
          <w:lang w:val="en-US"/>
        </w:rPr>
        <w:t xml:space="preserve">In this document, we would like to </w:t>
      </w:r>
      <w:r w:rsidR="0048580E">
        <w:rPr>
          <w:lang w:val="en-US"/>
        </w:rPr>
        <w:t>look</w:t>
      </w:r>
      <w:r w:rsidR="00E216DB">
        <w:rPr>
          <w:lang w:val="en-US"/>
        </w:rPr>
        <w:t xml:space="preserve"> at this issue and</w:t>
      </w:r>
      <w:r w:rsidR="00FE124A">
        <w:rPr>
          <w:lang w:val="en-US"/>
        </w:rPr>
        <w:t xml:space="preserve"> </w:t>
      </w:r>
      <w:r w:rsidR="00E216DB">
        <w:rPr>
          <w:lang w:val="en-US"/>
        </w:rPr>
        <w:t xml:space="preserve">provide </w:t>
      </w:r>
      <w:r w:rsidR="0048580E">
        <w:rPr>
          <w:lang w:val="en-US"/>
        </w:rPr>
        <w:t xml:space="preserve">our view </w:t>
      </w:r>
      <w:r w:rsidR="00FE124A">
        <w:rPr>
          <w:lang w:val="en-US"/>
        </w:rPr>
        <w:t xml:space="preserve">on what </w:t>
      </w:r>
      <w:r w:rsidR="00E216DB">
        <w:rPr>
          <w:lang w:val="en-US"/>
        </w:rPr>
        <w:t>clarification/changes are expected from RA</w:t>
      </w:r>
      <w:bookmarkStart w:id="0" w:name="_GoBack"/>
      <w:bookmarkEnd w:id="0"/>
      <w:r w:rsidR="00E216DB">
        <w:rPr>
          <w:lang w:val="en-US"/>
        </w:rPr>
        <w:t xml:space="preserve">N2 point of view. </w:t>
      </w:r>
    </w:p>
    <w:p w14:paraId="39801E29" w14:textId="0195C0E3" w:rsidR="000C082F" w:rsidRDefault="002C55CD" w:rsidP="000C082F">
      <w:pPr>
        <w:pStyle w:val="Heading1"/>
      </w:pPr>
      <w:r>
        <w:t>Recap of RAN plenary discussion</w:t>
      </w:r>
    </w:p>
    <w:p w14:paraId="5D0E55BA" w14:textId="3B8C3F99" w:rsidR="00B5009A" w:rsidRDefault="008C33BF" w:rsidP="00C16BA1">
      <w:pPr>
        <w:jc w:val="both"/>
      </w:pPr>
      <w:r>
        <w:t>The p</w:t>
      </w:r>
      <w:r w:rsidR="00973414">
        <w:t>roblem case</w:t>
      </w:r>
      <w:r>
        <w:t xml:space="preserve"> is clearly described in [1]</w:t>
      </w:r>
      <w:r w:rsidR="00A60852">
        <w:t xml:space="preserve"> with the example band combination </w:t>
      </w:r>
      <w:r w:rsidR="00B23FD9" w:rsidRPr="00B23FD9">
        <w:t>DC_2A-7A-7A-66A-n66A</w:t>
      </w:r>
      <w:r w:rsidR="00393249">
        <w:t>. In this case</w:t>
      </w:r>
      <w:r w:rsidR="00063706">
        <w:t xml:space="preserve">, </w:t>
      </w:r>
      <w:r w:rsidR="00393249">
        <w:t>since</w:t>
      </w:r>
      <w:r w:rsidR="00063706">
        <w:t xml:space="preserve"> </w:t>
      </w:r>
      <w:r w:rsidR="00393249">
        <w:t xml:space="preserve">it includes </w:t>
      </w:r>
      <w:r w:rsidR="00063706">
        <w:t>66A-n66A</w:t>
      </w:r>
      <w:r w:rsidR="00393249">
        <w:t xml:space="preserve">, it is considered as </w:t>
      </w:r>
      <w:r w:rsidR="00063706">
        <w:t xml:space="preserve">intra-band EN-DC </w:t>
      </w:r>
      <w:r w:rsidR="00393249">
        <w:t>with additional inter-band NR/LTE CA component</w:t>
      </w:r>
      <w:r w:rsidR="00063706">
        <w:t>.</w:t>
      </w:r>
      <w:r w:rsidR="00BF2B53">
        <w:t xml:space="preserve"> However,</w:t>
      </w:r>
      <w:r w:rsidR="00824AB9">
        <w:t xml:space="preserve"> it is only from downlink perspective.</w:t>
      </w:r>
      <w:r w:rsidR="00BF2B53">
        <w:t xml:space="preserve"> </w:t>
      </w:r>
      <w:r w:rsidR="00824AB9">
        <w:t>Looking at</w:t>
      </w:r>
      <w:r w:rsidR="00E06D34">
        <w:t xml:space="preserve"> RAN4 spec TS38.101</w:t>
      </w:r>
      <w:r w:rsidR="00740F2F">
        <w:t xml:space="preserve">-3 </w:t>
      </w:r>
      <w:r w:rsidR="00680678">
        <w:t xml:space="preserve">Table 5.5B.4.3-1, </w:t>
      </w:r>
      <w:r w:rsidR="00063706">
        <w:t>Uplink EN-DC configuration</w:t>
      </w:r>
      <w:r w:rsidR="00BF2B53">
        <w:t xml:space="preserve"> may or may not </w:t>
      </w:r>
      <w:r w:rsidR="00B35A9C">
        <w:t xml:space="preserve">support </w:t>
      </w:r>
      <w:r w:rsidR="001C3158">
        <w:t xml:space="preserve">DC_66_n66A. </w:t>
      </w:r>
    </w:p>
    <w:p w14:paraId="22E629F5" w14:textId="011A1EA4" w:rsidR="00A21B12" w:rsidRDefault="00293FDE" w:rsidP="00C16BA1">
      <w:pPr>
        <w:jc w:val="both"/>
      </w:pPr>
      <w:r>
        <w:t>The question A) and B) in RAN LS [2] are asking how</w:t>
      </w:r>
      <w:r w:rsidR="007C39DA">
        <w:t xml:space="preserve"> BCS information and the definition of intra-band EN-DC in this problem case. As defined in TS38.306, </w:t>
      </w:r>
      <w:proofErr w:type="spellStart"/>
      <w:r w:rsidR="007C39DA" w:rsidRPr="007C39DA">
        <w:t>supportedBandwidthCombinationSetIntraENDC</w:t>
      </w:r>
      <w:proofErr w:type="spellEnd"/>
      <w:r w:rsidR="007C39DA">
        <w:t xml:space="preserve"> is per BC capability signalling and </w:t>
      </w:r>
      <w:r w:rsidR="00BC6AD1">
        <w:t xml:space="preserve">it doesn’t </w:t>
      </w:r>
      <w:r w:rsidR="00483D4F">
        <w:t>differentiate</w:t>
      </w:r>
      <w:r w:rsidR="00BC6AD1">
        <w:t xml:space="preserve"> </w:t>
      </w:r>
      <w:r w:rsidR="009E7C28">
        <w:t xml:space="preserve">downlink and uplink part. </w:t>
      </w:r>
      <w:r w:rsidR="00A21B12">
        <w:t xml:space="preserve">Especially, the last sentence of field description </w:t>
      </w:r>
      <w:proofErr w:type="spellStart"/>
      <w:r w:rsidR="00A21B12" w:rsidRPr="00A21B12">
        <w:rPr>
          <w:i/>
          <w:iCs/>
        </w:rPr>
        <w:t>supportedBandwidthCombinationSetIntraENDC</w:t>
      </w:r>
      <w:proofErr w:type="spellEnd"/>
      <w:r w:rsidR="00A21B12">
        <w:rPr>
          <w:i/>
          <w:iCs/>
        </w:rPr>
        <w:t xml:space="preserve"> </w:t>
      </w:r>
      <w:r w:rsidR="00A21B12">
        <w:t xml:space="preserve">can be misleading such that the UE shall always support DC_66_n66A in uplink part for </w:t>
      </w:r>
      <w:r w:rsidR="00A21B12" w:rsidRPr="00B23FD9">
        <w:t>DC_2A-7A-7A-66A-n66A</w:t>
      </w:r>
      <w:r w:rsidR="00A21B12">
        <w:t xml:space="preserve"> because </w:t>
      </w:r>
      <w:proofErr w:type="spellStart"/>
      <w:r w:rsidR="00A21B12" w:rsidRPr="00A21B12">
        <w:t>supportedBandwidthCombinationSetIntraENDC</w:t>
      </w:r>
      <w:proofErr w:type="spellEnd"/>
      <w:r w:rsidR="00A21B12">
        <w:t xml:space="preserve"> </w:t>
      </w:r>
      <w:r w:rsidR="00A108B5">
        <w:t xml:space="preserve">is included </w:t>
      </w:r>
      <w:r w:rsidR="00A21B12">
        <w:t xml:space="preserve">as mandatory for </w:t>
      </w:r>
      <w:r w:rsidR="00A21B12" w:rsidRPr="00A21B12">
        <w:t>intra-band (NG)EN-DC/NE-DC combination with additional inter-band NR/LTE CA component.</w:t>
      </w:r>
    </w:p>
    <w:p w14:paraId="250BCA2A" w14:textId="3BD292F8" w:rsidR="00973414" w:rsidRPr="00A21B12" w:rsidRDefault="00973414" w:rsidP="001734F1"/>
    <w:p w14:paraId="58C53A60" w14:textId="77777777" w:rsidR="00A21B12" w:rsidRDefault="000F3D7F" w:rsidP="00BC6AD1">
      <w:r>
        <w:t xml:space="preserve">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21B12" w14:paraId="7894245A" w14:textId="77777777" w:rsidTr="00A21B1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5D6BF0" w14:textId="77777777" w:rsidR="00A21B12" w:rsidRDefault="00A21B12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supportedBandwidthCombinationSetIntraENDC</w:t>
            </w:r>
            <w:proofErr w:type="spellEnd"/>
          </w:p>
          <w:p w14:paraId="1802A1B8" w14:textId="77777777" w:rsidR="00A21B12" w:rsidRDefault="00A21B1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38.101-3 [4]. </w:t>
            </w:r>
            <w:r>
              <w:t xml:space="preserve">For intra-band (NG)EN-DC with additional inter-band CA component(s) of LTE and/or NR, the field defines the bandwidth combinations for the intra-band (NG)EN-DC component. For intra-band NE-DC with additional inter-band CA component(s) of LTE and/or NR, the field defines the bandwidth combinations for the intra-band NE-DC component.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</w:t>
            </w:r>
            <w:r w:rsidRPr="00A21B12">
              <w:rPr>
                <w:highlight w:val="yellow"/>
                <w:lang w:eastAsia="en-GB"/>
              </w:rPr>
              <w:t>It is mandatory if the band combination is an</w:t>
            </w:r>
            <w:r w:rsidRPr="00A21B12">
              <w:rPr>
                <w:highlight w:val="yellow"/>
              </w:rPr>
              <w:t xml:space="preserve"> intra-band (NG)EN-DC/NE-DC </w:t>
            </w:r>
            <w:r w:rsidRPr="00A21B12">
              <w:rPr>
                <w:highlight w:val="yellow"/>
                <w:lang w:eastAsia="en-GB"/>
              </w:rPr>
              <w:t>combination</w:t>
            </w:r>
            <w:r w:rsidRPr="00A21B12">
              <w:rPr>
                <w:highlight w:val="yellow"/>
              </w:rPr>
              <w:t xml:space="preserve"> with additional inter-band NR/LTE CA component</w:t>
            </w:r>
            <w:r w:rsidRPr="00A21B12">
              <w:rPr>
                <w:highlight w:val="yellow"/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02C6EB" w14:textId="77777777" w:rsidR="00A21B12" w:rsidRDefault="00A21B1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95EC40" w14:textId="77777777" w:rsidR="00A21B12" w:rsidRDefault="00A21B1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954D02" w14:textId="77777777" w:rsidR="00A21B12" w:rsidRDefault="00A21B12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B825F0" w14:textId="77777777" w:rsidR="00A21B12" w:rsidRDefault="00A21B1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3A99D79F" w14:textId="77777777" w:rsidR="00566D5E" w:rsidRDefault="00566D5E" w:rsidP="00566D5E"/>
    <w:p w14:paraId="0311CB0A" w14:textId="7F84CCD4" w:rsidR="000C082F" w:rsidRDefault="00B5009A" w:rsidP="001734F1">
      <w:pPr>
        <w:pStyle w:val="Heading1"/>
      </w:pPr>
      <w:r>
        <w:t xml:space="preserve">Potential RAN2 </w:t>
      </w:r>
      <w:r w:rsidR="008068C0">
        <w:t>clarification</w:t>
      </w:r>
    </w:p>
    <w:p w14:paraId="2858BE4E" w14:textId="34DF610F" w:rsidR="001D5A54" w:rsidRDefault="00146499" w:rsidP="00C16BA1">
      <w:pPr>
        <w:jc w:val="both"/>
      </w:pPr>
      <w:r>
        <w:t xml:space="preserve">First, regarding the supported band combination in UL and DL, </w:t>
      </w:r>
      <w:r w:rsidR="00F85031">
        <w:t xml:space="preserve">it is understood </w:t>
      </w:r>
      <w:r w:rsidR="00064AF8">
        <w:t xml:space="preserve">that the UE supports </w:t>
      </w:r>
      <w:r w:rsidR="00F85031">
        <w:t xml:space="preserve">different UL and DUL BCs. </w:t>
      </w:r>
      <w:r w:rsidR="00E56909">
        <w:t xml:space="preserve">In </w:t>
      </w:r>
      <w:r w:rsidR="00CB1BE1">
        <w:t>addition</w:t>
      </w:r>
      <w:r w:rsidR="00E56909">
        <w:t xml:space="preserve">, </w:t>
      </w:r>
      <w:r w:rsidR="00CB1BE1">
        <w:t xml:space="preserve">when </w:t>
      </w:r>
      <w:r w:rsidR="00E56909">
        <w:t xml:space="preserve">there are multiple UL configurations </w:t>
      </w:r>
      <w:r w:rsidR="00CB1BE1">
        <w:t>associated with</w:t>
      </w:r>
      <w:r w:rsidR="00E56909">
        <w:t xml:space="preserve"> </w:t>
      </w:r>
      <w:r w:rsidR="006847CE">
        <w:t>a certain DL EN-DC BC</w:t>
      </w:r>
      <w:r w:rsidR="00CB1BE1">
        <w:t xml:space="preserve"> in RAN4 specification, </w:t>
      </w:r>
      <w:r w:rsidR="006847CE">
        <w:t xml:space="preserve">the UE supports one or multiple </w:t>
      </w:r>
      <w:r w:rsidR="00064AF8">
        <w:t>UL configuration among multiple uplink EN-DC configurations</w:t>
      </w:r>
      <w:r w:rsidR="006847CE">
        <w:t>. That is</w:t>
      </w:r>
      <w:r w:rsidR="00064AF8">
        <w:t xml:space="preserve">, </w:t>
      </w:r>
      <w:r w:rsidR="006847CE">
        <w:t xml:space="preserve">in the above problem BC, </w:t>
      </w:r>
      <w:r w:rsidR="00064AF8">
        <w:t xml:space="preserve">the UE may or may not support DC_66A_n66A for </w:t>
      </w:r>
      <w:r w:rsidR="00064AF8" w:rsidRPr="00B23FD9">
        <w:t>DC_2A-7A-7A-66A-n66A</w:t>
      </w:r>
      <w:r w:rsidR="00064AF8">
        <w:t xml:space="preserve">. </w:t>
      </w:r>
    </w:p>
    <w:p w14:paraId="1FA0E8A8" w14:textId="226D954A" w:rsidR="00064AF8" w:rsidRDefault="00064AF8" w:rsidP="00C16BA1">
      <w:pPr>
        <w:jc w:val="both"/>
        <w:rPr>
          <w:rFonts w:ascii="Calibri" w:hAnsi="Calibri" w:cs="Calibri"/>
          <w:b/>
        </w:rPr>
      </w:pPr>
      <w:bookmarkStart w:id="1" w:name="pro1"/>
      <w:r>
        <w:rPr>
          <w:rFonts w:ascii="Calibri" w:hAnsi="Calibri" w:cs="Calibri"/>
          <w:b/>
        </w:rPr>
        <w:t xml:space="preserve">Proposal </w:t>
      </w:r>
      <w:r w:rsidRPr="005F5A97">
        <w:rPr>
          <w:rFonts w:ascii="Calibri" w:hAnsi="Calibri" w:cs="Calibri"/>
          <w:b/>
        </w:rPr>
        <w:fldChar w:fldCharType="begin"/>
      </w:r>
      <w:r w:rsidRPr="005F5A97">
        <w:rPr>
          <w:rFonts w:ascii="Calibri" w:hAnsi="Calibri" w:cs="Calibri"/>
          <w:b/>
        </w:rPr>
        <w:instrText xml:space="preserve"> SEQ ob \* MERGEFORMAT </w:instrText>
      </w:r>
      <w:r w:rsidRPr="005F5A97">
        <w:rPr>
          <w:rFonts w:ascii="Calibri" w:hAnsi="Calibri" w:cs="Calibri"/>
          <w:b/>
        </w:rPr>
        <w:fldChar w:fldCharType="separate"/>
      </w:r>
      <w:r w:rsidR="0018518E">
        <w:rPr>
          <w:rFonts w:ascii="Calibri" w:hAnsi="Calibri" w:cs="Calibri"/>
          <w:b/>
          <w:noProof/>
        </w:rPr>
        <w:t>1</w:t>
      </w:r>
      <w:r w:rsidRPr="005F5A97"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RAN2 confirms that the inclusion of </w:t>
      </w:r>
      <w:proofErr w:type="spellStart"/>
      <w:r w:rsidRPr="00064AF8">
        <w:rPr>
          <w:rFonts w:ascii="Calibri" w:hAnsi="Calibri" w:cs="Calibri"/>
          <w:b/>
        </w:rPr>
        <w:t>supportedBandwidthCombinationSetIntraENDC</w:t>
      </w:r>
      <w:proofErr w:type="spellEnd"/>
      <w:r>
        <w:rPr>
          <w:rFonts w:ascii="Calibri" w:hAnsi="Calibri" w:cs="Calibri"/>
          <w:b/>
        </w:rPr>
        <w:t xml:space="preserve"> doesn’t mandate the support of intra-band EN-DC in both downlink and uplink if RAN4 allows different band combination in downlink and uplink. </w:t>
      </w:r>
    </w:p>
    <w:bookmarkEnd w:id="1"/>
    <w:p w14:paraId="06AFD699" w14:textId="2B27D1DE" w:rsidR="001D5A54" w:rsidRDefault="00064AF8" w:rsidP="00C16BA1">
      <w:pPr>
        <w:jc w:val="both"/>
      </w:pPr>
      <w:proofErr w:type="gramStart"/>
      <w:r>
        <w:t>Actually, the</w:t>
      </w:r>
      <w:proofErr w:type="gramEnd"/>
      <w:r>
        <w:t xml:space="preserve"> band combination signalling is flexible to indicate </w:t>
      </w:r>
      <w:r w:rsidR="003912B4">
        <w:t>DL</w:t>
      </w:r>
      <w:r>
        <w:t xml:space="preserve"> and </w:t>
      </w:r>
      <w:r w:rsidR="003912B4">
        <w:t>UL</w:t>
      </w:r>
      <w:r>
        <w:t xml:space="preserve"> band combination separately. Therefore, we don’t see any specification change even if proposal 1 were agreed. </w:t>
      </w:r>
    </w:p>
    <w:p w14:paraId="7619B176" w14:textId="187A8F6B" w:rsidR="003912B4" w:rsidRDefault="003912B4" w:rsidP="00C16BA1">
      <w:pPr>
        <w:jc w:val="both"/>
        <w:rPr>
          <w:rFonts w:ascii="Calibri" w:hAnsi="Calibri" w:cs="Calibri"/>
          <w:b/>
        </w:rPr>
      </w:pPr>
      <w:bookmarkStart w:id="2" w:name="pro2"/>
      <w:r>
        <w:rPr>
          <w:rFonts w:ascii="Calibri" w:hAnsi="Calibri" w:cs="Calibri"/>
          <w:b/>
        </w:rPr>
        <w:t xml:space="preserve">Proposal </w:t>
      </w:r>
      <w:r w:rsidRPr="005F5A97">
        <w:rPr>
          <w:rFonts w:ascii="Calibri" w:hAnsi="Calibri" w:cs="Calibri"/>
          <w:b/>
        </w:rPr>
        <w:fldChar w:fldCharType="begin"/>
      </w:r>
      <w:r w:rsidRPr="005F5A97">
        <w:rPr>
          <w:rFonts w:ascii="Calibri" w:hAnsi="Calibri" w:cs="Calibri"/>
          <w:b/>
        </w:rPr>
        <w:instrText xml:space="preserve"> SEQ ob \* MERGEFORMAT </w:instrText>
      </w:r>
      <w:r w:rsidRPr="005F5A97">
        <w:rPr>
          <w:rFonts w:ascii="Calibri" w:hAnsi="Calibri" w:cs="Calibri"/>
          <w:b/>
        </w:rPr>
        <w:fldChar w:fldCharType="separate"/>
      </w:r>
      <w:r w:rsidR="0018518E">
        <w:rPr>
          <w:rFonts w:ascii="Calibri" w:hAnsi="Calibri" w:cs="Calibri"/>
          <w:b/>
          <w:noProof/>
        </w:rPr>
        <w:t>2</w:t>
      </w:r>
      <w:r w:rsidRPr="005F5A97"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there is no need to clarify the</w:t>
      </w:r>
      <w:r w:rsidR="009F7657">
        <w:rPr>
          <w:rFonts w:ascii="Calibri" w:hAnsi="Calibri" w:cs="Calibri"/>
          <w:b/>
        </w:rPr>
        <w:t xml:space="preserve"> different</w:t>
      </w:r>
      <w:r>
        <w:rPr>
          <w:rFonts w:ascii="Calibri" w:hAnsi="Calibri" w:cs="Calibri"/>
          <w:b/>
        </w:rPr>
        <w:t xml:space="preserve"> support of </w:t>
      </w:r>
      <w:r w:rsidR="009F7657">
        <w:rPr>
          <w:rFonts w:ascii="Calibri" w:hAnsi="Calibri" w:cs="Calibri"/>
          <w:b/>
        </w:rPr>
        <w:t>intra-band EN-DC in UL and DL in RAN2 specification.</w:t>
      </w:r>
    </w:p>
    <w:bookmarkEnd w:id="2"/>
    <w:p w14:paraId="130F97FF" w14:textId="4CC9D5BE" w:rsidR="007D5AA3" w:rsidRDefault="007D5AA3" w:rsidP="00C16BA1">
      <w:pPr>
        <w:jc w:val="both"/>
      </w:pPr>
      <w:r>
        <w:t xml:space="preserve">During the discussion, although RAN4 input on the exact assumption/understanding is required, we see there could be two approaches to clarify this case assuming that the UE should not be forced to support DC_66_n66A in uplink. </w:t>
      </w:r>
    </w:p>
    <w:p w14:paraId="5846BB25" w14:textId="77777777" w:rsidR="007D5AA3" w:rsidRPr="006D52A1" w:rsidRDefault="007D5AA3" w:rsidP="00C16BA1">
      <w:pPr>
        <w:pStyle w:val="ListParagraph"/>
        <w:numPr>
          <w:ilvl w:val="0"/>
          <w:numId w:val="16"/>
        </w:numPr>
        <w:ind w:firstLineChars="0"/>
        <w:jc w:val="both"/>
        <w:rPr>
          <w:rFonts w:asciiTheme="minorHAnsi" w:hAnsiTheme="minorHAnsi"/>
          <w:sz w:val="22"/>
          <w:szCs w:val="22"/>
        </w:rPr>
      </w:pPr>
      <w:r w:rsidRPr="006D52A1">
        <w:rPr>
          <w:rFonts w:asciiTheme="minorHAnsi" w:hAnsiTheme="minorHAnsi"/>
          <w:sz w:val="22"/>
          <w:szCs w:val="22"/>
        </w:rPr>
        <w:t xml:space="preserve">Approach 1: the UE doesn’t include </w:t>
      </w:r>
      <w:proofErr w:type="spellStart"/>
      <w:r w:rsidRPr="006D52A1">
        <w:rPr>
          <w:rFonts w:asciiTheme="minorHAnsi" w:hAnsiTheme="minorHAnsi"/>
          <w:sz w:val="22"/>
          <w:szCs w:val="22"/>
        </w:rPr>
        <w:t>supportedBandwidthCombinationSetIntraENDC</w:t>
      </w:r>
      <w:proofErr w:type="spellEnd"/>
      <w:r w:rsidRPr="006D52A1">
        <w:rPr>
          <w:rFonts w:asciiTheme="minorHAnsi" w:hAnsiTheme="minorHAnsi"/>
          <w:sz w:val="22"/>
          <w:szCs w:val="22"/>
        </w:rPr>
        <w:t xml:space="preserve"> for such problem band combination. In this case, RAN4 should provide what BCS should be assumed in the combination as asked in Question A). </w:t>
      </w:r>
    </w:p>
    <w:p w14:paraId="2C866C69" w14:textId="77777777" w:rsidR="007D5AA3" w:rsidRPr="006D52A1" w:rsidRDefault="007D5AA3" w:rsidP="00C16BA1">
      <w:pPr>
        <w:pStyle w:val="ListParagraph"/>
        <w:numPr>
          <w:ilvl w:val="0"/>
          <w:numId w:val="16"/>
        </w:numPr>
        <w:ind w:firstLineChars="0"/>
        <w:jc w:val="both"/>
        <w:rPr>
          <w:rFonts w:asciiTheme="minorHAnsi" w:hAnsiTheme="minorHAnsi"/>
          <w:sz w:val="22"/>
          <w:szCs w:val="22"/>
        </w:rPr>
      </w:pPr>
      <w:r w:rsidRPr="006D52A1">
        <w:rPr>
          <w:rFonts w:asciiTheme="minorHAnsi" w:hAnsiTheme="minorHAnsi"/>
          <w:sz w:val="22"/>
          <w:szCs w:val="22"/>
        </w:rPr>
        <w:t xml:space="preserve">Approach 2: the UE includes </w:t>
      </w:r>
      <w:proofErr w:type="spellStart"/>
      <w:proofErr w:type="gramStart"/>
      <w:r w:rsidRPr="006D52A1">
        <w:rPr>
          <w:rFonts w:asciiTheme="minorHAnsi" w:hAnsiTheme="minorHAnsi"/>
          <w:sz w:val="22"/>
          <w:szCs w:val="22"/>
        </w:rPr>
        <w:t>supportedBandwidthCombinationSetIntraENDC</w:t>
      </w:r>
      <w:proofErr w:type="spellEnd"/>
      <w:proofErr w:type="gramEnd"/>
      <w:r w:rsidRPr="006D52A1">
        <w:rPr>
          <w:rFonts w:asciiTheme="minorHAnsi" w:hAnsiTheme="minorHAnsi"/>
          <w:sz w:val="22"/>
          <w:szCs w:val="22"/>
        </w:rPr>
        <w:t xml:space="preserve"> but it is used for only downlink part. </w:t>
      </w:r>
    </w:p>
    <w:p w14:paraId="3FF42F4A" w14:textId="77777777" w:rsidR="006D52A1" w:rsidRDefault="006D52A1" w:rsidP="00C16BA1">
      <w:pPr>
        <w:jc w:val="both"/>
      </w:pPr>
    </w:p>
    <w:p w14:paraId="278215F3" w14:textId="3BF1A282" w:rsidR="00064AF8" w:rsidRDefault="00E714B4" w:rsidP="00C16BA1">
      <w:pPr>
        <w:jc w:val="both"/>
      </w:pPr>
      <w:r>
        <w:t xml:space="preserve">In case of approach 1, </w:t>
      </w:r>
      <w:r w:rsidR="00D33313">
        <w:t xml:space="preserve">RAN2 should clarify such that the mandatory inclusion </w:t>
      </w:r>
      <w:proofErr w:type="gramStart"/>
      <w:r w:rsidR="00D33313">
        <w:t xml:space="preserve">of  </w:t>
      </w:r>
      <w:proofErr w:type="spellStart"/>
      <w:r w:rsidR="00D33313" w:rsidRPr="00D33313">
        <w:t>supportedBandwidthCombinationSetIntraENDC</w:t>
      </w:r>
      <w:proofErr w:type="spellEnd"/>
      <w:proofErr w:type="gramEnd"/>
      <w:r w:rsidR="00D33313">
        <w:t xml:space="preserve"> is only for the case where the UE supports intra-band EN-DC with inter-band CA component in both downlink and uplink. In addition, it should be clarified. </w:t>
      </w:r>
    </w:p>
    <w:p w14:paraId="6FFA728A" w14:textId="20591750" w:rsidR="00FA3A44" w:rsidRDefault="00FA3A44" w:rsidP="00C16BA1">
      <w:pPr>
        <w:jc w:val="both"/>
        <w:rPr>
          <w:rFonts w:ascii="Calibri" w:hAnsi="Calibri" w:cs="Calibri"/>
          <w:b/>
        </w:rPr>
      </w:pPr>
      <w:bookmarkStart w:id="3" w:name="pro3"/>
      <w:r>
        <w:rPr>
          <w:rFonts w:ascii="Calibri" w:hAnsi="Calibri" w:cs="Calibri"/>
          <w:b/>
        </w:rPr>
        <w:t xml:space="preserve">Proposal </w:t>
      </w:r>
      <w:r w:rsidRPr="005F5A97">
        <w:rPr>
          <w:rFonts w:ascii="Calibri" w:hAnsi="Calibri" w:cs="Calibri"/>
          <w:b/>
        </w:rPr>
        <w:fldChar w:fldCharType="begin"/>
      </w:r>
      <w:r w:rsidRPr="005F5A97">
        <w:rPr>
          <w:rFonts w:ascii="Calibri" w:hAnsi="Calibri" w:cs="Calibri"/>
          <w:b/>
        </w:rPr>
        <w:instrText xml:space="preserve"> SEQ ob \* MERGEFORMAT </w:instrText>
      </w:r>
      <w:r w:rsidRPr="005F5A97">
        <w:rPr>
          <w:rFonts w:ascii="Calibri" w:hAnsi="Calibri" w:cs="Calibri"/>
          <w:b/>
        </w:rPr>
        <w:fldChar w:fldCharType="separate"/>
      </w:r>
      <w:r w:rsidR="0018518E">
        <w:rPr>
          <w:rFonts w:ascii="Calibri" w:hAnsi="Calibri" w:cs="Calibri"/>
          <w:b/>
          <w:noProof/>
        </w:rPr>
        <w:t>3</w:t>
      </w:r>
      <w:r w:rsidRPr="005F5A97"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RAN4 conclude to go with approach 1,  RAN2 agree </w:t>
      </w:r>
      <w:r w:rsidR="000D7993">
        <w:rPr>
          <w:rFonts w:ascii="Calibri" w:hAnsi="Calibri" w:cs="Calibri"/>
          <w:b/>
        </w:rPr>
        <w:t>that i</w:t>
      </w:r>
      <w:r w:rsidR="000D7993" w:rsidRPr="000D7993">
        <w:rPr>
          <w:rFonts w:ascii="Calibri" w:hAnsi="Calibri" w:cs="Calibri"/>
          <w:b/>
        </w:rPr>
        <w:t>t is mandatory if the band combination is an intra-band (NG)EN-DC/NE-DC combination with additional inter-band NR/LTE CA component in both downlink and uplink</w:t>
      </w:r>
      <w:r w:rsidR="000D7993">
        <w:rPr>
          <w:rFonts w:ascii="Calibri" w:hAnsi="Calibri" w:cs="Calibri"/>
          <w:b/>
        </w:rPr>
        <w:t>.</w:t>
      </w:r>
    </w:p>
    <w:bookmarkEnd w:id="3"/>
    <w:p w14:paraId="617210C6" w14:textId="77777777" w:rsidR="00FA3A44" w:rsidRDefault="00FA3A44" w:rsidP="002E678D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14B4" w14:paraId="12E63356" w14:textId="77777777" w:rsidTr="000C09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375409" w14:textId="77777777" w:rsidR="00E714B4" w:rsidRDefault="00E714B4" w:rsidP="000C098D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supportedBandwidthCombinationSetIntraENDC</w:t>
            </w:r>
            <w:proofErr w:type="spellEnd"/>
          </w:p>
          <w:p w14:paraId="289FA042" w14:textId="24D783B9" w:rsidR="00E714B4" w:rsidRDefault="00E714B4" w:rsidP="000C098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38.101-3 [4]. </w:t>
            </w:r>
            <w:r>
              <w:t xml:space="preserve">For intra-band (NG)EN-DC with additional inter-band CA component(s) of LTE and/or NR, the field defines the bandwidth combinations for the intra-band (NG)EN-DC component. For intra-band NE-DC with additional inter-band CA component(s) of LTE and/or NR, the field defines the bandwidth combinations for the intra-band NE-DC component.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</w:t>
            </w:r>
            <w:r w:rsidRPr="00E714B4">
              <w:rPr>
                <w:lang w:eastAsia="en-GB"/>
              </w:rPr>
              <w:t>It is mandatory if the band combination is an</w:t>
            </w:r>
            <w:r w:rsidRPr="00E714B4">
              <w:t xml:space="preserve"> intra-band (NG)EN-DC/NE-DC </w:t>
            </w:r>
            <w:r w:rsidRPr="00E714B4">
              <w:rPr>
                <w:lang w:eastAsia="en-GB"/>
              </w:rPr>
              <w:t>combination</w:t>
            </w:r>
            <w:r w:rsidRPr="00E714B4">
              <w:t xml:space="preserve"> with additional inter-band NR/LTE CA component </w:t>
            </w:r>
            <w:r w:rsidRPr="00E714B4">
              <w:rPr>
                <w:color w:val="FF0000"/>
                <w:u w:val="single"/>
              </w:rPr>
              <w:t>in both downlink and uplink</w:t>
            </w:r>
            <w:r w:rsidRPr="00E714B4">
              <w:rPr>
                <w:color w:val="FF0000"/>
                <w:u w:val="single"/>
                <w:lang w:eastAsia="en-GB"/>
              </w:rPr>
              <w:t>. If the band combination is an intra-band (NG)EN-DC/NE-DC combination with additional inter-band NR/LTE CA component in downlink or uplink only, the field is absent and the UE supports bandwidth combination set as defined in TS38.101-3 [4].</w:t>
            </w:r>
            <w:r>
              <w:rPr>
                <w:color w:val="FF0000"/>
                <w:lang w:eastAsia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D3C64B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6AD534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82214E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47917" w14:textId="77777777" w:rsidR="00E714B4" w:rsidRDefault="00E714B4" w:rsidP="000C098D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67C4705E" w14:textId="6A3849DC" w:rsidR="00E714B4" w:rsidRDefault="00E714B4" w:rsidP="002E678D"/>
    <w:p w14:paraId="4A7307F2" w14:textId="77777777" w:rsidR="00FA3A44" w:rsidRDefault="00D33313" w:rsidP="00C16BA1">
      <w:pPr>
        <w:jc w:val="both"/>
      </w:pPr>
      <w:r>
        <w:t xml:space="preserve">In case of approach 2, </w:t>
      </w:r>
      <w:r w:rsidR="00DE6388">
        <w:t xml:space="preserve">RAN2 needs to clarify </w:t>
      </w:r>
      <w:r w:rsidR="0061790F">
        <w:t xml:space="preserve">that the definition of intra-band EN-DC should be based on either downlink or uplink whichever supports intra-band portion. In addition, </w:t>
      </w:r>
      <w:proofErr w:type="spellStart"/>
      <w:r w:rsidR="0061790F" w:rsidRPr="0061790F">
        <w:t>supportedBandwidthCombinationSetIntraENDC</w:t>
      </w:r>
      <w:proofErr w:type="spellEnd"/>
      <w:r w:rsidR="0061790F">
        <w:t xml:space="preserve"> should be applied to downlink or uplink which has intra-band EN-DC portion. </w:t>
      </w:r>
    </w:p>
    <w:p w14:paraId="289C3B78" w14:textId="741BA84D" w:rsidR="00FA3A44" w:rsidRDefault="00FA3A44" w:rsidP="00C16BA1">
      <w:pPr>
        <w:jc w:val="both"/>
        <w:rPr>
          <w:rFonts w:ascii="Calibri" w:hAnsi="Calibri" w:cs="Calibri"/>
          <w:b/>
        </w:rPr>
      </w:pPr>
      <w:bookmarkStart w:id="4" w:name="pro4"/>
      <w:r>
        <w:rPr>
          <w:rFonts w:ascii="Calibri" w:hAnsi="Calibri" w:cs="Calibri"/>
          <w:b/>
        </w:rPr>
        <w:t xml:space="preserve">Proposal </w:t>
      </w:r>
      <w:r w:rsidRPr="005F5A97">
        <w:rPr>
          <w:rFonts w:ascii="Calibri" w:hAnsi="Calibri" w:cs="Calibri"/>
          <w:b/>
        </w:rPr>
        <w:fldChar w:fldCharType="begin"/>
      </w:r>
      <w:r w:rsidRPr="005F5A97">
        <w:rPr>
          <w:rFonts w:ascii="Calibri" w:hAnsi="Calibri" w:cs="Calibri"/>
          <w:b/>
        </w:rPr>
        <w:instrText xml:space="preserve"> SEQ ob \* MERGEFORMAT </w:instrText>
      </w:r>
      <w:r w:rsidRPr="005F5A97">
        <w:rPr>
          <w:rFonts w:ascii="Calibri" w:hAnsi="Calibri" w:cs="Calibri"/>
          <w:b/>
        </w:rPr>
        <w:fldChar w:fldCharType="separate"/>
      </w:r>
      <w:r w:rsidR="0018518E">
        <w:rPr>
          <w:rFonts w:ascii="Calibri" w:hAnsi="Calibri" w:cs="Calibri"/>
          <w:b/>
          <w:noProof/>
        </w:rPr>
        <w:t>4</w:t>
      </w:r>
      <w:r w:rsidRPr="005F5A97"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RAN4 conclude to go with approach 2,  </w:t>
      </w:r>
      <w:r w:rsidR="000D7993">
        <w:rPr>
          <w:rFonts w:ascii="Calibri" w:hAnsi="Calibri" w:cs="Calibri"/>
          <w:b/>
        </w:rPr>
        <w:t>RAN2 agree that i</w:t>
      </w:r>
      <w:r w:rsidR="000D7993" w:rsidRPr="000D7993">
        <w:rPr>
          <w:rFonts w:ascii="Calibri" w:hAnsi="Calibri" w:cs="Calibri"/>
          <w:b/>
        </w:rPr>
        <w:t>t is mandatory if the band combination is an intra-band (NG)EN-DC/NE-DC combination with additional inter-band NR/LTE CA component in at least downlink or uplink</w:t>
      </w:r>
      <w:r w:rsidR="000D7993">
        <w:rPr>
          <w:rFonts w:ascii="Calibri" w:hAnsi="Calibri" w:cs="Calibri"/>
          <w:b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14B4" w14:paraId="21D954E3" w14:textId="77777777" w:rsidTr="000C09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4208CA" w14:textId="77777777" w:rsidR="00E714B4" w:rsidRDefault="00E714B4" w:rsidP="000C098D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bookmarkStart w:id="5" w:name="_Hlk60729192"/>
            <w:bookmarkEnd w:id="4"/>
            <w:proofErr w:type="spellStart"/>
            <w:r>
              <w:rPr>
                <w:b/>
                <w:bCs/>
                <w:i/>
                <w:iCs/>
              </w:rPr>
              <w:t>supportedBandwidthCombinationSetIntraENDC</w:t>
            </w:r>
            <w:proofErr w:type="spellEnd"/>
          </w:p>
          <w:bookmarkEnd w:id="5"/>
          <w:p w14:paraId="06580E58" w14:textId="6210EE1C" w:rsidR="00E714B4" w:rsidRDefault="00E714B4" w:rsidP="000C098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38.101-3 [4]. </w:t>
            </w:r>
            <w:r>
              <w:t xml:space="preserve">For intra-band (NG)EN-DC with additional inter-band CA component(s) of LTE and/or NR, the field defines the bandwidth combinations for the intra-band (NG)EN-DC component. For intra-band NE-DC with additional inter-band CA component(s) of LTE and/or NR, the field defines the bandwidth combinations for the intra-band NE-DC component.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 </w:t>
            </w:r>
            <w:r w:rsidRPr="00E714B4">
              <w:rPr>
                <w:lang w:eastAsia="en-GB"/>
              </w:rPr>
              <w:t>It is mandatory if the band combination is an</w:t>
            </w:r>
            <w:r w:rsidRPr="00E714B4">
              <w:t xml:space="preserve"> intra-band (NG)EN-DC/NE-DC </w:t>
            </w:r>
            <w:r w:rsidRPr="00E714B4">
              <w:rPr>
                <w:lang w:eastAsia="en-GB"/>
              </w:rPr>
              <w:t>combination</w:t>
            </w:r>
            <w:r w:rsidRPr="00E714B4">
              <w:t xml:space="preserve"> with additional inter-band NR/LTE CA component </w:t>
            </w:r>
            <w:bookmarkStart w:id="6" w:name="_Hlk60729352"/>
            <w:r w:rsidRPr="00E714B4">
              <w:rPr>
                <w:color w:val="FF0000"/>
                <w:u w:val="single"/>
              </w:rPr>
              <w:t xml:space="preserve">in </w:t>
            </w:r>
            <w:r w:rsidR="00FE6B0A">
              <w:rPr>
                <w:color w:val="FF0000"/>
                <w:u w:val="single"/>
              </w:rPr>
              <w:t xml:space="preserve">at least </w:t>
            </w:r>
            <w:r w:rsidRPr="00E714B4">
              <w:rPr>
                <w:color w:val="FF0000"/>
                <w:u w:val="single"/>
              </w:rPr>
              <w:t xml:space="preserve">downlink </w:t>
            </w:r>
            <w:r w:rsidR="00FE6B0A">
              <w:rPr>
                <w:color w:val="FF0000"/>
                <w:u w:val="single"/>
              </w:rPr>
              <w:t xml:space="preserve">or </w:t>
            </w:r>
            <w:r w:rsidRPr="00E714B4">
              <w:rPr>
                <w:color w:val="FF0000"/>
                <w:u w:val="single"/>
              </w:rPr>
              <w:t>uplink</w:t>
            </w:r>
            <w:bookmarkEnd w:id="6"/>
            <w:r w:rsidR="00FE6B0A">
              <w:rPr>
                <w:color w:val="FF0000"/>
                <w:u w:val="single"/>
              </w:rPr>
              <w:t>. I</w:t>
            </w:r>
            <w:r>
              <w:rPr>
                <w:color w:val="FF0000"/>
                <w:u w:val="single"/>
                <w:lang w:eastAsia="en-GB"/>
              </w:rPr>
              <w:t xml:space="preserve">t is applied for the corresponding downlink </w:t>
            </w:r>
            <w:r w:rsidR="00FE6B0A">
              <w:rPr>
                <w:color w:val="FF0000"/>
                <w:u w:val="single"/>
                <w:lang w:eastAsia="en-GB"/>
              </w:rPr>
              <w:t>or</w:t>
            </w:r>
            <w:r>
              <w:rPr>
                <w:color w:val="FF0000"/>
                <w:u w:val="single"/>
                <w:lang w:eastAsia="en-GB"/>
              </w:rPr>
              <w:t xml:space="preserve"> uplink supporting intra-band (NG)EN-DC/NE-DC combination. </w:t>
            </w:r>
            <w:r>
              <w:rPr>
                <w:color w:val="FF0000"/>
                <w:lang w:eastAsia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FB17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F993E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6AAFB" w14:textId="77777777" w:rsidR="00E714B4" w:rsidRDefault="00E714B4" w:rsidP="000C098D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A0F4B" w14:textId="77777777" w:rsidR="00E714B4" w:rsidRDefault="00E714B4" w:rsidP="000C098D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2D6CB3FF" w14:textId="77777777" w:rsidR="00E714B4" w:rsidRDefault="00E714B4" w:rsidP="002E678D">
      <w:pPr>
        <w:rPr>
          <w:rFonts w:ascii="Calibri" w:hAnsi="Calibri" w:cs="Calibri"/>
          <w:b/>
        </w:rPr>
      </w:pPr>
    </w:p>
    <w:p w14:paraId="544F7F3B" w14:textId="77777777" w:rsidR="00FA3A44" w:rsidRDefault="00FA3A44" w:rsidP="000C082F"/>
    <w:p w14:paraId="0C6998EB" w14:textId="18BE1DB4" w:rsidR="000C082F" w:rsidRDefault="0028420B" w:rsidP="000C082F">
      <w:pPr>
        <w:pStyle w:val="Heading1"/>
      </w:pPr>
      <w:r>
        <w:t>Conclusion</w:t>
      </w:r>
    </w:p>
    <w:p w14:paraId="7ADF8A7B" w14:textId="5DF7392B" w:rsidR="000C082F" w:rsidRDefault="00C16BA1" w:rsidP="000C082F">
      <w:r>
        <w:t xml:space="preserve">In this contribution, we discussed potential RAN2 </w:t>
      </w:r>
      <w:r w:rsidR="009A53C1">
        <w:t xml:space="preserve">changes to clarify BCS reporting requirement </w:t>
      </w:r>
      <w:r w:rsidR="009A53C1" w:rsidRPr="009A53C1">
        <w:t>for intra-band EN-DC band combinations</w:t>
      </w:r>
      <w:r w:rsidR="009A53C1">
        <w:t xml:space="preserve"> considering possible RAN4 feedback. Based on the discussion, we provide </w:t>
      </w:r>
      <w:proofErr w:type="gramStart"/>
      <w:r w:rsidR="009A53C1">
        <w:t>following  proposals</w:t>
      </w:r>
      <w:proofErr w:type="gramEnd"/>
      <w:r w:rsidR="009A53C1">
        <w:t xml:space="preserve">. </w:t>
      </w:r>
    </w:p>
    <w:p w14:paraId="5476A608" w14:textId="4CEDE667" w:rsidR="007B1E40" w:rsidRDefault="007B1E40" w:rsidP="00C16BA1">
      <w:pPr>
        <w:jc w:val="both"/>
        <w:rPr>
          <w:rFonts w:ascii="Calibri" w:hAnsi="Calibri" w:cs="Calibri"/>
          <w:b/>
        </w:rPr>
      </w:pPr>
      <w:r>
        <w:fldChar w:fldCharType="begin"/>
      </w:r>
      <w:r>
        <w:instrText xml:space="preserve"> REF pro1 \h </w:instrText>
      </w:r>
      <w: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1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RAN2 confirms that the inclusion of </w:t>
      </w:r>
      <w:proofErr w:type="spellStart"/>
      <w:r w:rsidRPr="00064AF8">
        <w:rPr>
          <w:rFonts w:ascii="Calibri" w:hAnsi="Calibri" w:cs="Calibri"/>
          <w:b/>
        </w:rPr>
        <w:t>supportedBandwidthCombinationSetIntraENDC</w:t>
      </w:r>
      <w:proofErr w:type="spellEnd"/>
      <w:r>
        <w:rPr>
          <w:rFonts w:ascii="Calibri" w:hAnsi="Calibri" w:cs="Calibri"/>
          <w:b/>
        </w:rPr>
        <w:t xml:space="preserve"> doesn’t mandate the support of intra-band EN-DC in both downlink and uplink if RAN4 allows different band combination in downlink and uplink. </w:t>
      </w:r>
    </w:p>
    <w:p w14:paraId="1AB34144" w14:textId="26B23F78" w:rsidR="007B1E40" w:rsidRDefault="007B1E40" w:rsidP="00C16BA1">
      <w:pPr>
        <w:jc w:val="both"/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pro2 \h </w:instrText>
      </w:r>
      <w: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2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there is no need to clarify the different support of intra-band EN-DC in UL and DL in RAN2 specification.</w:t>
      </w:r>
    </w:p>
    <w:p w14:paraId="271B708C" w14:textId="7DBAEB85" w:rsidR="007B1E40" w:rsidRDefault="007B1E40" w:rsidP="00C16BA1">
      <w:pPr>
        <w:jc w:val="both"/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pro3 \h </w:instrText>
      </w:r>
      <w: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3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RAN4 conclude to go with approach </w:t>
      </w:r>
      <w:proofErr w:type="gramStart"/>
      <w:r>
        <w:rPr>
          <w:rFonts w:ascii="Calibri" w:hAnsi="Calibri" w:cs="Calibri"/>
          <w:b/>
        </w:rPr>
        <w:t>1,  RAN</w:t>
      </w:r>
      <w:proofErr w:type="gramEnd"/>
      <w:r>
        <w:rPr>
          <w:rFonts w:ascii="Calibri" w:hAnsi="Calibri" w:cs="Calibri"/>
          <w:b/>
        </w:rPr>
        <w:t>2 agree that i</w:t>
      </w:r>
      <w:r w:rsidRPr="000D7993">
        <w:rPr>
          <w:rFonts w:ascii="Calibri" w:hAnsi="Calibri" w:cs="Calibri"/>
          <w:b/>
        </w:rPr>
        <w:t>t is mandatory if the band combination is an intra-band (NG)EN-DC/NE-DC combination with additional inter-band NR/LTE CA component in both downlink and uplink</w:t>
      </w:r>
      <w:r>
        <w:rPr>
          <w:rFonts w:ascii="Calibri" w:hAnsi="Calibri" w:cs="Calibri"/>
          <w:b/>
        </w:rPr>
        <w:t>.</w:t>
      </w:r>
    </w:p>
    <w:p w14:paraId="4CF6DF1E" w14:textId="16DB5DDE" w:rsidR="007B1E40" w:rsidRDefault="007B1E40" w:rsidP="00C16BA1">
      <w:pPr>
        <w:jc w:val="both"/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pro4 \h </w:instrText>
      </w:r>
      <w: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4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RAN4 conclude to go with approach </w:t>
      </w:r>
      <w:proofErr w:type="gramStart"/>
      <w:r>
        <w:rPr>
          <w:rFonts w:ascii="Calibri" w:hAnsi="Calibri" w:cs="Calibri"/>
          <w:b/>
        </w:rPr>
        <w:t>2,  RAN</w:t>
      </w:r>
      <w:proofErr w:type="gramEnd"/>
      <w:r>
        <w:rPr>
          <w:rFonts w:ascii="Calibri" w:hAnsi="Calibri" w:cs="Calibri"/>
          <w:b/>
        </w:rPr>
        <w:t>2 agree that i</w:t>
      </w:r>
      <w:r w:rsidRPr="000D7993">
        <w:rPr>
          <w:rFonts w:ascii="Calibri" w:hAnsi="Calibri" w:cs="Calibri"/>
          <w:b/>
        </w:rPr>
        <w:t>t is mandatory if the band combination is an intra-band (NG)EN-DC/NE-DC combination with additional inter-band NR/LTE CA component in at least downlink or uplink</w:t>
      </w:r>
      <w:r>
        <w:rPr>
          <w:rFonts w:ascii="Calibri" w:hAnsi="Calibri" w:cs="Calibri"/>
          <w:b/>
        </w:rPr>
        <w:t>.</w:t>
      </w:r>
    </w:p>
    <w:p w14:paraId="2FDB15F9" w14:textId="2CF7698F" w:rsidR="009A53C1" w:rsidRDefault="007B1E40" w:rsidP="000C082F">
      <w:r>
        <w:fldChar w:fldCharType="end"/>
      </w:r>
    </w:p>
    <w:p w14:paraId="6CD09647" w14:textId="77777777" w:rsidR="000C082F" w:rsidRDefault="000C082F" w:rsidP="000C082F">
      <w:pPr>
        <w:pStyle w:val="Heading1"/>
      </w:pPr>
      <w:r>
        <w:t>References</w:t>
      </w:r>
    </w:p>
    <w:p w14:paraId="7B2D26D2" w14:textId="15346A44" w:rsidR="0012775E" w:rsidRDefault="00A74129">
      <w:r>
        <w:t>[1]</w:t>
      </w:r>
      <w:r w:rsidR="0012775E">
        <w:t xml:space="preserve"> </w:t>
      </w:r>
      <w:r w:rsidR="0012775E" w:rsidRPr="0012775E">
        <w:t>RP-202865</w:t>
      </w:r>
      <w:r>
        <w:t xml:space="preserve"> </w:t>
      </w:r>
      <w:r w:rsidR="006B18E0" w:rsidRPr="006B18E0">
        <w:t>Moderator's summary for email discussion [90E][</w:t>
      </w:r>
      <w:proofErr w:type="gramStart"/>
      <w:r w:rsidR="006B18E0" w:rsidRPr="006B18E0">
        <w:t>40][</w:t>
      </w:r>
      <w:proofErr w:type="spellStart"/>
      <w:proofErr w:type="gramEnd"/>
      <w:r w:rsidR="006B18E0" w:rsidRPr="006B18E0">
        <w:t>BWCS_reporting</w:t>
      </w:r>
      <w:proofErr w:type="spellEnd"/>
      <w:r w:rsidR="006B18E0" w:rsidRPr="006B18E0">
        <w:t>]</w:t>
      </w:r>
      <w:r w:rsidR="006B18E0">
        <w:t xml:space="preserve"> Nokia</w:t>
      </w:r>
    </w:p>
    <w:p w14:paraId="4BA20FFF" w14:textId="16DD662F" w:rsidR="00170AB1" w:rsidRDefault="0012775E">
      <w:r>
        <w:t xml:space="preserve">[2] </w:t>
      </w:r>
      <w:r w:rsidR="00170AB1" w:rsidRPr="00170AB1">
        <w:t>RP-202935</w:t>
      </w:r>
      <w:r w:rsidR="00170AB1">
        <w:t xml:space="preserve"> </w:t>
      </w:r>
      <w:r w:rsidR="008B0653" w:rsidRPr="008B0653">
        <w:t>LS on BCS reporting and support for intra-band EN-DC band combinations</w:t>
      </w:r>
      <w:r w:rsidR="008B0653">
        <w:t xml:space="preserve"> TSG RAN (contact: Nokia)</w:t>
      </w:r>
    </w:p>
    <w:p w14:paraId="072D9CA5" w14:textId="35813B57" w:rsidR="002C55CD" w:rsidRDefault="002C55CD"/>
    <w:p w14:paraId="200ADB9B" w14:textId="062E8EBA" w:rsidR="00E05BE8" w:rsidRDefault="00E05BE8" w:rsidP="00E05BE8">
      <w:pPr>
        <w:pStyle w:val="Heading1"/>
      </w:pPr>
      <w:r>
        <w:t>Annex A: RAN 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5BE8" w14:paraId="48A0DA19" w14:textId="77777777" w:rsidTr="000C098D">
        <w:tc>
          <w:tcPr>
            <w:tcW w:w="9016" w:type="dxa"/>
          </w:tcPr>
          <w:p w14:paraId="5B979F2D" w14:textId="77777777" w:rsidR="00E05BE8" w:rsidRPr="00FB27FF" w:rsidRDefault="00E05BE8" w:rsidP="000C098D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 w:rsidRPr="00FB27FF">
              <w:rPr>
                <w:rFonts w:ascii="Arial" w:hAnsi="Arial" w:cs="Arial"/>
                <w:color w:val="000000" w:themeColor="text1"/>
                <w:u w:val="single"/>
              </w:rPr>
              <w:t>For RAN4</w:t>
            </w:r>
            <w:r w:rsidRPr="00FB27FF">
              <w:rPr>
                <w:rFonts w:ascii="Arial" w:hAnsi="Arial" w:cs="Arial"/>
                <w:color w:val="000000" w:themeColor="text1"/>
              </w:rPr>
              <w:t>:</w:t>
            </w:r>
          </w:p>
          <w:p w14:paraId="62C26154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 w:rsidRPr="00FB27FF">
              <w:rPr>
                <w:rFonts w:ascii="Arial" w:hAnsi="Arial" w:cs="Arial"/>
                <w:color w:val="000000" w:themeColor="text1"/>
              </w:rPr>
              <w:lastRenderedPageBreak/>
              <w:t xml:space="preserve">A) </w:t>
            </w:r>
            <w:r w:rsidRPr="00C15AC2">
              <w:rPr>
                <w:rFonts w:ascii="Arial" w:hAnsi="Arial" w:cs="Arial"/>
                <w:color w:val="000000" w:themeColor="text1"/>
              </w:rPr>
              <w:t>Clarify if higher order</w:t>
            </w:r>
            <w:r>
              <w:rPr>
                <w:rFonts w:ascii="Arial" w:hAnsi="Arial" w:cs="Arial"/>
                <w:color w:val="000000" w:themeColor="text1"/>
              </w:rPr>
              <w:t xml:space="preserve"> (i.e. those band combinations which the UE indicates support for explicitly in UE capability signalling)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 EN-DC band combinations with </w:t>
            </w:r>
            <w:r>
              <w:rPr>
                <w:rFonts w:ascii="Arial" w:hAnsi="Arial" w:cs="Arial"/>
                <w:color w:val="000000" w:themeColor="text1"/>
              </w:rPr>
              <w:t>a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common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 band on the LTE and NR side such as </w:t>
            </w:r>
            <w:r>
              <w:rPr>
                <w:rFonts w:ascii="Arial" w:hAnsi="Arial" w:cs="Arial"/>
                <w:color w:val="000000" w:themeColor="text1"/>
              </w:rPr>
              <w:t>DC_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      </w:r>
            <w:r>
              <w:rPr>
                <w:rFonts w:ascii="Arial" w:hAnsi="Arial" w:cs="Arial"/>
                <w:color w:val="000000" w:themeColor="text1"/>
              </w:rPr>
              <w:t>the EN-DC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 BCS for such a combination, what can the network assume about the configuration limitations for the </w:t>
            </w:r>
            <w:r>
              <w:rPr>
                <w:rFonts w:ascii="Arial" w:hAnsi="Arial" w:cs="Arial"/>
                <w:color w:val="000000" w:themeColor="text1"/>
              </w:rPr>
              <w:t xml:space="preserve">common </w:t>
            </w:r>
            <w:r w:rsidRPr="00C15AC2">
              <w:rPr>
                <w:rFonts w:ascii="Arial" w:hAnsi="Arial" w:cs="Arial"/>
                <w:color w:val="000000" w:themeColor="text1"/>
              </w:rPr>
              <w:t>bands</w:t>
            </w:r>
            <w:r>
              <w:rPr>
                <w:rFonts w:ascii="Arial" w:hAnsi="Arial" w:cs="Arial"/>
                <w:color w:val="000000" w:themeColor="text1"/>
              </w:rPr>
              <w:t xml:space="preserve"> (e.g. LTE band 71 and NR band n71)</w:t>
            </w:r>
            <w:r w:rsidRPr="00C15AC2">
              <w:rPr>
                <w:rFonts w:ascii="Arial" w:hAnsi="Arial" w:cs="Arial"/>
                <w:color w:val="000000" w:themeColor="text1"/>
              </w:rPr>
              <w:t xml:space="preserve"> in the combination? </w:t>
            </w:r>
          </w:p>
          <w:p w14:paraId="561CC781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after="180"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 w:rsidRPr="00FB27FF">
              <w:rPr>
                <w:rFonts w:ascii="Arial" w:hAnsi="Arial" w:cs="Arial"/>
                <w:color w:val="000000" w:themeColor="text1"/>
              </w:rPr>
      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      </w:r>
          </w:p>
          <w:p w14:paraId="291E8099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after="180"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 w:rsidRPr="00FB27FF">
              <w:rPr>
                <w:rFonts w:ascii="Arial" w:hAnsi="Arial" w:cs="Arial"/>
                <w:color w:val="000000" w:themeColor="text1"/>
              </w:rPr>
              <w:t>C) Indicate the RAN4 understanding on A) and B) to RAN2 by the end of the first meeting week of RAN4#98e (to allow RAN2 to finalize their work).</w:t>
            </w:r>
          </w:p>
          <w:p w14:paraId="1238342B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after="180"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 w:rsidRPr="00FB27FF">
              <w:rPr>
                <w:rFonts w:ascii="Arial" w:hAnsi="Arial" w:cs="Arial"/>
                <w:color w:val="000000" w:themeColor="text1"/>
              </w:rPr>
              <w:t>D) Agree</w:t>
            </w:r>
            <w:r>
              <w:rPr>
                <w:rFonts w:ascii="Arial" w:hAnsi="Arial" w:cs="Arial"/>
                <w:color w:val="000000" w:themeColor="text1"/>
              </w:rPr>
              <w:t xml:space="preserve"> (if necessary)</w:t>
            </w:r>
            <w:r w:rsidRPr="00FB27FF">
              <w:rPr>
                <w:rFonts w:ascii="Arial" w:hAnsi="Arial" w:cs="Arial"/>
                <w:color w:val="000000" w:themeColor="text1"/>
              </w:rPr>
              <w:t xml:space="preserve"> CRs taking the conclusions of A) and B) into account.</w:t>
            </w:r>
          </w:p>
          <w:p w14:paraId="11360D25" w14:textId="77777777" w:rsidR="00E05BE8" w:rsidRPr="00FB27FF" w:rsidRDefault="00E05BE8" w:rsidP="000C098D">
            <w:pPr>
              <w:pStyle w:val="ListParagraph"/>
              <w:ind w:firstLine="400"/>
              <w:rPr>
                <w:rFonts w:ascii="Arial" w:hAnsi="Arial" w:cs="Arial"/>
                <w:color w:val="000000" w:themeColor="text1"/>
              </w:rPr>
            </w:pPr>
          </w:p>
          <w:p w14:paraId="61A30EC5" w14:textId="77777777" w:rsidR="00E05BE8" w:rsidRPr="00FB27FF" w:rsidRDefault="00E05BE8" w:rsidP="000C098D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  <w:u w:val="single"/>
              </w:rPr>
            </w:pPr>
            <w:r w:rsidRPr="00FB27FF">
              <w:rPr>
                <w:rFonts w:ascii="Arial" w:hAnsi="Arial" w:cs="Arial"/>
                <w:color w:val="000000" w:themeColor="text1"/>
                <w:u w:val="single"/>
              </w:rPr>
              <w:t>For RAN2:</w:t>
            </w:r>
          </w:p>
          <w:p w14:paraId="477A7C99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 w:rsidRPr="00FB27FF">
              <w:rPr>
                <w:rFonts w:ascii="Arial" w:hAnsi="Arial" w:cs="Arial"/>
                <w:color w:val="000000" w:themeColor="text1"/>
              </w:rPr>
              <w:t xml:space="preserve">) Clarify based on RAN4 feedback to A) and B), the usage of "intra-band EN-DC combinations with inter-band components" (A) and "intra-band EN-DC" (B) in </w:t>
            </w:r>
            <w:r>
              <w:rPr>
                <w:rFonts w:ascii="Arial" w:hAnsi="Arial" w:cs="Arial"/>
                <w:color w:val="000000" w:themeColor="text1"/>
              </w:rPr>
              <w:t xml:space="preserve">RAN2 </w:t>
            </w:r>
            <w:r w:rsidRPr="00FB27FF">
              <w:rPr>
                <w:rFonts w:ascii="Arial" w:hAnsi="Arial" w:cs="Arial"/>
                <w:color w:val="000000" w:themeColor="text1"/>
              </w:rPr>
              <w:t>specifications.</w:t>
            </w:r>
          </w:p>
          <w:p w14:paraId="410ADC0A" w14:textId="77777777" w:rsidR="00E05BE8" w:rsidRPr="00FB27FF" w:rsidRDefault="00E05BE8" w:rsidP="000C098D">
            <w:pPr>
              <w:pStyle w:val="ListParagraph"/>
              <w:numPr>
                <w:ilvl w:val="1"/>
                <w:numId w:val="13"/>
              </w:numPr>
              <w:spacing w:after="180" w:line="276" w:lineRule="auto"/>
              <w:ind w:firstLineChars="0"/>
              <w:contextualSpacing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 w:rsidRPr="00FB27FF">
              <w:rPr>
                <w:rFonts w:ascii="Arial" w:hAnsi="Arial" w:cs="Arial"/>
                <w:color w:val="000000" w:themeColor="text1"/>
              </w:rPr>
              <w:t>) Agree</w:t>
            </w:r>
            <w:r>
              <w:rPr>
                <w:rFonts w:ascii="Arial" w:hAnsi="Arial" w:cs="Arial"/>
                <w:color w:val="000000" w:themeColor="text1"/>
              </w:rPr>
              <w:t xml:space="preserve"> (if necessary)</w:t>
            </w:r>
            <w:r w:rsidRPr="00FB27FF">
              <w:rPr>
                <w:rFonts w:ascii="Arial" w:hAnsi="Arial" w:cs="Arial"/>
                <w:color w:val="000000" w:themeColor="text1"/>
              </w:rPr>
              <w:t xml:space="preserve"> CRs taking the conclusions of A), B)</w:t>
            </w:r>
            <w:r>
              <w:rPr>
                <w:rFonts w:ascii="Arial" w:hAnsi="Arial" w:cs="Arial"/>
                <w:color w:val="000000" w:themeColor="text1"/>
              </w:rPr>
              <w:t xml:space="preserve"> and</w:t>
            </w:r>
            <w:r w:rsidRPr="00FB27FF">
              <w:rPr>
                <w:rFonts w:ascii="Arial" w:hAnsi="Arial" w:cs="Arial"/>
                <w:color w:val="000000" w:themeColor="text1"/>
              </w:rPr>
              <w:t xml:space="preserve"> 1) into account.</w:t>
            </w:r>
          </w:p>
          <w:p w14:paraId="58A83908" w14:textId="77777777" w:rsidR="00E05BE8" w:rsidRDefault="00E05BE8" w:rsidP="000C098D"/>
        </w:tc>
      </w:tr>
    </w:tbl>
    <w:p w14:paraId="39CE3C31" w14:textId="77777777" w:rsidR="00E05BE8" w:rsidRDefault="00E05BE8"/>
    <w:p w14:paraId="524A4065" w14:textId="059539B0" w:rsidR="000C082F" w:rsidRDefault="000C082F"/>
    <w:p w14:paraId="48D2C3FE" w14:textId="77777777" w:rsidR="000C082F" w:rsidRDefault="000C082F"/>
    <w:sectPr w:rsidR="000C08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8D6BF" w14:textId="77777777" w:rsidR="00FA3467" w:rsidRDefault="00FA3467" w:rsidP="00955473">
      <w:pPr>
        <w:spacing w:after="0" w:line="240" w:lineRule="auto"/>
      </w:pPr>
      <w:r>
        <w:separator/>
      </w:r>
    </w:p>
  </w:endnote>
  <w:endnote w:type="continuationSeparator" w:id="0">
    <w:p w14:paraId="4F7A6730" w14:textId="77777777" w:rsidR="00FA3467" w:rsidRDefault="00FA3467" w:rsidP="00955473">
      <w:pPr>
        <w:spacing w:after="0" w:line="240" w:lineRule="auto"/>
      </w:pPr>
      <w:r>
        <w:continuationSeparator/>
      </w:r>
    </w:p>
  </w:endnote>
  <w:endnote w:type="continuationNotice" w:id="1">
    <w:p w14:paraId="08A5F94A" w14:textId="77777777" w:rsidR="000B473D" w:rsidRDefault="000B47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1C0BB" w14:textId="77777777" w:rsidR="00FA3467" w:rsidRDefault="00FA3467" w:rsidP="00955473">
      <w:pPr>
        <w:spacing w:after="0" w:line="240" w:lineRule="auto"/>
      </w:pPr>
      <w:r>
        <w:separator/>
      </w:r>
    </w:p>
  </w:footnote>
  <w:footnote w:type="continuationSeparator" w:id="0">
    <w:p w14:paraId="684584F1" w14:textId="77777777" w:rsidR="00FA3467" w:rsidRDefault="00FA3467" w:rsidP="00955473">
      <w:pPr>
        <w:spacing w:after="0" w:line="240" w:lineRule="auto"/>
      </w:pPr>
      <w:r>
        <w:continuationSeparator/>
      </w:r>
    </w:p>
  </w:footnote>
  <w:footnote w:type="continuationNotice" w:id="1">
    <w:p w14:paraId="6E98017D" w14:textId="77777777" w:rsidR="000B473D" w:rsidRDefault="000B47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81804"/>
    <w:multiLevelType w:val="hybridMultilevel"/>
    <w:tmpl w:val="EC2A9EA4"/>
    <w:lvl w:ilvl="0" w:tplc="61F2ED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F557E3"/>
    <w:multiLevelType w:val="hybridMultilevel"/>
    <w:tmpl w:val="E02C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B3D2B"/>
    <w:multiLevelType w:val="hybridMultilevel"/>
    <w:tmpl w:val="581E0FB8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242EA"/>
    <w:multiLevelType w:val="hybridMultilevel"/>
    <w:tmpl w:val="96FA8DFE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DC09F4"/>
    <w:multiLevelType w:val="hybridMultilevel"/>
    <w:tmpl w:val="01B01D86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D190399"/>
    <w:multiLevelType w:val="hybridMultilevel"/>
    <w:tmpl w:val="4AE20FEA"/>
    <w:lvl w:ilvl="0" w:tplc="1952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36321"/>
    <w:multiLevelType w:val="hybridMultilevel"/>
    <w:tmpl w:val="CFEE7F7E"/>
    <w:lvl w:ilvl="0" w:tplc="16A4F4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326CD67C"/>
    <w:lvl w:ilvl="0" w:tplc="EDEE7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531E2"/>
    <w:multiLevelType w:val="hybridMultilevel"/>
    <w:tmpl w:val="F410B5E2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903E6"/>
    <w:multiLevelType w:val="multilevel"/>
    <w:tmpl w:val="BA6C37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4"/>
  </w:num>
  <w:num w:numId="5">
    <w:abstractNumId w:val="12"/>
  </w:num>
  <w:num w:numId="6">
    <w:abstractNumId w:val="5"/>
  </w:num>
  <w:num w:numId="7">
    <w:abstractNumId w:val="1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  <w:num w:numId="14">
    <w:abstractNumId w:val="1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8C"/>
    <w:rsid w:val="00017A4C"/>
    <w:rsid w:val="00020717"/>
    <w:rsid w:val="00040237"/>
    <w:rsid w:val="00063706"/>
    <w:rsid w:val="00064AF8"/>
    <w:rsid w:val="00066371"/>
    <w:rsid w:val="00067F7C"/>
    <w:rsid w:val="000B473D"/>
    <w:rsid w:val="000C082F"/>
    <w:rsid w:val="000C6C9B"/>
    <w:rsid w:val="000D04F9"/>
    <w:rsid w:val="000D5451"/>
    <w:rsid w:val="000D6DF8"/>
    <w:rsid w:val="000D7993"/>
    <w:rsid w:val="000F3D7F"/>
    <w:rsid w:val="0012775E"/>
    <w:rsid w:val="00127F5B"/>
    <w:rsid w:val="00146499"/>
    <w:rsid w:val="00170AB1"/>
    <w:rsid w:val="001734F1"/>
    <w:rsid w:val="0018518E"/>
    <w:rsid w:val="001A342F"/>
    <w:rsid w:val="001C3158"/>
    <w:rsid w:val="001D5A54"/>
    <w:rsid w:val="001F23CA"/>
    <w:rsid w:val="002021D4"/>
    <w:rsid w:val="00207543"/>
    <w:rsid w:val="00225ADF"/>
    <w:rsid w:val="002372B3"/>
    <w:rsid w:val="002411F5"/>
    <w:rsid w:val="0028420B"/>
    <w:rsid w:val="00286C86"/>
    <w:rsid w:val="00293FDE"/>
    <w:rsid w:val="002A4D66"/>
    <w:rsid w:val="002C55CD"/>
    <w:rsid w:val="002E3936"/>
    <w:rsid w:val="002E678D"/>
    <w:rsid w:val="00302804"/>
    <w:rsid w:val="00304253"/>
    <w:rsid w:val="0033497F"/>
    <w:rsid w:val="003912B4"/>
    <w:rsid w:val="00393249"/>
    <w:rsid w:val="00483D4F"/>
    <w:rsid w:val="0048580E"/>
    <w:rsid w:val="0049581E"/>
    <w:rsid w:val="004D7A6E"/>
    <w:rsid w:val="005134EF"/>
    <w:rsid w:val="00533BAA"/>
    <w:rsid w:val="005577DE"/>
    <w:rsid w:val="00564D01"/>
    <w:rsid w:val="00566D5E"/>
    <w:rsid w:val="005747FE"/>
    <w:rsid w:val="00581CFC"/>
    <w:rsid w:val="00587D8D"/>
    <w:rsid w:val="005E191B"/>
    <w:rsid w:val="005F145A"/>
    <w:rsid w:val="00617374"/>
    <w:rsid w:val="0061790F"/>
    <w:rsid w:val="00680678"/>
    <w:rsid w:val="006847CE"/>
    <w:rsid w:val="006933FF"/>
    <w:rsid w:val="00693BEB"/>
    <w:rsid w:val="006B18E0"/>
    <w:rsid w:val="006D52A1"/>
    <w:rsid w:val="006E3B59"/>
    <w:rsid w:val="00734611"/>
    <w:rsid w:val="00740F2F"/>
    <w:rsid w:val="00750CFB"/>
    <w:rsid w:val="007534A4"/>
    <w:rsid w:val="007B1E40"/>
    <w:rsid w:val="007B5B0F"/>
    <w:rsid w:val="007C39DA"/>
    <w:rsid w:val="007D5AA3"/>
    <w:rsid w:val="007F3335"/>
    <w:rsid w:val="008068C0"/>
    <w:rsid w:val="00823D03"/>
    <w:rsid w:val="00824AB9"/>
    <w:rsid w:val="008604D5"/>
    <w:rsid w:val="00865C03"/>
    <w:rsid w:val="00884159"/>
    <w:rsid w:val="008B0653"/>
    <w:rsid w:val="008C33BF"/>
    <w:rsid w:val="00905C87"/>
    <w:rsid w:val="00915C86"/>
    <w:rsid w:val="00922139"/>
    <w:rsid w:val="00925C4B"/>
    <w:rsid w:val="00933DC4"/>
    <w:rsid w:val="00955473"/>
    <w:rsid w:val="00973414"/>
    <w:rsid w:val="009812BB"/>
    <w:rsid w:val="00997E21"/>
    <w:rsid w:val="009A53C1"/>
    <w:rsid w:val="009B7D53"/>
    <w:rsid w:val="009D3C35"/>
    <w:rsid w:val="009E7C28"/>
    <w:rsid w:val="009F7657"/>
    <w:rsid w:val="00A108B5"/>
    <w:rsid w:val="00A21B12"/>
    <w:rsid w:val="00A60852"/>
    <w:rsid w:val="00A63034"/>
    <w:rsid w:val="00A66990"/>
    <w:rsid w:val="00A74129"/>
    <w:rsid w:val="00A77F9D"/>
    <w:rsid w:val="00AD1D32"/>
    <w:rsid w:val="00B209EA"/>
    <w:rsid w:val="00B23FD9"/>
    <w:rsid w:val="00B30313"/>
    <w:rsid w:val="00B35A9C"/>
    <w:rsid w:val="00B5009A"/>
    <w:rsid w:val="00B83333"/>
    <w:rsid w:val="00B84B62"/>
    <w:rsid w:val="00B84EA3"/>
    <w:rsid w:val="00B95CC9"/>
    <w:rsid w:val="00BC3939"/>
    <w:rsid w:val="00BC6AD1"/>
    <w:rsid w:val="00BD39A9"/>
    <w:rsid w:val="00BF2B53"/>
    <w:rsid w:val="00BF5D5D"/>
    <w:rsid w:val="00C16BA1"/>
    <w:rsid w:val="00C617AE"/>
    <w:rsid w:val="00CB1BE1"/>
    <w:rsid w:val="00CE5676"/>
    <w:rsid w:val="00D13AEA"/>
    <w:rsid w:val="00D31C09"/>
    <w:rsid w:val="00D33313"/>
    <w:rsid w:val="00DE2A0D"/>
    <w:rsid w:val="00DE6388"/>
    <w:rsid w:val="00E05BE8"/>
    <w:rsid w:val="00E06D34"/>
    <w:rsid w:val="00E216DB"/>
    <w:rsid w:val="00E56909"/>
    <w:rsid w:val="00E63668"/>
    <w:rsid w:val="00E714B4"/>
    <w:rsid w:val="00ED538C"/>
    <w:rsid w:val="00EE6A03"/>
    <w:rsid w:val="00F26CDB"/>
    <w:rsid w:val="00F52D07"/>
    <w:rsid w:val="00F85031"/>
    <w:rsid w:val="00F92851"/>
    <w:rsid w:val="00F96845"/>
    <w:rsid w:val="00FA3467"/>
    <w:rsid w:val="00FA3A44"/>
    <w:rsid w:val="00FB22C4"/>
    <w:rsid w:val="00FD16CE"/>
    <w:rsid w:val="00FE124A"/>
    <w:rsid w:val="00FE4031"/>
    <w:rsid w:val="00FE6B0A"/>
    <w:rsid w:val="1AF3EA18"/>
    <w:rsid w:val="4121AFD5"/>
    <w:rsid w:val="47AB9EE8"/>
    <w:rsid w:val="6B74598A"/>
    <w:rsid w:val="77FEC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9221CE7"/>
  <w15:chartTrackingRefBased/>
  <w15:docId w15:val="{D8D56FD6-3F48-459F-B387-231599F1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2F"/>
    <w:rPr>
      <w:rFonts w:eastAsiaTheme="minorHAns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82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82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82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082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82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82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82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82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82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082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C082F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82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82F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82F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8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08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082F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C0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0C082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1"/>
    <w:rPr>
      <w:rFonts w:ascii="Segoe UI" w:eastAsiaTheme="minorHAns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73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34F1"/>
    <w:pPr>
      <w:spacing w:after="0" w:line="240" w:lineRule="auto"/>
      <w:ind w:firstLineChars="200" w:firstLine="420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7534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4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23D03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ProposalChar">
    <w:name w:val="Proposal Char"/>
    <w:link w:val="Proposal"/>
    <w:rsid w:val="00823D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ation">
    <w:name w:val="Observation"/>
    <w:basedOn w:val="Proposal"/>
    <w:qFormat/>
    <w:rsid w:val="0033497F"/>
    <w:pPr>
      <w:numPr>
        <w:numId w:val="8"/>
      </w:numPr>
      <w:tabs>
        <w:tab w:val="left" w:pos="1701"/>
      </w:tabs>
      <w:overflowPunct/>
      <w:autoSpaceDE/>
      <w:autoSpaceDN/>
      <w:adjustRightInd/>
      <w:spacing w:after="160" w:line="259" w:lineRule="auto"/>
      <w:jc w:val="left"/>
    </w:pPr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9554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3"/>
    <w:rPr>
      <w:rFonts w:eastAsiaTheme="minorHAnsi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EF"/>
    <w:rPr>
      <w:rFonts w:eastAsiaTheme="minorHAnsi"/>
      <w:b/>
      <w:bCs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915C86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915C86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72B56-B940-4922-BC11-E011DA31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E68D1-3565-4EE8-AED5-A7A8013E2F39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80530660-24fd-4391-a7a1-d653900fee43"/>
    <ds:schemaRef ds:uri="042397af-7977-45ef-9118-11c18c8623b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8E36CA-D71C-424A-A095-7752CF60F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D4006-A21B-4229-A0AD-BEF8CBE1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1614</Words>
  <Characters>9203</Characters>
  <Application>Microsoft Office Word</Application>
  <DocSecurity>0</DocSecurity>
  <Lines>76</Lines>
  <Paragraphs>21</Paragraphs>
  <ScaleCrop>false</ScaleCrop>
  <Company/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Heo, Youn Hyoung</dc:creator>
  <cp:keywords/>
  <dc:description/>
  <cp:lastModifiedBy>Heo, Youn Hyoung</cp:lastModifiedBy>
  <cp:revision>124</cp:revision>
  <dcterms:created xsi:type="dcterms:W3CDTF">2020-10-01T13:20:00Z</dcterms:created>
  <dcterms:modified xsi:type="dcterms:W3CDTF">2021-01-15T03:39:00Z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