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90459" w14:textId="699FE6B4"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 xml:space="preserve">SG-RAN WG2 Meeting #113                                                     </w:t>
      </w:r>
      <w:r>
        <w:tab/>
      </w:r>
      <w:r w:rsidRPr="58EC049B">
        <w:rPr>
          <w:rFonts w:ascii="Arial" w:hAnsi="Arial" w:cs="Arial"/>
          <w:b/>
          <w:bCs/>
          <w:color w:val="000000" w:themeColor="text1"/>
          <w:sz w:val="26"/>
          <w:szCs w:val="26"/>
        </w:rPr>
        <w:t xml:space="preserve"> R2</w:t>
      </w:r>
      <w:r w:rsidR="002B6755">
        <w:rPr>
          <w:rFonts w:ascii="Arial" w:hAnsi="Arial" w:cs="Arial"/>
          <w:b/>
          <w:bCs/>
          <w:color w:val="000000" w:themeColor="text1"/>
          <w:sz w:val="26"/>
          <w:szCs w:val="26"/>
        </w:rPr>
        <w:t>-</w:t>
      </w:r>
      <w:r w:rsidR="65D59B6F" w:rsidRPr="58EC049B">
        <w:rPr>
          <w:rFonts w:ascii="Arial" w:hAnsi="Arial" w:cs="Arial"/>
          <w:b/>
          <w:bCs/>
          <w:color w:val="000000" w:themeColor="text1"/>
          <w:sz w:val="26"/>
          <w:szCs w:val="26"/>
        </w:rPr>
        <w:t>2100382</w:t>
      </w:r>
    </w:p>
    <w:p w14:paraId="110EB4B6" w14:textId="7107CC1F"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USA, Jan 25</w:t>
      </w:r>
      <w:r>
        <w:rPr>
          <w:rFonts w:ascii="Arial" w:hAnsi="Arial"/>
          <w:b/>
          <w:bCs/>
          <w:sz w:val="24"/>
          <w:szCs w:val="24"/>
          <w:vertAlign w:val="superscript"/>
          <w:lang w:eastAsia="zh-CN"/>
        </w:rPr>
        <w:t>th</w:t>
      </w:r>
      <w:r>
        <w:rPr>
          <w:rFonts w:ascii="Arial" w:hAnsi="Arial"/>
          <w:b/>
          <w:bCs/>
          <w:sz w:val="24"/>
          <w:szCs w:val="24"/>
          <w:lang w:eastAsia="zh-CN"/>
        </w:rPr>
        <w:t xml:space="preserve"> – Feb 5</w:t>
      </w:r>
      <w:r>
        <w:rPr>
          <w:rFonts w:ascii="Arial" w:hAnsi="Arial"/>
          <w:b/>
          <w:bCs/>
          <w:sz w:val="24"/>
          <w:szCs w:val="24"/>
          <w:vertAlign w:val="superscript"/>
          <w:lang w:eastAsia="zh-CN"/>
        </w:rPr>
        <w:t>th</w:t>
      </w:r>
      <w:bookmarkStart w:id="1" w:name="_GoBack"/>
      <w:r w:rsidR="0063281F">
        <w:rPr>
          <w:rFonts w:ascii="Arial" w:hAnsi="Arial"/>
          <w:b/>
          <w:bCs/>
          <w:sz w:val="24"/>
          <w:szCs w:val="24"/>
          <w:lang w:eastAsia="zh-CN"/>
        </w:rPr>
        <w:t>, 2021</w:t>
      </w:r>
      <w:bookmarkEnd w:id="1"/>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31D67D9"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.1</w:t>
      </w:r>
      <w:r w:rsidR="005D6D93" w:rsidRPr="58EC049B">
        <w:rPr>
          <w:rFonts w:ascii="Arial" w:eastAsia="MS Mincho" w:hAnsi="Arial" w:cs="Arial"/>
          <w:b/>
          <w:bCs/>
          <w:sz w:val="24"/>
          <w:szCs w:val="24"/>
        </w:rPr>
        <w:t>0.</w:t>
      </w:r>
      <w:r w:rsidR="003A10BD" w:rsidRPr="58EC049B">
        <w:rPr>
          <w:rFonts w:ascii="Arial" w:eastAsia="MS Mincho" w:hAnsi="Arial" w:cs="Arial"/>
          <w:b/>
          <w:bCs/>
          <w:sz w:val="24"/>
          <w:szCs w:val="24"/>
        </w:rPr>
        <w:t>3.</w:t>
      </w:r>
      <w:r w:rsidR="5B9F3E50" w:rsidRPr="58EC049B">
        <w:rPr>
          <w:rFonts w:ascii="Arial" w:eastAsia="MS Mincho" w:hAnsi="Arial" w:cs="Arial"/>
          <w:b/>
          <w:bCs/>
          <w:sz w:val="24"/>
          <w:szCs w:val="24"/>
        </w:rPr>
        <w:t>3</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4129616"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EF5DCB" w:rsidRPr="00EF5DCB">
        <w:rPr>
          <w:rFonts w:ascii="Arial" w:eastAsia="Times New Roman" w:hAnsi="Arial" w:cs="Arial"/>
          <w:b/>
          <w:bCs/>
          <w:sz w:val="24"/>
          <w:szCs w:val="24"/>
        </w:rPr>
        <w:t>Measurement framework to support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057ACCB5" w14:textId="54DB8EE2" w:rsidR="006D630F" w:rsidRDefault="0053095B" w:rsidP="006D630F">
      <w:r>
        <w:t>NTN WI is approved in [1]</w:t>
      </w:r>
      <w:r w:rsidR="006D630F">
        <w:t xml:space="preserve">. </w:t>
      </w:r>
      <w:r w:rsidR="001A3DAA">
        <w:t>The following measurement framework related agreements had been made during last meeting:</w:t>
      </w:r>
    </w:p>
    <w:p w14:paraId="385229C5" w14:textId="77777777" w:rsidR="006D630F" w:rsidRDefault="006D630F" w:rsidP="006D630F">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431937D1" w14:textId="77777777" w:rsidR="006D630F" w:rsidRPr="00FE520D" w:rsidRDefault="006D630F" w:rsidP="006D630F">
      <w:pPr>
        <w:pStyle w:val="Doc-comment"/>
        <w:numPr>
          <w:ilvl w:val="0"/>
          <w:numId w:val="24"/>
        </w:numPr>
        <w:pBdr>
          <w:top w:val="single" w:sz="4" w:space="1" w:color="auto"/>
          <w:left w:val="single" w:sz="4" w:space="4" w:color="auto"/>
          <w:bottom w:val="single" w:sz="4" w:space="1" w:color="auto"/>
          <w:right w:val="single" w:sz="4" w:space="4" w:color="auto"/>
        </w:pBdr>
        <w:rPr>
          <w:i w:val="0"/>
        </w:rPr>
      </w:pPr>
      <w:r w:rsidRPr="00623208">
        <w:rPr>
          <w:i w:val="0"/>
        </w:rPr>
        <w:t xml:space="preserve">Reconfiguration with sync </w:t>
      </w:r>
      <w:r>
        <w:rPr>
          <w:i w:val="0"/>
        </w:rPr>
        <w:t xml:space="preserve">is the baseline for connected mode mobility in NTN </w:t>
      </w:r>
      <w:r w:rsidRPr="00623208">
        <w:rPr>
          <w:i w:val="0"/>
        </w:rPr>
        <w:t>(the use of legacy RLF and re-establishm</w:t>
      </w:r>
      <w:r>
        <w:rPr>
          <w:i w:val="0"/>
        </w:rPr>
        <w:t>ent mechanism are not excluded)</w:t>
      </w:r>
    </w:p>
    <w:p w14:paraId="397F312E" w14:textId="77777777" w:rsidR="006D630F" w:rsidRPr="00623208" w:rsidRDefault="006D630F" w:rsidP="006D630F">
      <w:pPr>
        <w:pStyle w:val="Doc-comment"/>
        <w:numPr>
          <w:ilvl w:val="0"/>
          <w:numId w:val="24"/>
        </w:numPr>
        <w:pBdr>
          <w:top w:val="single" w:sz="4" w:space="1" w:color="auto"/>
          <w:left w:val="single" w:sz="4" w:space="4" w:color="auto"/>
          <w:bottom w:val="single" w:sz="4" w:space="1" w:color="auto"/>
          <w:right w:val="single" w:sz="4" w:space="4" w:color="auto"/>
        </w:pBdr>
        <w:rPr>
          <w:i w:val="0"/>
        </w:rPr>
      </w:pPr>
      <w:r>
        <w:rPr>
          <w:i w:val="0"/>
        </w:rPr>
        <w:t>T</w:t>
      </w:r>
      <w:r w:rsidRPr="00623208">
        <w:rPr>
          <w:i w:val="0"/>
        </w:rPr>
        <w:t>he CHO can be used in NTN for both moving cell and fixed cell scenarios, and the CHO procedure and execution condition defined in Rel</w:t>
      </w:r>
      <w:r>
        <w:rPr>
          <w:i w:val="0"/>
        </w:rPr>
        <w:t>-16 is the</w:t>
      </w:r>
      <w:r w:rsidRPr="00623208">
        <w:rPr>
          <w:i w:val="0"/>
        </w:rPr>
        <w:t xml:space="preserve"> baseline</w:t>
      </w:r>
      <w:r>
        <w:rPr>
          <w:i w:val="0"/>
        </w:rPr>
        <w:t xml:space="preserve"> for NTN CHO</w:t>
      </w:r>
      <w:r w:rsidRPr="00623208">
        <w:rPr>
          <w:i w:val="0"/>
        </w:rPr>
        <w:t xml:space="preserve">. </w:t>
      </w:r>
    </w:p>
    <w:p w14:paraId="5F8E8CE6" w14:textId="77777777" w:rsidR="006D630F" w:rsidRPr="00623208" w:rsidRDefault="006D630F" w:rsidP="006D630F">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sidRPr="00623208">
        <w:rPr>
          <w:i w:val="0"/>
        </w:rPr>
        <w:t xml:space="preserve">NTN specific CHO execution condition </w:t>
      </w:r>
      <w:r>
        <w:rPr>
          <w:i w:val="0"/>
        </w:rPr>
        <w:t>can be further discussed</w:t>
      </w:r>
      <w:r w:rsidRPr="00623208">
        <w:rPr>
          <w:i w:val="0"/>
        </w:rPr>
        <w:t>.</w:t>
      </w:r>
    </w:p>
    <w:p w14:paraId="7AC02F90" w14:textId="77777777" w:rsidR="006D630F" w:rsidRPr="00493E8B" w:rsidRDefault="006D630F" w:rsidP="006D630F">
      <w:pPr>
        <w:pStyle w:val="Doc-comment"/>
        <w:pBdr>
          <w:top w:val="single" w:sz="4" w:space="1" w:color="auto"/>
          <w:left w:val="single" w:sz="4" w:space="4" w:color="auto"/>
          <w:bottom w:val="single" w:sz="4" w:space="1" w:color="auto"/>
          <w:right w:val="single" w:sz="4" w:space="4" w:color="auto"/>
        </w:pBdr>
        <w:rPr>
          <w:i w:val="0"/>
        </w:rPr>
      </w:pPr>
      <w:r>
        <w:rPr>
          <w:i w:val="0"/>
        </w:rPr>
        <w:t>4.</w:t>
      </w:r>
      <w:r>
        <w:rPr>
          <w:i w:val="0"/>
        </w:rPr>
        <w:tab/>
      </w:r>
      <w:r w:rsidRPr="00493E8B">
        <w:rPr>
          <w:i w:val="0"/>
        </w:rPr>
        <w:t>The existing measurement framework (e.g. measurement configuration, execution and reporting) is the baseline, and all the existing measurement criteria and event can be used in NTN. Support for new measurement is not excluded.</w:t>
      </w:r>
    </w:p>
    <w:p w14:paraId="3A685DF1" w14:textId="06055058" w:rsidR="006D630F" w:rsidRPr="00493E8B" w:rsidRDefault="006D630F" w:rsidP="001A3DAA">
      <w:pPr>
        <w:pStyle w:val="Doc-comment"/>
        <w:pBdr>
          <w:top w:val="single" w:sz="4" w:space="1" w:color="auto"/>
          <w:left w:val="single" w:sz="4" w:space="4" w:color="auto"/>
          <w:bottom w:val="single" w:sz="4" w:space="1" w:color="auto"/>
          <w:right w:val="single" w:sz="4" w:space="4" w:color="auto"/>
        </w:pBdr>
        <w:rPr>
          <w:i w:val="0"/>
        </w:rPr>
      </w:pPr>
      <w:r w:rsidRPr="00493E8B">
        <w:rPr>
          <w:i w:val="0"/>
        </w:rPr>
        <w:t>5.</w:t>
      </w:r>
      <w:r w:rsidRPr="00493E8B">
        <w:rPr>
          <w:i w:val="0"/>
        </w:rPr>
        <w:tab/>
        <w:t>Legacy SSB periods (as in TN) shall be supported in NTN</w:t>
      </w:r>
    </w:p>
    <w:p w14:paraId="0B5D7730" w14:textId="1BB21128" w:rsidR="006D630F" w:rsidRPr="00493E8B" w:rsidRDefault="006D630F" w:rsidP="006D630F"/>
    <w:p w14:paraId="1BA5E124" w14:textId="77777777" w:rsidR="006D630F" w:rsidRPr="00493E8B" w:rsidRDefault="006D630F" w:rsidP="006D630F">
      <w:pPr>
        <w:pStyle w:val="Doc-text2"/>
        <w:pBdr>
          <w:top w:val="single" w:sz="4" w:space="1" w:color="auto"/>
          <w:left w:val="single" w:sz="4" w:space="4" w:color="auto"/>
          <w:bottom w:val="single" w:sz="4" w:space="1" w:color="auto"/>
          <w:right w:val="single" w:sz="4" w:space="4" w:color="auto"/>
        </w:pBdr>
      </w:pPr>
      <w:r w:rsidRPr="00493E8B">
        <w:t>Agreements via email - offline 106:</w:t>
      </w:r>
    </w:p>
    <w:p w14:paraId="45BAF33A" w14:textId="77777777" w:rsidR="006D630F" w:rsidRPr="00493E8B" w:rsidRDefault="006D630F" w:rsidP="006D630F">
      <w:pPr>
        <w:pStyle w:val="Doc-text2"/>
        <w:numPr>
          <w:ilvl w:val="0"/>
          <w:numId w:val="25"/>
        </w:numPr>
        <w:pBdr>
          <w:top w:val="single" w:sz="4" w:space="1" w:color="auto"/>
          <w:left w:val="single" w:sz="4" w:space="4" w:color="auto"/>
          <w:bottom w:val="single" w:sz="4" w:space="1" w:color="auto"/>
          <w:right w:val="single" w:sz="4" w:space="4" w:color="auto"/>
        </w:pBdr>
      </w:pPr>
      <w:r w:rsidRPr="00493E8B">
        <w:t>RAN2 understanding that UE shall not be forced to detect the SSB burst outside the corresponding configured SMTC window in NTN, just like the principle in TN.</w:t>
      </w:r>
    </w:p>
    <w:p w14:paraId="1948DF29" w14:textId="091E9D6C" w:rsidR="006D630F" w:rsidRPr="00493E8B" w:rsidRDefault="006D630F" w:rsidP="006D630F"/>
    <w:p w14:paraId="231642F3" w14:textId="77777777" w:rsidR="006D630F" w:rsidRPr="00493E8B" w:rsidRDefault="006D630F" w:rsidP="006D630F">
      <w:pPr>
        <w:pStyle w:val="Doc-text2"/>
        <w:pBdr>
          <w:top w:val="single" w:sz="4" w:space="1" w:color="auto"/>
          <w:left w:val="single" w:sz="4" w:space="4" w:color="auto"/>
          <w:bottom w:val="single" w:sz="4" w:space="1" w:color="auto"/>
          <w:right w:val="single" w:sz="4" w:space="4" w:color="auto"/>
        </w:pBdr>
      </w:pPr>
      <w:r w:rsidRPr="00493E8B">
        <w:t>Agreements:</w:t>
      </w:r>
    </w:p>
    <w:p w14:paraId="28131B0D" w14:textId="77777777" w:rsidR="006D630F" w:rsidRPr="00493E8B" w:rsidRDefault="006D630F" w:rsidP="006D630F">
      <w:pPr>
        <w:pStyle w:val="Doc-text2"/>
        <w:numPr>
          <w:ilvl w:val="0"/>
          <w:numId w:val="26"/>
        </w:numPr>
        <w:pBdr>
          <w:top w:val="single" w:sz="4" w:space="1" w:color="auto"/>
          <w:left w:val="single" w:sz="4" w:space="4" w:color="auto"/>
          <w:bottom w:val="single" w:sz="4" w:space="1" w:color="auto"/>
          <w:right w:val="single" w:sz="4" w:space="4" w:color="auto"/>
        </w:pBdr>
      </w:pPr>
      <w:r w:rsidRPr="00493E8B">
        <w:t xml:space="preserve">SMTC and gap configuration in NTN are configured based on the timing of </w:t>
      </w:r>
      <w:proofErr w:type="spellStart"/>
      <w:r w:rsidRPr="00493E8B">
        <w:t>PCell</w:t>
      </w:r>
      <w:proofErr w:type="spellEnd"/>
    </w:p>
    <w:p w14:paraId="00019319" w14:textId="77777777" w:rsidR="006D630F" w:rsidRPr="00493E8B" w:rsidRDefault="006D630F" w:rsidP="006D630F">
      <w:pPr>
        <w:pStyle w:val="Doc-text2"/>
        <w:numPr>
          <w:ilvl w:val="0"/>
          <w:numId w:val="26"/>
        </w:numPr>
        <w:pBdr>
          <w:top w:val="single" w:sz="4" w:space="1" w:color="auto"/>
          <w:left w:val="single" w:sz="4" w:space="4" w:color="auto"/>
          <w:bottom w:val="single" w:sz="4" w:space="1" w:color="auto"/>
          <w:right w:val="single" w:sz="4" w:space="4" w:color="auto"/>
        </w:pBdr>
      </w:pPr>
      <w:r w:rsidRPr="00493E8B">
        <w:t>RAN2 can first identify the scenarios and discuss how serious the impact is before addressing any enhancement for SMTC configuration in NTN.</w:t>
      </w:r>
    </w:p>
    <w:p w14:paraId="5774E399" w14:textId="77777777" w:rsidR="006D630F" w:rsidRPr="00493E8B" w:rsidRDefault="006D630F" w:rsidP="006D630F">
      <w:pPr>
        <w:pStyle w:val="Doc-text2"/>
        <w:numPr>
          <w:ilvl w:val="0"/>
          <w:numId w:val="26"/>
        </w:numPr>
        <w:pBdr>
          <w:top w:val="single" w:sz="4" w:space="1" w:color="auto"/>
          <w:left w:val="single" w:sz="4" w:space="4" w:color="auto"/>
          <w:bottom w:val="single" w:sz="4" w:space="1" w:color="auto"/>
          <w:right w:val="single" w:sz="4" w:space="4" w:color="auto"/>
        </w:pBdr>
      </w:pPr>
      <w:r w:rsidRPr="00493E8B">
        <w:t>RAN2 can’t assume that the network will always have UE accurate location info for SMTC window configuration in NTN</w:t>
      </w:r>
    </w:p>
    <w:p w14:paraId="3A4C434B" w14:textId="77777777" w:rsidR="006D630F" w:rsidRDefault="006D630F" w:rsidP="006D630F">
      <w:pPr>
        <w:pStyle w:val="Doc-text2"/>
        <w:numPr>
          <w:ilvl w:val="0"/>
          <w:numId w:val="26"/>
        </w:numPr>
        <w:pBdr>
          <w:top w:val="single" w:sz="4" w:space="1" w:color="auto"/>
          <w:left w:val="single" w:sz="4" w:space="4" w:color="auto"/>
          <w:bottom w:val="single" w:sz="4" w:space="1" w:color="auto"/>
          <w:right w:val="single" w:sz="4" w:space="4" w:color="auto"/>
        </w:pBdr>
      </w:pPr>
      <w:r w:rsidRPr="006A4927">
        <w:t xml:space="preserve">UE along with the network in NTN should also have </w:t>
      </w:r>
      <w:r>
        <w:t>the same</w:t>
      </w:r>
      <w:r w:rsidRPr="006A4927">
        <w:t xml:space="preserve"> understanding of the timing, including the timing for measurement gap, to avoid any un-synchronized scheduling between UE and the network, j</w:t>
      </w:r>
      <w:r>
        <w:t>ust like the way we have in TN</w:t>
      </w:r>
    </w:p>
    <w:p w14:paraId="1ABE6C5D" w14:textId="77777777" w:rsidR="006D630F" w:rsidRDefault="006D630F" w:rsidP="006D630F">
      <w:pPr>
        <w:pStyle w:val="Comments"/>
      </w:pPr>
    </w:p>
    <w:p w14:paraId="7689E4AA" w14:textId="6ECAE2E8" w:rsidR="006D630F" w:rsidRPr="006D630F" w:rsidRDefault="001A3DAA" w:rsidP="006D630F">
      <w:r>
        <w:t xml:space="preserve">This contribution is to further study </w:t>
      </w:r>
      <w:r w:rsidR="00FE5F17">
        <w:t>potential</w:t>
      </w:r>
      <w:r>
        <w:t xml:space="preserve"> issue</w:t>
      </w:r>
      <w:r w:rsidR="00FE5F17">
        <w:t>s</w:t>
      </w:r>
      <w:r>
        <w:t xml:space="preserve"> of measurement framework in NTN.</w:t>
      </w:r>
    </w:p>
    <w:p w14:paraId="2B01AEBD" w14:textId="1BD140DE" w:rsidR="00653A6B" w:rsidRPr="0053095B" w:rsidRDefault="0053095B" w:rsidP="00653A6B">
      <w:pPr>
        <w:rPr>
          <w:lang w:val="en-US"/>
        </w:rPr>
      </w:pPr>
      <w:r>
        <w:rPr>
          <w:lang w:val="en-US"/>
        </w:rPr>
        <w:t>.</w:t>
      </w:r>
    </w:p>
    <w:p w14:paraId="75037347" w14:textId="4567C789" w:rsidR="00637A18" w:rsidRDefault="00783B93" w:rsidP="00637A18">
      <w:pPr>
        <w:pStyle w:val="Heading1"/>
        <w:numPr>
          <w:ilvl w:val="0"/>
          <w:numId w:val="2"/>
        </w:numPr>
        <w:pBdr>
          <w:top w:val="single" w:sz="12" w:space="2" w:color="auto"/>
        </w:pBdr>
      </w:pPr>
      <w:r>
        <w:lastRenderedPageBreak/>
        <w:t xml:space="preserve">Discussion </w:t>
      </w:r>
    </w:p>
    <w:p w14:paraId="395EB753" w14:textId="2E98F867" w:rsidR="00B644F2" w:rsidRDefault="00B644F2" w:rsidP="00B644F2">
      <w:pPr>
        <w:jc w:val="center"/>
      </w:pPr>
      <w:r>
        <w:rPr>
          <w:noProof/>
        </w:rPr>
        <w:drawing>
          <wp:inline distT="0" distB="0" distL="0" distR="0" wp14:anchorId="581547A5" wp14:editId="6DDD870E">
            <wp:extent cx="3118338" cy="1728079"/>
            <wp:effectExtent l="0" t="0" r="6350" b="5715"/>
            <wp:docPr id="1"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18338" cy="1728079"/>
                    </a:xfrm>
                    <a:prstGeom prst="rect">
                      <a:avLst/>
                    </a:prstGeom>
                  </pic:spPr>
                </pic:pic>
              </a:graphicData>
            </a:graphic>
          </wp:inline>
        </w:drawing>
      </w:r>
      <w:r w:rsidR="007657EC" w:rsidRPr="58EC049B">
        <w:rPr>
          <w:noProof/>
        </w:rPr>
        <w:t xml:space="preserve"> </w:t>
      </w:r>
      <w:r w:rsidR="007657EC">
        <w:rPr>
          <w:noProof/>
        </w:rPr>
        <w:drawing>
          <wp:inline distT="0" distB="0" distL="0" distR="0" wp14:anchorId="351066C7" wp14:editId="7BFF7564">
            <wp:extent cx="2749061" cy="1183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2749061" cy="1183625"/>
                    </a:xfrm>
                    <a:prstGeom prst="rect">
                      <a:avLst/>
                    </a:prstGeom>
                  </pic:spPr>
                </pic:pic>
              </a:graphicData>
            </a:graphic>
          </wp:inline>
        </w:drawing>
      </w:r>
    </w:p>
    <w:p w14:paraId="1250EB72" w14:textId="3E2E06CE" w:rsidR="00B644F2" w:rsidRPr="00B644F2" w:rsidRDefault="00B644F2" w:rsidP="00B644F2">
      <w:pPr>
        <w:jc w:val="center"/>
        <w:rPr>
          <w:b/>
          <w:bCs/>
        </w:rPr>
      </w:pPr>
      <w:r w:rsidRPr="00B644F2">
        <w:rPr>
          <w:b/>
          <w:bCs/>
        </w:rPr>
        <w:t>Figure 1: example of 3 satellite cells and two UEs in different locations</w:t>
      </w:r>
    </w:p>
    <w:p w14:paraId="29919FF4" w14:textId="217A64F3" w:rsidR="0090115F" w:rsidRDefault="0090115F" w:rsidP="0053095B">
      <w:pPr>
        <w:rPr>
          <w:lang w:val="en-US"/>
        </w:rPr>
      </w:pPr>
      <w:r>
        <w:rPr>
          <w:lang w:val="en-US"/>
        </w:rPr>
        <w:t>D</w:t>
      </w:r>
      <w:r w:rsidR="00BE4F8E">
        <w:rPr>
          <w:lang w:val="en-US"/>
        </w:rPr>
        <w:t xml:space="preserve">ue to </w:t>
      </w:r>
      <w:r w:rsidR="00833B2D">
        <w:rPr>
          <w:lang w:val="en-US"/>
        </w:rPr>
        <w:t>different</w:t>
      </w:r>
      <w:r w:rsidR="00BE4F8E">
        <w:rPr>
          <w:lang w:val="en-US"/>
        </w:rPr>
        <w:t xml:space="preserve"> propagation delay</w:t>
      </w:r>
      <w:r w:rsidR="00833B2D">
        <w:rPr>
          <w:lang w:val="en-US"/>
        </w:rPr>
        <w:t xml:space="preserve"> from different satellites to </w:t>
      </w:r>
      <w:r>
        <w:rPr>
          <w:lang w:val="en-US"/>
        </w:rPr>
        <w:t>different</w:t>
      </w:r>
      <w:r w:rsidR="00833B2D">
        <w:rPr>
          <w:lang w:val="en-US"/>
        </w:rPr>
        <w:t xml:space="preserve"> UE</w:t>
      </w:r>
      <w:r>
        <w:rPr>
          <w:lang w:val="en-US"/>
        </w:rPr>
        <w:t>s, the SMTC duration may have different timing at different UEs. Figure 1</w:t>
      </w:r>
      <w:r w:rsidR="007657EC">
        <w:rPr>
          <w:lang w:val="en-US"/>
        </w:rPr>
        <w:t xml:space="preserve"> (left)</w:t>
      </w:r>
      <w:r>
        <w:rPr>
          <w:lang w:val="en-US"/>
        </w:rPr>
        <w:t xml:space="preserve"> illustrate</w:t>
      </w:r>
      <w:r w:rsidR="007657EC">
        <w:rPr>
          <w:lang w:val="en-US"/>
        </w:rPr>
        <w:t>s</w:t>
      </w:r>
      <w:r>
        <w:rPr>
          <w:lang w:val="en-US"/>
        </w:rPr>
        <w:t xml:space="preserve"> an example of 3 different satellite cells and 2 UEs. For simplicity, assume all 3 cells SMTC has the send at the same time with the same periodicity. The table below shows the timing of the SMTC window starts for both UEs for all cells. T1 is the time where SMTC was transmitted at the network side. </w:t>
      </w:r>
      <w:proofErr w:type="spellStart"/>
      <w:r>
        <w:rPr>
          <w:lang w:val="en-US"/>
        </w:rPr>
        <w:t>Pij</w:t>
      </w:r>
      <w:proofErr w:type="spellEnd"/>
      <w:r>
        <w:rPr>
          <w:lang w:val="en-US"/>
        </w:rPr>
        <w:t xml:space="preserve"> is the propagation delay between UE i and cell j.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60"/>
        <w:gridCol w:w="1350"/>
        <w:gridCol w:w="1500"/>
        <w:gridCol w:w="1740"/>
        <w:gridCol w:w="2070"/>
      </w:tblGrid>
      <w:tr w:rsidR="00FE5F17" w:rsidRPr="00FE5F17" w14:paraId="01574E20" w14:textId="77777777" w:rsidTr="00FE5F17">
        <w:tc>
          <w:tcPr>
            <w:tcW w:w="20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81E603"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NTN scenarios</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1DD2D"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A</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6EEA41"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B</w:t>
            </w:r>
          </w:p>
        </w:tc>
        <w:tc>
          <w:tcPr>
            <w:tcW w:w="1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D9076"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C1</w:t>
            </w:r>
          </w:p>
        </w:tc>
        <w:tc>
          <w:tcPr>
            <w:tcW w:w="2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E70A12"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D1</w:t>
            </w:r>
          </w:p>
        </w:tc>
      </w:tr>
      <w:tr w:rsidR="00FE5F17" w:rsidRPr="00FE5F17" w14:paraId="7D322060" w14:textId="77777777" w:rsidTr="00FE5F17">
        <w:tc>
          <w:tcPr>
            <w:tcW w:w="20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CD8A0"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 </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EF320A"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i/>
                <w:iCs/>
                <w:sz w:val="18"/>
                <w:szCs w:val="18"/>
                <w:lang w:eastAsia="zh-TW"/>
              </w:rPr>
              <w:t>GEO transparent payload</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F8CA7"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i/>
                <w:iCs/>
                <w:sz w:val="18"/>
                <w:szCs w:val="18"/>
                <w:lang w:eastAsia="zh-TW"/>
              </w:rPr>
              <w:t>GEO regenerative payload</w:t>
            </w:r>
          </w:p>
        </w:tc>
        <w:tc>
          <w:tcPr>
            <w:tcW w:w="1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3AAC0"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i/>
                <w:iCs/>
                <w:sz w:val="18"/>
                <w:szCs w:val="18"/>
                <w:lang w:eastAsia="zh-TW"/>
              </w:rPr>
              <w:t>LEO transparent payload</w:t>
            </w:r>
          </w:p>
        </w:tc>
        <w:tc>
          <w:tcPr>
            <w:tcW w:w="2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5D80DC"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i/>
                <w:iCs/>
                <w:sz w:val="18"/>
                <w:szCs w:val="18"/>
                <w:lang w:eastAsia="zh-TW"/>
              </w:rPr>
              <w:t>LEO regenerative payload</w:t>
            </w:r>
          </w:p>
        </w:tc>
      </w:tr>
      <w:tr w:rsidR="00FE5F17" w:rsidRPr="00FE5F17" w14:paraId="2D993941" w14:textId="77777777" w:rsidTr="00FE5F17">
        <w:tc>
          <w:tcPr>
            <w:tcW w:w="20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7B1B4D"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 xml:space="preserve">Maximum propagation delay contribution to the </w:t>
            </w:r>
            <w:proofErr w:type="gramStart"/>
            <w:r w:rsidRPr="00FE5F17">
              <w:rPr>
                <w:rFonts w:ascii="Arial" w:eastAsia="Times New Roman" w:hAnsi="Arial" w:cs="Arial"/>
                <w:sz w:val="18"/>
                <w:szCs w:val="18"/>
                <w:lang w:eastAsia="zh-TW"/>
              </w:rPr>
              <w:t>Round Trip</w:t>
            </w:r>
            <w:proofErr w:type="gramEnd"/>
            <w:r w:rsidRPr="00FE5F17">
              <w:rPr>
                <w:rFonts w:ascii="Arial" w:eastAsia="Times New Roman" w:hAnsi="Arial" w:cs="Arial"/>
                <w:sz w:val="18"/>
                <w:szCs w:val="18"/>
                <w:lang w:eastAsia="zh-TW"/>
              </w:rPr>
              <w:t xml:space="preserve"> Delay on the radio interface between the </w:t>
            </w:r>
            <w:proofErr w:type="spellStart"/>
            <w:r w:rsidRPr="00FE5F17">
              <w:rPr>
                <w:rFonts w:ascii="Arial" w:eastAsia="Times New Roman" w:hAnsi="Arial" w:cs="Arial"/>
                <w:sz w:val="18"/>
                <w:szCs w:val="18"/>
                <w:lang w:eastAsia="zh-TW"/>
              </w:rPr>
              <w:t>gNB</w:t>
            </w:r>
            <w:proofErr w:type="spellEnd"/>
            <w:r w:rsidRPr="00FE5F17">
              <w:rPr>
                <w:rFonts w:ascii="Arial" w:eastAsia="Times New Roman" w:hAnsi="Arial" w:cs="Arial"/>
                <w:sz w:val="18"/>
                <w:szCs w:val="18"/>
                <w:lang w:eastAsia="zh-TW"/>
              </w:rPr>
              <w:t xml:space="preserve"> and the UE</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D34F49"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 xml:space="preserve">541.46 </w:t>
            </w:r>
            <w:proofErr w:type="spellStart"/>
            <w:r w:rsidRPr="00FE5F17">
              <w:rPr>
                <w:rFonts w:ascii="Arial" w:eastAsia="Times New Roman" w:hAnsi="Arial" w:cs="Arial"/>
                <w:i/>
                <w:iCs/>
                <w:sz w:val="18"/>
                <w:szCs w:val="18"/>
                <w:lang w:eastAsia="zh-TW"/>
              </w:rPr>
              <w:t>ms</w:t>
            </w:r>
            <w:proofErr w:type="spellEnd"/>
            <w:r w:rsidRPr="00FE5F17">
              <w:rPr>
                <w:rFonts w:ascii="Arial" w:eastAsia="Times New Roman" w:hAnsi="Arial" w:cs="Arial"/>
                <w:i/>
                <w:iCs/>
                <w:sz w:val="18"/>
                <w:szCs w:val="18"/>
                <w:lang w:eastAsia="zh-TW"/>
              </w:rPr>
              <w:t xml:space="preserve"> (Worst case)</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57617"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 xml:space="preserve">270.73 </w:t>
            </w:r>
            <w:proofErr w:type="spellStart"/>
            <w:r w:rsidRPr="00FE5F17">
              <w:rPr>
                <w:rFonts w:ascii="Arial" w:eastAsia="Times New Roman" w:hAnsi="Arial" w:cs="Arial"/>
                <w:i/>
                <w:iCs/>
                <w:sz w:val="18"/>
                <w:szCs w:val="18"/>
                <w:lang w:eastAsia="zh-TW"/>
              </w:rPr>
              <w:t>ms</w:t>
            </w:r>
            <w:proofErr w:type="spellEnd"/>
          </w:p>
        </w:tc>
        <w:tc>
          <w:tcPr>
            <w:tcW w:w="1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E030A4"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 xml:space="preserve">25.77 </w:t>
            </w:r>
            <w:proofErr w:type="spellStart"/>
            <w:r w:rsidRPr="00FE5F17">
              <w:rPr>
                <w:rFonts w:ascii="Arial" w:eastAsia="Times New Roman" w:hAnsi="Arial" w:cs="Arial"/>
                <w:i/>
                <w:iCs/>
                <w:sz w:val="18"/>
                <w:szCs w:val="18"/>
                <w:lang w:eastAsia="zh-TW"/>
              </w:rPr>
              <w:t>ms</w:t>
            </w:r>
            <w:proofErr w:type="spellEnd"/>
          </w:p>
        </w:tc>
        <w:tc>
          <w:tcPr>
            <w:tcW w:w="2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F22ABC"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 xml:space="preserve">12.89 </w:t>
            </w:r>
            <w:proofErr w:type="spellStart"/>
            <w:r w:rsidRPr="00FE5F17">
              <w:rPr>
                <w:rFonts w:ascii="Arial" w:eastAsia="Times New Roman" w:hAnsi="Arial" w:cs="Arial"/>
                <w:i/>
                <w:iCs/>
                <w:sz w:val="18"/>
                <w:szCs w:val="18"/>
                <w:lang w:eastAsia="zh-TW"/>
              </w:rPr>
              <w:t>ms</w:t>
            </w:r>
            <w:proofErr w:type="spellEnd"/>
          </w:p>
        </w:tc>
      </w:tr>
      <w:tr w:rsidR="00FE5F17" w:rsidRPr="00FE5F17" w14:paraId="297A34D2" w14:textId="77777777" w:rsidTr="00FE5F17">
        <w:tc>
          <w:tcPr>
            <w:tcW w:w="20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64E40"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 xml:space="preserve">Minimum propagation delay contribution to the </w:t>
            </w:r>
            <w:proofErr w:type="gramStart"/>
            <w:r w:rsidRPr="00FE5F17">
              <w:rPr>
                <w:rFonts w:ascii="Arial" w:eastAsia="Times New Roman" w:hAnsi="Arial" w:cs="Arial"/>
                <w:sz w:val="18"/>
                <w:szCs w:val="18"/>
                <w:lang w:eastAsia="zh-TW"/>
              </w:rPr>
              <w:t>Round Trip</w:t>
            </w:r>
            <w:proofErr w:type="gramEnd"/>
            <w:r w:rsidRPr="00FE5F17">
              <w:rPr>
                <w:rFonts w:ascii="Arial" w:eastAsia="Times New Roman" w:hAnsi="Arial" w:cs="Arial"/>
                <w:sz w:val="18"/>
                <w:szCs w:val="18"/>
                <w:lang w:eastAsia="zh-TW"/>
              </w:rPr>
              <w:t xml:space="preserve"> Delay on the radio interface between the </w:t>
            </w:r>
            <w:proofErr w:type="spellStart"/>
            <w:r w:rsidRPr="00FE5F17">
              <w:rPr>
                <w:rFonts w:ascii="Arial" w:eastAsia="Times New Roman" w:hAnsi="Arial" w:cs="Arial"/>
                <w:sz w:val="18"/>
                <w:szCs w:val="18"/>
                <w:lang w:eastAsia="zh-TW"/>
              </w:rPr>
              <w:t>gNB</w:t>
            </w:r>
            <w:proofErr w:type="spellEnd"/>
            <w:r w:rsidRPr="00FE5F17">
              <w:rPr>
                <w:rFonts w:ascii="Arial" w:eastAsia="Times New Roman" w:hAnsi="Arial" w:cs="Arial"/>
                <w:sz w:val="18"/>
                <w:szCs w:val="18"/>
                <w:lang w:eastAsia="zh-TW"/>
              </w:rPr>
              <w:t xml:space="preserve"> and the UE</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64CCB5"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 xml:space="preserve">477.48 </w:t>
            </w:r>
            <w:proofErr w:type="spellStart"/>
            <w:r w:rsidRPr="00FE5F17">
              <w:rPr>
                <w:rFonts w:ascii="Arial" w:eastAsia="Times New Roman" w:hAnsi="Arial" w:cs="Arial"/>
                <w:i/>
                <w:iCs/>
                <w:sz w:val="18"/>
                <w:szCs w:val="18"/>
                <w:lang w:eastAsia="zh-TW"/>
              </w:rPr>
              <w:t>ms</w:t>
            </w:r>
            <w:proofErr w:type="spellEnd"/>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0E2553"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 xml:space="preserve">238.74 </w:t>
            </w:r>
            <w:proofErr w:type="spellStart"/>
            <w:r w:rsidRPr="00FE5F17">
              <w:rPr>
                <w:rFonts w:ascii="Arial" w:eastAsia="Times New Roman" w:hAnsi="Arial" w:cs="Arial"/>
                <w:i/>
                <w:iCs/>
                <w:sz w:val="18"/>
                <w:szCs w:val="18"/>
                <w:lang w:eastAsia="zh-TW"/>
              </w:rPr>
              <w:t>ms</w:t>
            </w:r>
            <w:proofErr w:type="spellEnd"/>
          </w:p>
        </w:tc>
        <w:tc>
          <w:tcPr>
            <w:tcW w:w="1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BADEBC"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 xml:space="preserve">8 </w:t>
            </w:r>
            <w:proofErr w:type="spellStart"/>
            <w:r w:rsidRPr="00FE5F17">
              <w:rPr>
                <w:rFonts w:ascii="Arial" w:eastAsia="Times New Roman" w:hAnsi="Arial" w:cs="Arial"/>
                <w:i/>
                <w:iCs/>
                <w:sz w:val="18"/>
                <w:szCs w:val="18"/>
                <w:lang w:eastAsia="zh-TW"/>
              </w:rPr>
              <w:t>ms</w:t>
            </w:r>
            <w:proofErr w:type="spellEnd"/>
          </w:p>
        </w:tc>
        <w:tc>
          <w:tcPr>
            <w:tcW w:w="2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43226"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 xml:space="preserve">4 </w:t>
            </w:r>
            <w:proofErr w:type="spellStart"/>
            <w:r w:rsidRPr="00FE5F17">
              <w:rPr>
                <w:rFonts w:ascii="Arial" w:eastAsia="Times New Roman" w:hAnsi="Arial" w:cs="Arial"/>
                <w:i/>
                <w:iCs/>
                <w:sz w:val="18"/>
                <w:szCs w:val="18"/>
                <w:lang w:eastAsia="zh-TW"/>
              </w:rPr>
              <w:t>ms</w:t>
            </w:r>
            <w:proofErr w:type="spellEnd"/>
          </w:p>
        </w:tc>
      </w:tr>
      <w:tr w:rsidR="00FE5F17" w:rsidRPr="00FE5F17" w14:paraId="165191E5" w14:textId="77777777" w:rsidTr="00FE5F17">
        <w:tc>
          <w:tcPr>
            <w:tcW w:w="20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49184E"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Maximum Delay variation as seen by the UE</w:t>
            </w:r>
          </w:p>
          <w:p w14:paraId="1F365522" w14:textId="77777777" w:rsidR="00FE5F17" w:rsidRPr="00FE5F17" w:rsidRDefault="00FE5F17" w:rsidP="00FE5F17">
            <w:pPr>
              <w:spacing w:after="0"/>
              <w:jc w:val="center"/>
              <w:rPr>
                <w:rFonts w:ascii="Arial" w:eastAsia="Times New Roman" w:hAnsi="Arial" w:cs="Arial"/>
                <w:sz w:val="18"/>
                <w:szCs w:val="18"/>
                <w:lang w:eastAsia="zh-TW"/>
              </w:rPr>
            </w:pPr>
            <w:r w:rsidRPr="00FE5F17">
              <w:rPr>
                <w:rFonts w:ascii="Arial" w:eastAsia="Times New Roman" w:hAnsi="Arial" w:cs="Arial"/>
                <w:sz w:val="18"/>
                <w:szCs w:val="18"/>
                <w:lang w:eastAsia="zh-TW"/>
              </w:rPr>
              <w:t>(note 2)</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CC94E"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Negligible</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73618C"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 </w:t>
            </w:r>
          </w:p>
        </w:tc>
        <w:tc>
          <w:tcPr>
            <w:tcW w:w="1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71F1C8"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Up to +/- 40 µs/sec (Worst case)</w:t>
            </w:r>
          </w:p>
        </w:tc>
        <w:tc>
          <w:tcPr>
            <w:tcW w:w="20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8DC4B" w14:textId="77777777" w:rsidR="00FE5F17" w:rsidRPr="00FE5F17" w:rsidRDefault="00FE5F17" w:rsidP="00FE5F17">
            <w:pPr>
              <w:spacing w:after="0"/>
              <w:jc w:val="center"/>
              <w:rPr>
                <w:rFonts w:ascii="Arial" w:eastAsia="Times New Roman" w:hAnsi="Arial" w:cs="Arial"/>
                <w:i/>
                <w:iCs/>
                <w:sz w:val="18"/>
                <w:szCs w:val="18"/>
                <w:lang w:eastAsia="zh-TW"/>
              </w:rPr>
            </w:pPr>
            <w:r w:rsidRPr="00FE5F17">
              <w:rPr>
                <w:rFonts w:ascii="Arial" w:eastAsia="Times New Roman" w:hAnsi="Arial" w:cs="Arial"/>
                <w:i/>
                <w:iCs/>
                <w:sz w:val="18"/>
                <w:szCs w:val="18"/>
                <w:lang w:eastAsia="zh-TW"/>
              </w:rPr>
              <w:t>Up to +/- 20 µs/sec</w:t>
            </w:r>
          </w:p>
        </w:tc>
      </w:tr>
    </w:tbl>
    <w:p w14:paraId="6F7F7725" w14:textId="787DF30A" w:rsidR="00FE5F17" w:rsidRDefault="00FE5F17" w:rsidP="0053095B">
      <w:pPr>
        <w:rPr>
          <w:lang w:val="en-US"/>
        </w:rPr>
      </w:pPr>
    </w:p>
    <w:p w14:paraId="12E1BDFF" w14:textId="7942A0BF" w:rsidR="00FE5F17" w:rsidRDefault="00FE5F17" w:rsidP="0053095B">
      <w:pPr>
        <w:rPr>
          <w:lang w:val="en-US"/>
        </w:rPr>
      </w:pPr>
    </w:p>
    <w:p w14:paraId="0C1DB9AC" w14:textId="77777777" w:rsidR="00FE5F17" w:rsidRDefault="00FE5F17" w:rsidP="0053095B">
      <w:pPr>
        <w:rPr>
          <w:lang w:val="en-US"/>
        </w:rPr>
      </w:pPr>
    </w:p>
    <w:tbl>
      <w:tblPr>
        <w:tblStyle w:val="TableGrid"/>
        <w:tblW w:w="0" w:type="auto"/>
        <w:tblInd w:w="895" w:type="dxa"/>
        <w:tblLook w:val="04A0" w:firstRow="1" w:lastRow="0" w:firstColumn="1" w:lastColumn="0" w:noHBand="0" w:noVBand="1"/>
      </w:tblPr>
      <w:tblGrid>
        <w:gridCol w:w="1442"/>
        <w:gridCol w:w="1708"/>
        <w:gridCol w:w="1800"/>
        <w:gridCol w:w="1800"/>
      </w:tblGrid>
      <w:tr w:rsidR="0090115F" w14:paraId="3EF59029" w14:textId="77777777" w:rsidTr="0090115F">
        <w:tc>
          <w:tcPr>
            <w:tcW w:w="1442" w:type="dxa"/>
          </w:tcPr>
          <w:p w14:paraId="09DFF2F4" w14:textId="77777777" w:rsidR="0090115F" w:rsidRPr="0090115F" w:rsidRDefault="0090115F" w:rsidP="0090115F">
            <w:pPr>
              <w:jc w:val="center"/>
              <w:rPr>
                <w:b/>
                <w:bCs/>
                <w:lang w:val="en-US"/>
              </w:rPr>
            </w:pPr>
          </w:p>
        </w:tc>
        <w:tc>
          <w:tcPr>
            <w:tcW w:w="1708" w:type="dxa"/>
          </w:tcPr>
          <w:p w14:paraId="6F783F1F" w14:textId="20560E6B" w:rsidR="0090115F" w:rsidRPr="0090115F" w:rsidRDefault="0090115F" w:rsidP="0090115F">
            <w:pPr>
              <w:jc w:val="center"/>
              <w:rPr>
                <w:b/>
                <w:bCs/>
                <w:lang w:val="en-US"/>
              </w:rPr>
            </w:pPr>
            <w:r w:rsidRPr="0090115F">
              <w:rPr>
                <w:b/>
                <w:bCs/>
                <w:lang w:val="en-US"/>
              </w:rPr>
              <w:t>Cell 1</w:t>
            </w:r>
          </w:p>
        </w:tc>
        <w:tc>
          <w:tcPr>
            <w:tcW w:w="1800" w:type="dxa"/>
          </w:tcPr>
          <w:p w14:paraId="731A8936" w14:textId="53A049B4" w:rsidR="0090115F" w:rsidRPr="0090115F" w:rsidRDefault="0090115F" w:rsidP="0090115F">
            <w:pPr>
              <w:jc w:val="center"/>
              <w:rPr>
                <w:b/>
                <w:bCs/>
                <w:lang w:val="en-US"/>
              </w:rPr>
            </w:pPr>
            <w:r w:rsidRPr="0090115F">
              <w:rPr>
                <w:b/>
                <w:bCs/>
                <w:lang w:val="en-US"/>
              </w:rPr>
              <w:t>Cell 2</w:t>
            </w:r>
          </w:p>
        </w:tc>
        <w:tc>
          <w:tcPr>
            <w:tcW w:w="1800" w:type="dxa"/>
          </w:tcPr>
          <w:p w14:paraId="5C0ECDAF" w14:textId="2361E8D4" w:rsidR="0090115F" w:rsidRPr="0090115F" w:rsidRDefault="0090115F" w:rsidP="0090115F">
            <w:pPr>
              <w:jc w:val="center"/>
              <w:rPr>
                <w:b/>
                <w:bCs/>
                <w:lang w:val="en-US"/>
              </w:rPr>
            </w:pPr>
            <w:r w:rsidRPr="0090115F">
              <w:rPr>
                <w:b/>
                <w:bCs/>
                <w:lang w:val="en-US"/>
              </w:rPr>
              <w:t>Cell 3</w:t>
            </w:r>
          </w:p>
        </w:tc>
      </w:tr>
      <w:tr w:rsidR="0090115F" w14:paraId="661B2638" w14:textId="77777777" w:rsidTr="0090115F">
        <w:tc>
          <w:tcPr>
            <w:tcW w:w="1442" w:type="dxa"/>
          </w:tcPr>
          <w:p w14:paraId="6DA849B6" w14:textId="77CE3DFD" w:rsidR="0090115F" w:rsidRPr="0090115F" w:rsidRDefault="0090115F" w:rsidP="0090115F">
            <w:pPr>
              <w:jc w:val="center"/>
              <w:rPr>
                <w:b/>
                <w:bCs/>
                <w:lang w:val="en-US"/>
              </w:rPr>
            </w:pPr>
            <w:r w:rsidRPr="0090115F">
              <w:rPr>
                <w:b/>
                <w:bCs/>
                <w:lang w:val="en-US"/>
              </w:rPr>
              <w:t>UE 1</w:t>
            </w:r>
          </w:p>
        </w:tc>
        <w:tc>
          <w:tcPr>
            <w:tcW w:w="1708" w:type="dxa"/>
          </w:tcPr>
          <w:p w14:paraId="6C20BCA2" w14:textId="238C6C26" w:rsidR="0090115F" w:rsidRPr="0090115F" w:rsidRDefault="0090115F" w:rsidP="0090115F">
            <w:pPr>
              <w:jc w:val="center"/>
              <w:rPr>
                <w:b/>
                <w:bCs/>
                <w:lang w:val="en-US"/>
              </w:rPr>
            </w:pPr>
            <w:r>
              <w:rPr>
                <w:b/>
                <w:bCs/>
                <w:lang w:val="en-US"/>
              </w:rPr>
              <w:t>T1 +P11</w:t>
            </w:r>
          </w:p>
        </w:tc>
        <w:tc>
          <w:tcPr>
            <w:tcW w:w="1800" w:type="dxa"/>
          </w:tcPr>
          <w:p w14:paraId="3EF173E2" w14:textId="1A95BE19" w:rsidR="0090115F" w:rsidRPr="0090115F" w:rsidRDefault="0090115F" w:rsidP="0090115F">
            <w:pPr>
              <w:jc w:val="center"/>
              <w:rPr>
                <w:b/>
                <w:bCs/>
                <w:lang w:val="en-US"/>
              </w:rPr>
            </w:pPr>
            <w:r>
              <w:rPr>
                <w:b/>
                <w:bCs/>
                <w:lang w:val="en-US"/>
              </w:rPr>
              <w:t>T1+P12</w:t>
            </w:r>
          </w:p>
        </w:tc>
        <w:tc>
          <w:tcPr>
            <w:tcW w:w="1800" w:type="dxa"/>
          </w:tcPr>
          <w:p w14:paraId="4FF787A2" w14:textId="149439D3" w:rsidR="0090115F" w:rsidRPr="0090115F" w:rsidRDefault="0090115F" w:rsidP="0090115F">
            <w:pPr>
              <w:jc w:val="center"/>
              <w:rPr>
                <w:b/>
                <w:bCs/>
                <w:lang w:val="en-US"/>
              </w:rPr>
            </w:pPr>
            <w:r>
              <w:rPr>
                <w:b/>
                <w:bCs/>
                <w:lang w:val="en-US"/>
              </w:rPr>
              <w:t>T1+P13</w:t>
            </w:r>
          </w:p>
        </w:tc>
      </w:tr>
      <w:tr w:rsidR="0090115F" w14:paraId="56BE4FD9" w14:textId="77777777" w:rsidTr="0090115F">
        <w:tc>
          <w:tcPr>
            <w:tcW w:w="1442" w:type="dxa"/>
          </w:tcPr>
          <w:p w14:paraId="3A96206A" w14:textId="08BF32FA" w:rsidR="0090115F" w:rsidRPr="0090115F" w:rsidRDefault="0090115F" w:rsidP="0090115F">
            <w:pPr>
              <w:jc w:val="center"/>
              <w:rPr>
                <w:b/>
                <w:bCs/>
                <w:lang w:val="en-US"/>
              </w:rPr>
            </w:pPr>
            <w:r w:rsidRPr="0090115F">
              <w:rPr>
                <w:b/>
                <w:bCs/>
                <w:lang w:val="en-US"/>
              </w:rPr>
              <w:t>UE 2</w:t>
            </w:r>
          </w:p>
        </w:tc>
        <w:tc>
          <w:tcPr>
            <w:tcW w:w="1708" w:type="dxa"/>
          </w:tcPr>
          <w:p w14:paraId="2C6655D4" w14:textId="757378EC" w:rsidR="0090115F" w:rsidRPr="0090115F" w:rsidRDefault="0090115F" w:rsidP="0090115F">
            <w:pPr>
              <w:jc w:val="center"/>
              <w:rPr>
                <w:b/>
                <w:bCs/>
                <w:lang w:val="en-US"/>
              </w:rPr>
            </w:pPr>
            <w:r>
              <w:rPr>
                <w:b/>
                <w:bCs/>
                <w:lang w:val="en-US"/>
              </w:rPr>
              <w:t>T1+P21</w:t>
            </w:r>
          </w:p>
        </w:tc>
        <w:tc>
          <w:tcPr>
            <w:tcW w:w="1800" w:type="dxa"/>
          </w:tcPr>
          <w:p w14:paraId="6CF77F41" w14:textId="0BBC6086" w:rsidR="0090115F" w:rsidRPr="0090115F" w:rsidRDefault="0090115F" w:rsidP="0090115F">
            <w:pPr>
              <w:jc w:val="center"/>
              <w:rPr>
                <w:b/>
                <w:bCs/>
                <w:lang w:val="en-US"/>
              </w:rPr>
            </w:pPr>
            <w:r>
              <w:rPr>
                <w:b/>
                <w:bCs/>
                <w:lang w:val="en-US"/>
              </w:rPr>
              <w:t>T1+P22</w:t>
            </w:r>
          </w:p>
        </w:tc>
        <w:tc>
          <w:tcPr>
            <w:tcW w:w="1800" w:type="dxa"/>
          </w:tcPr>
          <w:p w14:paraId="6DD9C743" w14:textId="7C21639A" w:rsidR="0090115F" w:rsidRPr="0090115F" w:rsidRDefault="0090115F" w:rsidP="0090115F">
            <w:pPr>
              <w:jc w:val="center"/>
              <w:rPr>
                <w:b/>
                <w:bCs/>
                <w:lang w:val="en-US"/>
              </w:rPr>
            </w:pPr>
            <w:r>
              <w:rPr>
                <w:b/>
                <w:bCs/>
                <w:lang w:val="en-US"/>
              </w:rPr>
              <w:t>T1+P23</w:t>
            </w:r>
          </w:p>
        </w:tc>
      </w:tr>
    </w:tbl>
    <w:p w14:paraId="33BAB5E8" w14:textId="77777777" w:rsidR="0090115F" w:rsidRDefault="0090115F" w:rsidP="0053095B">
      <w:pPr>
        <w:rPr>
          <w:lang w:val="en-US"/>
        </w:rPr>
      </w:pPr>
    </w:p>
    <w:p w14:paraId="52D6E4AB" w14:textId="77777777" w:rsidR="001E6A68" w:rsidRDefault="007657EC" w:rsidP="0053095B">
      <w:pPr>
        <w:rPr>
          <w:lang w:val="en-US"/>
        </w:rPr>
      </w:pPr>
      <w:r>
        <w:rPr>
          <w:lang w:val="en-US"/>
        </w:rPr>
        <w:t xml:space="preserve">As shown in Figure 1 (right), UE 1 measures cell 1 SMTC at T1+P11 while UE 2 measures cell 1 SMTC at T1+P21. </w:t>
      </w:r>
      <w:r w:rsidR="00BE4F8E">
        <w:rPr>
          <w:lang w:val="en-US"/>
        </w:rPr>
        <w:t xml:space="preserve">If the UE needs to perform measurement, the measurement gap will need to cover </w:t>
      </w:r>
      <w:r>
        <w:rPr>
          <w:lang w:val="en-US"/>
        </w:rPr>
        <w:t xml:space="preserve">the serving cell and neighbor cell SMTC window </w:t>
      </w:r>
      <w:r w:rsidR="00BE4F8E">
        <w:rPr>
          <w:lang w:val="en-US"/>
        </w:rPr>
        <w:t>considering of the propagation delay</w:t>
      </w:r>
      <w:r>
        <w:rPr>
          <w:lang w:val="en-US"/>
        </w:rPr>
        <w:t>s between different cells</w:t>
      </w:r>
      <w:r w:rsidR="00BE4F8E">
        <w:rPr>
          <w:lang w:val="en-US"/>
        </w:rPr>
        <w:t xml:space="preserve">. Otherwise, the UE will miss the measurement. </w:t>
      </w:r>
      <w:r w:rsidR="001E6A68">
        <w:rPr>
          <w:lang w:val="en-US"/>
        </w:rPr>
        <w:t xml:space="preserve">Minimum propagation delay according to the able above is 4ms and maximum is 541.46ms. This range tells us that normal measurement gap window cannot covers the large range of propagation delay.  </w:t>
      </w:r>
    </w:p>
    <w:p w14:paraId="21288188" w14:textId="77777777" w:rsidR="001E6A68" w:rsidRDefault="001E6A68" w:rsidP="0053095B">
      <w:pPr>
        <w:rPr>
          <w:lang w:val="en-US"/>
        </w:rPr>
      </w:pPr>
    </w:p>
    <w:p w14:paraId="4EE54B8B" w14:textId="54F048DF" w:rsidR="00BE4F8E" w:rsidRDefault="00663ECE" w:rsidP="0053095B">
      <w:pPr>
        <w:rPr>
          <w:lang w:val="en-US"/>
        </w:rPr>
      </w:pPr>
      <w:r>
        <w:rPr>
          <w:lang w:val="en-US"/>
        </w:rPr>
        <w:t>We have the following options:</w:t>
      </w:r>
    </w:p>
    <w:p w14:paraId="47E231CC" w14:textId="5AE76C7A" w:rsidR="00663ECE" w:rsidRDefault="00B0254F" w:rsidP="00663ECE">
      <w:pPr>
        <w:pStyle w:val="ListParagraph"/>
        <w:numPr>
          <w:ilvl w:val="0"/>
          <w:numId w:val="23"/>
        </w:numPr>
        <w:rPr>
          <w:lang w:val="en-US"/>
        </w:rPr>
      </w:pPr>
      <w:r>
        <w:rPr>
          <w:lang w:val="en-US"/>
        </w:rPr>
        <w:t xml:space="preserve">Option 1: </w:t>
      </w:r>
      <w:r w:rsidR="00663ECE">
        <w:rPr>
          <w:lang w:val="en-US"/>
        </w:rPr>
        <w:t>Rely on network implementation</w:t>
      </w:r>
      <w:r w:rsidR="00DE5F3A">
        <w:rPr>
          <w:lang w:val="en-US"/>
        </w:rPr>
        <w:t>. In this case, the network will ensure the SMTC</w:t>
      </w:r>
      <w:r w:rsidR="00764E00">
        <w:rPr>
          <w:lang w:val="en-US"/>
        </w:rPr>
        <w:t xml:space="preserve"> duration</w:t>
      </w:r>
      <w:r w:rsidR="00DE5F3A">
        <w:rPr>
          <w:lang w:val="en-US"/>
        </w:rPr>
        <w:t xml:space="preserve"> </w:t>
      </w:r>
      <w:r w:rsidR="007406BC">
        <w:rPr>
          <w:lang w:val="en-US"/>
        </w:rPr>
        <w:t xml:space="preserve">may be long enough to cover measurement window </w:t>
      </w:r>
      <w:proofErr w:type="gramStart"/>
      <w:r w:rsidR="007406BC">
        <w:rPr>
          <w:lang w:val="en-US"/>
        </w:rPr>
        <w:t>taking into account</w:t>
      </w:r>
      <w:proofErr w:type="gramEnd"/>
      <w:r w:rsidR="007406BC">
        <w:rPr>
          <w:lang w:val="en-US"/>
        </w:rPr>
        <w:t xml:space="preserve"> of </w:t>
      </w:r>
      <w:r w:rsidR="00BD2A3E">
        <w:rPr>
          <w:lang w:val="en-US"/>
        </w:rPr>
        <w:t>different propagation delays from the configured satellites to the UE.</w:t>
      </w:r>
      <w:r w:rsidR="0095067C">
        <w:rPr>
          <w:lang w:val="en-US"/>
        </w:rPr>
        <w:t xml:space="preserve"> The </w:t>
      </w:r>
    </w:p>
    <w:p w14:paraId="10E09BA4" w14:textId="3B02F5F5" w:rsidR="00B0254F" w:rsidRDefault="00B0254F" w:rsidP="00663ECE">
      <w:pPr>
        <w:pStyle w:val="ListParagraph"/>
        <w:numPr>
          <w:ilvl w:val="0"/>
          <w:numId w:val="23"/>
        </w:numPr>
        <w:rPr>
          <w:lang w:val="en-US"/>
        </w:rPr>
      </w:pPr>
      <w:r>
        <w:rPr>
          <w:lang w:val="en-US"/>
        </w:rPr>
        <w:t xml:space="preserve">Option 2: </w:t>
      </w:r>
      <w:r w:rsidR="008F1823">
        <w:rPr>
          <w:lang w:val="en-US"/>
        </w:rPr>
        <w:t>Network can configure multiple measurement gap</w:t>
      </w:r>
      <w:r w:rsidR="0081651C">
        <w:rPr>
          <w:lang w:val="en-US"/>
        </w:rPr>
        <w:t>s</w:t>
      </w:r>
      <w:r w:rsidR="008F1823">
        <w:rPr>
          <w:lang w:val="en-US"/>
        </w:rPr>
        <w:t xml:space="preserve"> to the UE. Measurement gap</w:t>
      </w:r>
      <w:r w:rsidR="0081651C">
        <w:rPr>
          <w:lang w:val="en-US"/>
        </w:rPr>
        <w:t>s</w:t>
      </w:r>
      <w:r w:rsidR="008F1823">
        <w:rPr>
          <w:lang w:val="en-US"/>
        </w:rPr>
        <w:t xml:space="preserve"> can be </w:t>
      </w:r>
      <w:r w:rsidR="0081651C">
        <w:rPr>
          <w:lang w:val="en-US"/>
        </w:rPr>
        <w:t xml:space="preserve">configured </w:t>
      </w:r>
      <w:r w:rsidR="007F419C">
        <w:rPr>
          <w:lang w:val="en-US"/>
        </w:rPr>
        <w:t xml:space="preserve">for </w:t>
      </w:r>
      <w:r w:rsidR="008F1823">
        <w:rPr>
          <w:lang w:val="en-US"/>
        </w:rPr>
        <w:t>GEO</w:t>
      </w:r>
      <w:r w:rsidR="007F419C">
        <w:rPr>
          <w:lang w:val="en-US"/>
        </w:rPr>
        <w:t xml:space="preserve"> and </w:t>
      </w:r>
      <w:r w:rsidR="008F1823">
        <w:rPr>
          <w:lang w:val="en-US"/>
        </w:rPr>
        <w:t xml:space="preserve">LEO or it can </w:t>
      </w:r>
      <w:r w:rsidR="007F419C">
        <w:rPr>
          <w:lang w:val="en-US"/>
        </w:rPr>
        <w:t xml:space="preserve">configure to accommodate </w:t>
      </w:r>
      <w:r w:rsidR="008F1823">
        <w:rPr>
          <w:lang w:val="en-US"/>
        </w:rPr>
        <w:t>different elevation</w:t>
      </w:r>
      <w:r w:rsidR="007F419C">
        <w:rPr>
          <w:lang w:val="en-US"/>
        </w:rPr>
        <w:t>s</w:t>
      </w:r>
      <w:r w:rsidR="008F1823">
        <w:rPr>
          <w:lang w:val="en-US"/>
        </w:rPr>
        <w:t xml:space="preserve">. </w:t>
      </w:r>
    </w:p>
    <w:p w14:paraId="249B65DF" w14:textId="77777777" w:rsidR="000E1282" w:rsidRDefault="00364B50" w:rsidP="008B436F">
      <w:pPr>
        <w:pStyle w:val="ListParagraph"/>
        <w:numPr>
          <w:ilvl w:val="0"/>
          <w:numId w:val="23"/>
        </w:numPr>
        <w:rPr>
          <w:lang w:val="en-US"/>
        </w:rPr>
      </w:pPr>
      <w:r>
        <w:rPr>
          <w:lang w:val="en-US"/>
        </w:rPr>
        <w:t>Option 3: longer measurement window to accommodate multiple pro</w:t>
      </w:r>
      <w:r w:rsidR="00AC483F">
        <w:rPr>
          <w:lang w:val="en-US"/>
        </w:rPr>
        <w:t>pagation delay from the configured satellite to be measured to the UE.</w:t>
      </w:r>
    </w:p>
    <w:p w14:paraId="0B7D2ABC" w14:textId="36C1633D" w:rsidR="0095067C" w:rsidRPr="0095067C" w:rsidRDefault="00BD4302" w:rsidP="0095067C">
      <w:pPr>
        <w:pStyle w:val="ListParagraph"/>
        <w:numPr>
          <w:ilvl w:val="0"/>
          <w:numId w:val="23"/>
        </w:numPr>
        <w:rPr>
          <w:lang w:val="en-US"/>
        </w:rPr>
      </w:pPr>
      <w:r w:rsidRPr="00931DE0">
        <w:rPr>
          <w:lang w:val="en-US"/>
        </w:rPr>
        <w:t xml:space="preserve">Option 4: </w:t>
      </w:r>
      <w:r w:rsidR="000217A3">
        <w:rPr>
          <w:lang w:val="en-US"/>
        </w:rPr>
        <w:t xml:space="preserve">Up to UE implementation. The UE can either skip measurement or skip received data if measurement is outside of measurement gap window. </w:t>
      </w:r>
    </w:p>
    <w:p w14:paraId="2BC355CF" w14:textId="144894DB" w:rsidR="00233934" w:rsidRDefault="00864DF1" w:rsidP="00233934">
      <w:pPr>
        <w:rPr>
          <w:lang w:val="en-US"/>
        </w:rPr>
      </w:pPr>
      <w:r>
        <w:rPr>
          <w:lang w:val="en-US"/>
        </w:rPr>
        <w:t xml:space="preserve">Option 1 rely on the network to ensure all UE measurement gaps covers all SMTC from the configured cells. This required the network know the UE propagation delay of all configured cells for measurement. In this case, the UE either report the location information or propagation delay of each configured cells to the network. </w:t>
      </w:r>
      <w:r w:rsidR="0095067C">
        <w:rPr>
          <w:lang w:val="en-US"/>
        </w:rPr>
        <w:t xml:space="preserve">Alternatively, we can reuse the existing SFTD for the UE to report timing difference between cells. </w:t>
      </w:r>
    </w:p>
    <w:p w14:paraId="3A8D7E46" w14:textId="349C9A13" w:rsidR="00864DF1" w:rsidRDefault="00864DF1" w:rsidP="00233934">
      <w:pPr>
        <w:rPr>
          <w:lang w:val="en-US"/>
        </w:rPr>
      </w:pPr>
      <w:r>
        <w:rPr>
          <w:lang w:val="en-US"/>
        </w:rPr>
        <w:t>Option 2: Allow configuration of multiple measurement gaps to the UE to cover different SMTC duration. In this case, the network still needs to know the propagation delay of all configured cells. This can achieve by UE reporting location information or propagation delay. RAN4 lead new work item “</w:t>
      </w:r>
      <w:r w:rsidRPr="00864DF1">
        <w:rPr>
          <w:lang w:val="en-US"/>
        </w:rPr>
        <w:t>NR measurement gap enhancements</w:t>
      </w:r>
      <w:r>
        <w:rPr>
          <w:lang w:val="en-US"/>
        </w:rPr>
        <w:t>” can cover the multiple measurement gap scenario.</w:t>
      </w:r>
      <w:r w:rsidR="006A3847">
        <w:rPr>
          <w:lang w:val="en-US"/>
        </w:rPr>
        <w:t xml:space="preserve"> Therefore, we can postpone this option discussion for now.</w:t>
      </w:r>
    </w:p>
    <w:p w14:paraId="2B780F0F" w14:textId="23AF6F8C" w:rsidR="00864DF1" w:rsidRDefault="00864DF1" w:rsidP="00233934">
      <w:pPr>
        <w:rPr>
          <w:lang w:val="en-US"/>
        </w:rPr>
      </w:pPr>
      <w:r w:rsidRPr="58EC049B">
        <w:rPr>
          <w:lang w:val="en-US"/>
        </w:rPr>
        <w:t xml:space="preserve">Option 3: This is </w:t>
      </w:r>
      <w:proofErr w:type="gramStart"/>
      <w:r w:rsidRPr="58EC049B">
        <w:rPr>
          <w:lang w:val="en-US"/>
        </w:rPr>
        <w:t>similar to</w:t>
      </w:r>
      <w:proofErr w:type="gramEnd"/>
      <w:r w:rsidRPr="58EC049B">
        <w:rPr>
          <w:lang w:val="en-US"/>
        </w:rPr>
        <w:t xml:space="preserve"> option 2 without multiple measurement gap support. The network configures a longer measurement gap window to cover all SMTC duration of all configured cells. </w:t>
      </w:r>
      <w:r w:rsidR="000217A3" w:rsidRPr="58EC049B">
        <w:rPr>
          <w:lang w:val="en-US"/>
        </w:rPr>
        <w:t xml:space="preserve">The network will also require </w:t>
      </w:r>
      <w:proofErr w:type="gramStart"/>
      <w:r w:rsidR="000217A3" w:rsidRPr="58EC049B">
        <w:rPr>
          <w:lang w:val="en-US"/>
        </w:rPr>
        <w:t>to know</w:t>
      </w:r>
      <w:proofErr w:type="gramEnd"/>
      <w:r w:rsidR="000217A3" w:rsidRPr="58EC049B">
        <w:rPr>
          <w:lang w:val="en-US"/>
        </w:rPr>
        <w:t xml:space="preserve"> all UE propagation delay of all configured cells for measurement.</w:t>
      </w:r>
    </w:p>
    <w:p w14:paraId="05885F27" w14:textId="1AFBEAEE" w:rsidR="000217A3" w:rsidRDefault="000217A3" w:rsidP="00233934">
      <w:pPr>
        <w:rPr>
          <w:lang w:val="en-US"/>
        </w:rPr>
      </w:pPr>
      <w:r>
        <w:rPr>
          <w:lang w:val="en-US"/>
        </w:rPr>
        <w:t>Option 4: This option allows UE to skip measurement or receive data if SMTC duration is outside of the measurement window.</w:t>
      </w:r>
      <w:r w:rsidR="00B57C3E">
        <w:rPr>
          <w:lang w:val="en-US"/>
        </w:rPr>
        <w:t xml:space="preserve"> </w:t>
      </w:r>
      <w:r w:rsidR="006A3847">
        <w:rPr>
          <w:lang w:val="en-US"/>
        </w:rPr>
        <w:t>However, according to agreement, RAN2 understanding that UE shall not be forced to detect the SSB burst outside the corresponding configured SMTC window in NTN. Therefore, option 4 may not be feasible based on the agreement.</w:t>
      </w:r>
    </w:p>
    <w:p w14:paraId="789DBA86" w14:textId="76CF989A" w:rsidR="000217A3" w:rsidRDefault="000217A3" w:rsidP="00233934">
      <w:pPr>
        <w:rPr>
          <w:b/>
          <w:bCs/>
          <w:lang w:val="en-US"/>
        </w:rPr>
      </w:pPr>
      <w:r w:rsidRPr="006A3847">
        <w:rPr>
          <w:b/>
          <w:bCs/>
          <w:lang w:val="en-US"/>
        </w:rPr>
        <w:t>Observation 1:</w:t>
      </w:r>
      <w:r w:rsidR="006A3847" w:rsidRPr="006A3847">
        <w:rPr>
          <w:b/>
          <w:bCs/>
          <w:lang w:val="en-US"/>
        </w:rPr>
        <w:t xml:space="preserve"> Without UE propagation delay to each satellite cell, network may not be able to provide SMTC offset configuration.</w:t>
      </w:r>
    </w:p>
    <w:p w14:paraId="151E33A6" w14:textId="54DB4356" w:rsidR="006A3847" w:rsidRPr="006A3847" w:rsidRDefault="006A3847" w:rsidP="00233934">
      <w:pPr>
        <w:rPr>
          <w:b/>
          <w:bCs/>
          <w:lang w:val="en-US"/>
        </w:rPr>
      </w:pPr>
      <w:r w:rsidRPr="58EC049B">
        <w:rPr>
          <w:b/>
          <w:bCs/>
          <w:lang w:val="en-US"/>
        </w:rPr>
        <w:t xml:space="preserve">Observation 2: Support of multiple measurement gap may improve </w:t>
      </w:r>
      <w:r w:rsidR="00BB1164" w:rsidRPr="58EC049B">
        <w:rPr>
          <w:b/>
          <w:bCs/>
          <w:lang w:val="en-US"/>
        </w:rPr>
        <w:t xml:space="preserve">measurement </w:t>
      </w:r>
      <w:r w:rsidRPr="58EC049B">
        <w:rPr>
          <w:b/>
          <w:bCs/>
          <w:lang w:val="en-US"/>
        </w:rPr>
        <w:t>efficiency but can be postpone until RAN4 WI starts.</w:t>
      </w:r>
    </w:p>
    <w:p w14:paraId="7A4325B1" w14:textId="29C9219A" w:rsidR="006A3847" w:rsidRPr="006A3847" w:rsidRDefault="006A3847" w:rsidP="00233934">
      <w:pPr>
        <w:rPr>
          <w:b/>
          <w:bCs/>
          <w:lang w:val="en-US"/>
        </w:rPr>
      </w:pPr>
      <w:r w:rsidRPr="006A3847">
        <w:rPr>
          <w:b/>
          <w:bCs/>
          <w:lang w:val="en-US"/>
        </w:rPr>
        <w:t>Observation 3: Base on currently agreement, up to UE implementation to measurement SMTC outside of the SMTC window is not a feasible option.</w:t>
      </w:r>
    </w:p>
    <w:p w14:paraId="78858285" w14:textId="74E1C180" w:rsidR="00864DF1" w:rsidRPr="00233934" w:rsidRDefault="006A3847" w:rsidP="00233934">
      <w:pPr>
        <w:rPr>
          <w:lang w:val="en-US"/>
        </w:rPr>
      </w:pPr>
      <w:r>
        <w:rPr>
          <w:lang w:val="en-US"/>
        </w:rPr>
        <w:t xml:space="preserve">Base on the above observation, this left with the network configure correct SMTC window with measurement gap that is overlapping with SMTC measurement. In this case, the UE should report propagation delay information to the network after the network configures measurement configuration. </w:t>
      </w:r>
    </w:p>
    <w:p w14:paraId="55681C69" w14:textId="2143705E" w:rsidR="00811508" w:rsidRDefault="00884F97" w:rsidP="0053095B">
      <w:pPr>
        <w:rPr>
          <w:b/>
          <w:bCs/>
          <w:lang w:val="en-US"/>
        </w:rPr>
      </w:pPr>
      <w:r w:rsidRPr="1A13E1F4">
        <w:rPr>
          <w:b/>
          <w:bCs/>
          <w:lang w:val="en-US"/>
        </w:rPr>
        <w:t>Proposal 1:</w:t>
      </w:r>
      <w:r w:rsidR="00CF3B3E" w:rsidRPr="1A13E1F4">
        <w:rPr>
          <w:b/>
          <w:bCs/>
          <w:lang w:val="en-US"/>
        </w:rPr>
        <w:t xml:space="preserve"> </w:t>
      </w:r>
      <w:r w:rsidR="003779C0" w:rsidRPr="1A13E1F4">
        <w:rPr>
          <w:b/>
          <w:bCs/>
          <w:lang w:val="en-US"/>
        </w:rPr>
        <w:t xml:space="preserve">RAN2 to discuss how the </w:t>
      </w:r>
      <w:r w:rsidR="006A3847" w:rsidRPr="1A13E1F4">
        <w:rPr>
          <w:b/>
          <w:bCs/>
          <w:lang w:val="en-US"/>
        </w:rPr>
        <w:t>UE reports propagation delay information to the network to assist with network SMTC window configuration and measurement gap configuration</w:t>
      </w:r>
      <w:r w:rsidR="00CF3B3E" w:rsidRPr="1A13E1F4">
        <w:rPr>
          <w:b/>
          <w:bCs/>
          <w:lang w:val="en-US"/>
        </w:rPr>
        <w:t>.</w:t>
      </w:r>
      <w:r w:rsidR="341C51DB" w:rsidRPr="1A13E1F4">
        <w:rPr>
          <w:b/>
          <w:bCs/>
          <w:lang w:val="en-US"/>
        </w:rPr>
        <w:t xml:space="preserve"> The options are:</w:t>
      </w:r>
    </w:p>
    <w:p w14:paraId="2AF6DC42" w14:textId="6CF7B616" w:rsidR="341C51DB" w:rsidRDefault="341C51DB" w:rsidP="1A13E1F4">
      <w:pPr>
        <w:pStyle w:val="ListParagraph"/>
        <w:numPr>
          <w:ilvl w:val="0"/>
          <w:numId w:val="1"/>
        </w:numPr>
        <w:rPr>
          <w:rFonts w:asciiTheme="minorHAnsi" w:eastAsiaTheme="minorEastAsia" w:hAnsiTheme="minorHAnsi" w:cstheme="minorBidi"/>
          <w:b/>
          <w:bCs/>
          <w:lang w:val="en-US"/>
        </w:rPr>
      </w:pPr>
      <w:r w:rsidRPr="1A13E1F4">
        <w:rPr>
          <w:b/>
          <w:bCs/>
          <w:lang w:val="en-US"/>
        </w:rPr>
        <w:t>Option 1: rely on existing SFTD mechanism.</w:t>
      </w:r>
    </w:p>
    <w:p w14:paraId="2F56EB6A" w14:textId="67D1CA17" w:rsidR="341C51DB" w:rsidRDefault="341C51DB" w:rsidP="1A13E1F4">
      <w:pPr>
        <w:pStyle w:val="ListParagraph"/>
        <w:numPr>
          <w:ilvl w:val="0"/>
          <w:numId w:val="1"/>
        </w:numPr>
        <w:rPr>
          <w:b/>
          <w:bCs/>
          <w:lang w:val="en-US"/>
        </w:rPr>
      </w:pPr>
      <w:r w:rsidRPr="1A13E1F4">
        <w:rPr>
          <w:b/>
          <w:bCs/>
          <w:lang w:val="en-US"/>
        </w:rPr>
        <w:lastRenderedPageBreak/>
        <w:t>Option 2: UE reports location information and network calculate propagation delay from neighboring cells.</w:t>
      </w:r>
    </w:p>
    <w:p w14:paraId="546F0721" w14:textId="40872925" w:rsidR="341C51DB" w:rsidRDefault="341C51DB" w:rsidP="1A13E1F4">
      <w:pPr>
        <w:pStyle w:val="ListParagraph"/>
        <w:numPr>
          <w:ilvl w:val="0"/>
          <w:numId w:val="1"/>
        </w:numPr>
        <w:rPr>
          <w:b/>
          <w:bCs/>
          <w:lang w:val="en-US"/>
        </w:rPr>
      </w:pPr>
      <w:r w:rsidRPr="1A13E1F4">
        <w:rPr>
          <w:b/>
          <w:bCs/>
          <w:lang w:val="en-US"/>
        </w:rPr>
        <w:t>Option 3: UE reports propagation delay from neighboring cells.</w:t>
      </w:r>
    </w:p>
    <w:p w14:paraId="23F4B208" w14:textId="109310F9" w:rsidR="00493E8B" w:rsidRDefault="00493E8B" w:rsidP="0053095B">
      <w:pPr>
        <w:rPr>
          <w:lang w:val="en-US"/>
        </w:rPr>
      </w:pPr>
      <w:r w:rsidRPr="58EC049B">
        <w:rPr>
          <w:lang w:val="en-US"/>
        </w:rPr>
        <w:t xml:space="preserve">In NTN, the chances of measuring neighboring cells may be small due to propagation delay. The UE may miss measurement due to SMTC duration does not align with measurement gap. In addition, due to both UE and satellite mobility, the propagation delay to different cells </w:t>
      </w:r>
      <w:r w:rsidR="594587C4" w:rsidRPr="58EC049B">
        <w:rPr>
          <w:lang w:val="en-US"/>
        </w:rPr>
        <w:t>changes</w:t>
      </w:r>
      <w:r w:rsidRPr="58EC049B">
        <w:rPr>
          <w:lang w:val="en-US"/>
        </w:rPr>
        <w:t xml:space="preserve"> over time. Meaning the measurement gap window configuration will need to change over time. This makes it even harder for the UE to measure during SMTC window of the neighboring cells. Therefore, the requirement of the UE measurement should be relaxed in compare to TN. We should inform RAN4 to relax the UE measurement in NTN.</w:t>
      </w:r>
    </w:p>
    <w:p w14:paraId="5FEFF9CB" w14:textId="42F20BA8" w:rsidR="00493E8B" w:rsidRPr="00493E8B" w:rsidRDefault="00493E8B" w:rsidP="0053095B">
      <w:pPr>
        <w:rPr>
          <w:b/>
          <w:bCs/>
          <w:lang w:val="en-US"/>
        </w:rPr>
      </w:pPr>
      <w:r w:rsidRPr="1A13E1F4">
        <w:rPr>
          <w:b/>
          <w:bCs/>
          <w:lang w:val="en-US"/>
        </w:rPr>
        <w:t xml:space="preserve">Proposal 2: RAN2 to </w:t>
      </w:r>
      <w:r w:rsidR="23D794B9" w:rsidRPr="1A13E1F4">
        <w:rPr>
          <w:b/>
          <w:bCs/>
          <w:lang w:val="en-US"/>
        </w:rPr>
        <w:t xml:space="preserve">discuss if relax measurement </w:t>
      </w:r>
      <w:r w:rsidR="4F6925ED" w:rsidRPr="1A13E1F4">
        <w:rPr>
          <w:b/>
          <w:bCs/>
          <w:lang w:val="en-US"/>
        </w:rPr>
        <w:t>requirement</w:t>
      </w:r>
      <w:r w:rsidR="23D794B9" w:rsidRPr="1A13E1F4">
        <w:rPr>
          <w:b/>
          <w:bCs/>
          <w:lang w:val="en-US"/>
        </w:rPr>
        <w:t xml:space="preserve"> is needed and </w:t>
      </w:r>
      <w:r w:rsidRPr="1A13E1F4">
        <w:rPr>
          <w:b/>
          <w:bCs/>
          <w:lang w:val="en-US"/>
        </w:rPr>
        <w:t>send LS to ask RAN4 to relax the UE measurement in NTN</w:t>
      </w:r>
      <w:r w:rsidR="7AF8045F" w:rsidRPr="1A13E1F4">
        <w:rPr>
          <w:b/>
          <w:bCs/>
          <w:lang w:val="en-US"/>
        </w:rPr>
        <w:t xml:space="preserve"> if needed</w:t>
      </w:r>
      <w:r w:rsidRPr="1A13E1F4">
        <w:rPr>
          <w:b/>
          <w:bCs/>
          <w:lang w:val="en-US"/>
        </w:rPr>
        <w:t>.</w:t>
      </w:r>
    </w:p>
    <w:p w14:paraId="23A8CAB2" w14:textId="77D84259" w:rsidR="009F6669" w:rsidRDefault="009F6669" w:rsidP="00F17084">
      <w:pPr>
        <w:pStyle w:val="Heading1"/>
        <w:numPr>
          <w:ilvl w:val="0"/>
          <w:numId w:val="2"/>
        </w:numPr>
      </w:pPr>
      <w:r>
        <w:t>Conclusion</w:t>
      </w:r>
    </w:p>
    <w:p w14:paraId="498681F8" w14:textId="76CF989A" w:rsidR="75995FB2" w:rsidRDefault="75995FB2" w:rsidP="58EC049B">
      <w:pPr>
        <w:rPr>
          <w:b/>
          <w:bCs/>
          <w:lang w:val="en-US"/>
        </w:rPr>
      </w:pPr>
      <w:r w:rsidRPr="58EC049B">
        <w:rPr>
          <w:b/>
          <w:bCs/>
          <w:lang w:val="en-US"/>
        </w:rPr>
        <w:t>Observation 1: Without UE propagation delay to each satellite cell, network may not be able to provide SMTC offset configuration.</w:t>
      </w:r>
    </w:p>
    <w:p w14:paraId="1E342834" w14:textId="54DB4356" w:rsidR="75995FB2" w:rsidRDefault="75995FB2" w:rsidP="58EC049B">
      <w:pPr>
        <w:rPr>
          <w:b/>
          <w:bCs/>
          <w:lang w:val="en-US"/>
        </w:rPr>
      </w:pPr>
      <w:r w:rsidRPr="58EC049B">
        <w:rPr>
          <w:b/>
          <w:bCs/>
          <w:lang w:val="en-US"/>
        </w:rPr>
        <w:t>Observation 2: Support of multiple measurement gap may improve measurement efficiency but can be postpone until RAN4 WI starts.</w:t>
      </w:r>
    </w:p>
    <w:p w14:paraId="2E2D672C" w14:textId="454E56DF" w:rsidR="75995FB2" w:rsidRDefault="75995FB2" w:rsidP="58EC049B">
      <w:pPr>
        <w:rPr>
          <w:b/>
          <w:bCs/>
          <w:lang w:val="en-US"/>
        </w:rPr>
      </w:pPr>
      <w:r w:rsidRPr="58EC049B">
        <w:rPr>
          <w:b/>
          <w:bCs/>
          <w:lang w:val="en-US"/>
        </w:rPr>
        <w:t>Observation 3: Base on currently agreement, up to UE implementation to measurement SMTC outside of the SMTC window is not a feasible option.</w:t>
      </w:r>
    </w:p>
    <w:p w14:paraId="61D0445D" w14:textId="2143705E" w:rsidR="003D02C6" w:rsidRDefault="770327C3" w:rsidP="1A13E1F4">
      <w:pPr>
        <w:rPr>
          <w:b/>
          <w:bCs/>
          <w:lang w:val="en-US"/>
        </w:rPr>
      </w:pPr>
      <w:r w:rsidRPr="1A13E1F4">
        <w:rPr>
          <w:b/>
          <w:bCs/>
          <w:lang w:val="en-US"/>
        </w:rPr>
        <w:t>Proposal 1: RAN2 to discuss how the UE reports propagation delay information to the network to assist with network SMTC window configuration and measurement gap configuration. The options are:</w:t>
      </w:r>
    </w:p>
    <w:p w14:paraId="58F771A8" w14:textId="6CF7B616" w:rsidR="003D02C6" w:rsidRDefault="770327C3" w:rsidP="1A13E1F4">
      <w:pPr>
        <w:pStyle w:val="ListParagraph"/>
        <w:numPr>
          <w:ilvl w:val="0"/>
          <w:numId w:val="1"/>
        </w:numPr>
        <w:rPr>
          <w:rFonts w:asciiTheme="minorHAnsi" w:eastAsiaTheme="minorEastAsia" w:hAnsiTheme="minorHAnsi" w:cstheme="minorBidi"/>
          <w:b/>
          <w:bCs/>
          <w:lang w:val="en-US"/>
        </w:rPr>
      </w:pPr>
      <w:r w:rsidRPr="1A13E1F4">
        <w:rPr>
          <w:b/>
          <w:bCs/>
          <w:lang w:val="en-US"/>
        </w:rPr>
        <w:t>Option 1: rely on existing SFTD mechanism.</w:t>
      </w:r>
    </w:p>
    <w:p w14:paraId="3472B2DA" w14:textId="67D1CA17" w:rsidR="003D02C6" w:rsidRDefault="770327C3" w:rsidP="1A13E1F4">
      <w:pPr>
        <w:pStyle w:val="ListParagraph"/>
        <w:numPr>
          <w:ilvl w:val="0"/>
          <w:numId w:val="1"/>
        </w:numPr>
        <w:rPr>
          <w:b/>
          <w:bCs/>
          <w:lang w:val="en-US"/>
        </w:rPr>
      </w:pPr>
      <w:r w:rsidRPr="1A13E1F4">
        <w:rPr>
          <w:b/>
          <w:bCs/>
          <w:lang w:val="en-US"/>
        </w:rPr>
        <w:t>Option 2: UE reports location information and network calculate propagation delay from neighboring cells.</w:t>
      </w:r>
    </w:p>
    <w:p w14:paraId="570D3611" w14:textId="4E2A18A1" w:rsidR="003D02C6" w:rsidRDefault="770327C3" w:rsidP="1A13E1F4">
      <w:pPr>
        <w:pStyle w:val="ListParagraph"/>
        <w:numPr>
          <w:ilvl w:val="0"/>
          <w:numId w:val="1"/>
        </w:numPr>
        <w:rPr>
          <w:b/>
          <w:bCs/>
          <w:lang w:val="en-US"/>
        </w:rPr>
      </w:pPr>
      <w:r w:rsidRPr="1A13E1F4">
        <w:rPr>
          <w:b/>
          <w:bCs/>
          <w:lang w:val="en-US"/>
        </w:rPr>
        <w:t xml:space="preserve">Option 3: UE reports propagation delay from neighboring cells. </w:t>
      </w:r>
    </w:p>
    <w:p w14:paraId="00A4F195" w14:textId="3A0FE40A" w:rsidR="003D02C6" w:rsidRPr="003D02C6" w:rsidRDefault="770327C3" w:rsidP="58EC049B">
      <w:pPr>
        <w:rPr>
          <w:b/>
          <w:bCs/>
          <w:lang w:val="en-US"/>
        </w:rPr>
      </w:pPr>
      <w:r w:rsidRPr="58EC049B">
        <w:rPr>
          <w:b/>
          <w:bCs/>
          <w:lang w:val="en-US"/>
        </w:rPr>
        <w:t>Proposal 2: RAN2 to discuss if relax measurement requirement is needed and send LS to ask RAN4 to relax the UE measurement in NTN if needed.</w:t>
      </w:r>
    </w:p>
    <w:p w14:paraId="0FCFF121" w14:textId="512E49F6" w:rsidR="0053095B" w:rsidRDefault="0053095B" w:rsidP="0053095B">
      <w:pPr>
        <w:pStyle w:val="Heading1"/>
        <w:numPr>
          <w:ilvl w:val="0"/>
          <w:numId w:val="2"/>
        </w:numPr>
      </w:pPr>
      <w:bookmarkStart w:id="2" w:name="_Hlk47081425"/>
      <w:r>
        <w:t>Reference</w:t>
      </w:r>
    </w:p>
    <w:p w14:paraId="050C852E" w14:textId="64A6930A" w:rsidR="0053095B" w:rsidRDefault="0053095B" w:rsidP="0053095B">
      <w:r>
        <w:t>[1] “</w:t>
      </w:r>
      <w:r w:rsidRPr="0053095B">
        <w:t>Solutions for NR to support non-terrestrial networks</w:t>
      </w:r>
      <w:r>
        <w:t>”, Thales,</w:t>
      </w:r>
      <w:r w:rsidRPr="0053095B">
        <w:t xml:space="preserve"> </w:t>
      </w:r>
      <w:r>
        <w:t>RP-201256</w:t>
      </w:r>
    </w:p>
    <w:p w14:paraId="4A98DE3A" w14:textId="62E7E548" w:rsidR="003269F7" w:rsidRPr="00C105A5" w:rsidRDefault="0053095B">
      <w:r>
        <w:t xml:space="preserve">[2] </w:t>
      </w:r>
      <w:r w:rsidR="0072218E">
        <w:t>“</w:t>
      </w:r>
      <w:r w:rsidR="0072218E" w:rsidRPr="0072218E">
        <w:t>Solutions for NR to support non-terrestrial networks (NTN)</w:t>
      </w:r>
      <w:r w:rsidR="0072218E">
        <w:t>”, TS38.</w:t>
      </w:r>
      <w:r w:rsidR="008B2311">
        <w:t>821</w:t>
      </w:r>
      <w:bookmarkEnd w:id="2"/>
    </w:p>
    <w:sectPr w:rsidR="003269F7" w:rsidRPr="00C105A5">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D10931E" w16cex:dateUtc="2020-08-05T04:32:00Z"/>
  <w16cex:commentExtensible w16cex:durableId="54DF61BB" w16cex:dateUtc="2020-08-05T04:36:00Z"/>
  <w16cex:commentExtensible w16cex:durableId="5FDA4752" w16cex:dateUtc="2020-08-05T04:35:00Z"/>
  <w16cex:commentExtensible w16cex:durableId="45FFF740" w16cex:dateUtc="2020-08-05T04:40:00Z"/>
  <w16cex:commentExtensible w16cex:durableId="080B5A6E" w16cex:dateUtc="2020-08-05T05:05:00Z"/>
  <w16cex:commentExtensible w16cex:durableId="04E9E871" w16cex:dateUtc="2021-01-13T00:08:47.198Z"/>
  <w16cex:commentExtensible w16cex:durableId="1C6EAA7A" w16cex:dateUtc="2021-01-13T00:09:17.681Z"/>
  <w16cex:commentExtensible w16cex:durableId="5E64EDDF" w16cex:dateUtc="2021-01-13T00:12:07.887Z"/>
  <w16cex:commentExtensible w16cex:durableId="4E2B737F" w16cex:dateUtc="2021-01-13T00:09:17.681Z"/>
  <w16cex:commentExtensible w16cex:durableId="5A6FAAE5" w16cex:dateUtc="2021-01-13T00:12:07.88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BE90E" w14:textId="77777777" w:rsidR="00E562BB" w:rsidRDefault="00E562BB" w:rsidP="00DD7929">
      <w:pPr>
        <w:spacing w:after="0"/>
      </w:pPr>
      <w:r>
        <w:separator/>
      </w:r>
    </w:p>
  </w:endnote>
  <w:endnote w:type="continuationSeparator" w:id="0">
    <w:p w14:paraId="37876AC4" w14:textId="77777777" w:rsidR="00E562BB" w:rsidRDefault="00E562BB" w:rsidP="00DD7929">
      <w:pPr>
        <w:spacing w:after="0"/>
      </w:pPr>
      <w:r>
        <w:continuationSeparator/>
      </w:r>
    </w:p>
  </w:endnote>
  <w:endnote w:type="continuationNotice" w:id="1">
    <w:p w14:paraId="64056279" w14:textId="77777777" w:rsidR="00E562BB" w:rsidRDefault="00E56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CEF4" w14:textId="77777777" w:rsidR="00DB425E" w:rsidRDefault="00DB4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808FD" w14:textId="77777777" w:rsidR="00DB425E" w:rsidRDefault="00DB4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CCBB2" w14:textId="77777777" w:rsidR="00E562BB" w:rsidRDefault="00E562BB" w:rsidP="00DD7929">
      <w:pPr>
        <w:spacing w:after="0"/>
      </w:pPr>
      <w:r>
        <w:separator/>
      </w:r>
    </w:p>
  </w:footnote>
  <w:footnote w:type="continuationSeparator" w:id="0">
    <w:p w14:paraId="45E43BE1" w14:textId="77777777" w:rsidR="00E562BB" w:rsidRDefault="00E562BB" w:rsidP="00DD7929">
      <w:pPr>
        <w:spacing w:after="0"/>
      </w:pPr>
      <w:r>
        <w:continuationSeparator/>
      </w:r>
    </w:p>
  </w:footnote>
  <w:footnote w:type="continuationNotice" w:id="1">
    <w:p w14:paraId="4ACD8E7F" w14:textId="77777777" w:rsidR="00E562BB" w:rsidRDefault="00E562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5A581" w14:textId="77777777" w:rsidR="00DB425E" w:rsidRDefault="00DB42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E5D11" w14:textId="77777777" w:rsidR="00DB425E" w:rsidRDefault="00DB4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15"/>
  </w:num>
  <w:num w:numId="4">
    <w:abstractNumId w:val="19"/>
  </w:num>
  <w:num w:numId="5">
    <w:abstractNumId w:val="10"/>
  </w:num>
  <w:num w:numId="6">
    <w:abstractNumId w:val="20"/>
  </w:num>
  <w:num w:numId="7">
    <w:abstractNumId w:val="8"/>
  </w:num>
  <w:num w:numId="8">
    <w:abstractNumId w:val="17"/>
  </w:num>
  <w:num w:numId="9">
    <w:abstractNumId w:val="5"/>
  </w:num>
  <w:num w:numId="10">
    <w:abstractNumId w:val="24"/>
  </w:num>
  <w:num w:numId="11">
    <w:abstractNumId w:val="21"/>
  </w:num>
  <w:num w:numId="12">
    <w:abstractNumId w:val="2"/>
  </w:num>
  <w:num w:numId="13">
    <w:abstractNumId w:val="25"/>
  </w:num>
  <w:num w:numId="14">
    <w:abstractNumId w:val="14"/>
  </w:num>
  <w:num w:numId="15">
    <w:abstractNumId w:val="16"/>
  </w:num>
  <w:num w:numId="16">
    <w:abstractNumId w:val="6"/>
  </w:num>
  <w:num w:numId="17">
    <w:abstractNumId w:val="12"/>
  </w:num>
  <w:num w:numId="18">
    <w:abstractNumId w:val="7"/>
  </w:num>
  <w:num w:numId="19">
    <w:abstractNumId w:val="1"/>
  </w:num>
  <w:num w:numId="20">
    <w:abstractNumId w:val="22"/>
  </w:num>
  <w:num w:numId="21">
    <w:abstractNumId w:val="23"/>
  </w:num>
  <w:num w:numId="22">
    <w:abstractNumId w:val="3"/>
  </w:num>
  <w:num w:numId="23">
    <w:abstractNumId w:val="13"/>
  </w:num>
  <w:num w:numId="24">
    <w:abstractNumId w:val="0"/>
  </w:num>
  <w:num w:numId="25">
    <w:abstractNumId w:val="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21BE"/>
    <w:rsid w:val="00013C53"/>
    <w:rsid w:val="0001413C"/>
    <w:rsid w:val="00017A21"/>
    <w:rsid w:val="000217A3"/>
    <w:rsid w:val="00023715"/>
    <w:rsid w:val="00026530"/>
    <w:rsid w:val="0002752D"/>
    <w:rsid w:val="00034B89"/>
    <w:rsid w:val="0003549F"/>
    <w:rsid w:val="000372D8"/>
    <w:rsid w:val="00037965"/>
    <w:rsid w:val="00037AB6"/>
    <w:rsid w:val="0004058E"/>
    <w:rsid w:val="00041E00"/>
    <w:rsid w:val="000433B7"/>
    <w:rsid w:val="00045DC1"/>
    <w:rsid w:val="00046488"/>
    <w:rsid w:val="0005139D"/>
    <w:rsid w:val="00053CAF"/>
    <w:rsid w:val="00057C99"/>
    <w:rsid w:val="00061EED"/>
    <w:rsid w:val="000711DC"/>
    <w:rsid w:val="00074D6F"/>
    <w:rsid w:val="00076825"/>
    <w:rsid w:val="0008020D"/>
    <w:rsid w:val="00080AA4"/>
    <w:rsid w:val="00082023"/>
    <w:rsid w:val="00083979"/>
    <w:rsid w:val="00085805"/>
    <w:rsid w:val="00085CBE"/>
    <w:rsid w:val="0009141B"/>
    <w:rsid w:val="00091D9D"/>
    <w:rsid w:val="000A108E"/>
    <w:rsid w:val="000A5916"/>
    <w:rsid w:val="000A72EB"/>
    <w:rsid w:val="000B0353"/>
    <w:rsid w:val="000B183F"/>
    <w:rsid w:val="000B62A2"/>
    <w:rsid w:val="000B652C"/>
    <w:rsid w:val="000B6A15"/>
    <w:rsid w:val="000B7214"/>
    <w:rsid w:val="000C09C6"/>
    <w:rsid w:val="000C18B4"/>
    <w:rsid w:val="000C31E0"/>
    <w:rsid w:val="000C631B"/>
    <w:rsid w:val="000C728E"/>
    <w:rsid w:val="000D1350"/>
    <w:rsid w:val="000D5A70"/>
    <w:rsid w:val="000D75A3"/>
    <w:rsid w:val="000E1282"/>
    <w:rsid w:val="000E139A"/>
    <w:rsid w:val="000E66B7"/>
    <w:rsid w:val="000E760F"/>
    <w:rsid w:val="000F1CE8"/>
    <w:rsid w:val="000F6981"/>
    <w:rsid w:val="001013D3"/>
    <w:rsid w:val="0010160E"/>
    <w:rsid w:val="00101A72"/>
    <w:rsid w:val="001030D8"/>
    <w:rsid w:val="00103307"/>
    <w:rsid w:val="00104CFA"/>
    <w:rsid w:val="00104FE8"/>
    <w:rsid w:val="00113BFE"/>
    <w:rsid w:val="001156FB"/>
    <w:rsid w:val="00115CCC"/>
    <w:rsid w:val="00124335"/>
    <w:rsid w:val="00125BD7"/>
    <w:rsid w:val="00133A31"/>
    <w:rsid w:val="00134120"/>
    <w:rsid w:val="00134957"/>
    <w:rsid w:val="001401DE"/>
    <w:rsid w:val="0014119B"/>
    <w:rsid w:val="0014360E"/>
    <w:rsid w:val="00143A18"/>
    <w:rsid w:val="00144AB5"/>
    <w:rsid w:val="00150908"/>
    <w:rsid w:val="0015152C"/>
    <w:rsid w:val="0015259F"/>
    <w:rsid w:val="00153512"/>
    <w:rsid w:val="00154516"/>
    <w:rsid w:val="00154665"/>
    <w:rsid w:val="0016090C"/>
    <w:rsid w:val="00165EDA"/>
    <w:rsid w:val="001660D1"/>
    <w:rsid w:val="00167FC9"/>
    <w:rsid w:val="00170383"/>
    <w:rsid w:val="001719C1"/>
    <w:rsid w:val="0017222C"/>
    <w:rsid w:val="001743C4"/>
    <w:rsid w:val="00174C46"/>
    <w:rsid w:val="001771B5"/>
    <w:rsid w:val="001772FB"/>
    <w:rsid w:val="00190069"/>
    <w:rsid w:val="00191BF3"/>
    <w:rsid w:val="001966B4"/>
    <w:rsid w:val="0019688D"/>
    <w:rsid w:val="0019776A"/>
    <w:rsid w:val="00197B66"/>
    <w:rsid w:val="001A163D"/>
    <w:rsid w:val="001A2090"/>
    <w:rsid w:val="001A3DAA"/>
    <w:rsid w:val="001A4BCF"/>
    <w:rsid w:val="001A7EE7"/>
    <w:rsid w:val="001B1456"/>
    <w:rsid w:val="001B1528"/>
    <w:rsid w:val="001B158D"/>
    <w:rsid w:val="001B2A13"/>
    <w:rsid w:val="001B438E"/>
    <w:rsid w:val="001C371E"/>
    <w:rsid w:val="001C3E69"/>
    <w:rsid w:val="001C409F"/>
    <w:rsid w:val="001D0302"/>
    <w:rsid w:val="001D0410"/>
    <w:rsid w:val="001D0BBF"/>
    <w:rsid w:val="001D4710"/>
    <w:rsid w:val="001D5AC8"/>
    <w:rsid w:val="001E0108"/>
    <w:rsid w:val="001E38EE"/>
    <w:rsid w:val="001E4E20"/>
    <w:rsid w:val="001E5908"/>
    <w:rsid w:val="001E6A68"/>
    <w:rsid w:val="001E7080"/>
    <w:rsid w:val="001F1A02"/>
    <w:rsid w:val="001F3EA7"/>
    <w:rsid w:val="001F4708"/>
    <w:rsid w:val="001F6228"/>
    <w:rsid w:val="001F7796"/>
    <w:rsid w:val="00201241"/>
    <w:rsid w:val="0020420D"/>
    <w:rsid w:val="0021028E"/>
    <w:rsid w:val="00210698"/>
    <w:rsid w:val="00215DD9"/>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F38"/>
    <w:rsid w:val="00245419"/>
    <w:rsid w:val="00245444"/>
    <w:rsid w:val="00245558"/>
    <w:rsid w:val="00245B02"/>
    <w:rsid w:val="00250C13"/>
    <w:rsid w:val="00251E8C"/>
    <w:rsid w:val="00251F6E"/>
    <w:rsid w:val="0025531E"/>
    <w:rsid w:val="00256178"/>
    <w:rsid w:val="002565B9"/>
    <w:rsid w:val="00256C02"/>
    <w:rsid w:val="00265960"/>
    <w:rsid w:val="00271095"/>
    <w:rsid w:val="002716BD"/>
    <w:rsid w:val="00273767"/>
    <w:rsid w:val="00273A34"/>
    <w:rsid w:val="00273D61"/>
    <w:rsid w:val="00274532"/>
    <w:rsid w:val="00274DED"/>
    <w:rsid w:val="002761C6"/>
    <w:rsid w:val="00276A9B"/>
    <w:rsid w:val="00280F99"/>
    <w:rsid w:val="002918A4"/>
    <w:rsid w:val="002958D5"/>
    <w:rsid w:val="00297960"/>
    <w:rsid w:val="002A0D8D"/>
    <w:rsid w:val="002A160F"/>
    <w:rsid w:val="002A2BB2"/>
    <w:rsid w:val="002A45C4"/>
    <w:rsid w:val="002A5DA7"/>
    <w:rsid w:val="002A7383"/>
    <w:rsid w:val="002B27D4"/>
    <w:rsid w:val="002B2CAA"/>
    <w:rsid w:val="002B51CF"/>
    <w:rsid w:val="002B6755"/>
    <w:rsid w:val="002B75A3"/>
    <w:rsid w:val="002C1475"/>
    <w:rsid w:val="002C2B8E"/>
    <w:rsid w:val="002C40FE"/>
    <w:rsid w:val="002C4433"/>
    <w:rsid w:val="002C6CCD"/>
    <w:rsid w:val="002C7604"/>
    <w:rsid w:val="002C7B4F"/>
    <w:rsid w:val="002E176D"/>
    <w:rsid w:val="002E2570"/>
    <w:rsid w:val="002E33B4"/>
    <w:rsid w:val="002E4E1F"/>
    <w:rsid w:val="002F1379"/>
    <w:rsid w:val="002F7FE2"/>
    <w:rsid w:val="0030011E"/>
    <w:rsid w:val="00300593"/>
    <w:rsid w:val="00301F4C"/>
    <w:rsid w:val="003042F0"/>
    <w:rsid w:val="003050FE"/>
    <w:rsid w:val="00313967"/>
    <w:rsid w:val="003144C0"/>
    <w:rsid w:val="003174C9"/>
    <w:rsid w:val="00321871"/>
    <w:rsid w:val="003225DD"/>
    <w:rsid w:val="00323BBE"/>
    <w:rsid w:val="0032642A"/>
    <w:rsid w:val="003269F7"/>
    <w:rsid w:val="00331FB3"/>
    <w:rsid w:val="0033308E"/>
    <w:rsid w:val="00334807"/>
    <w:rsid w:val="00334980"/>
    <w:rsid w:val="00340CC5"/>
    <w:rsid w:val="00341A3B"/>
    <w:rsid w:val="00347526"/>
    <w:rsid w:val="003517F0"/>
    <w:rsid w:val="00352554"/>
    <w:rsid w:val="00357146"/>
    <w:rsid w:val="0036157E"/>
    <w:rsid w:val="00364730"/>
    <w:rsid w:val="0036490C"/>
    <w:rsid w:val="00364B50"/>
    <w:rsid w:val="00367FB8"/>
    <w:rsid w:val="0037184B"/>
    <w:rsid w:val="00371B07"/>
    <w:rsid w:val="003740C3"/>
    <w:rsid w:val="00375400"/>
    <w:rsid w:val="003764AC"/>
    <w:rsid w:val="003779C0"/>
    <w:rsid w:val="0038068C"/>
    <w:rsid w:val="003835C7"/>
    <w:rsid w:val="0038762D"/>
    <w:rsid w:val="00387CD9"/>
    <w:rsid w:val="00390861"/>
    <w:rsid w:val="00391413"/>
    <w:rsid w:val="003951F7"/>
    <w:rsid w:val="003A04F1"/>
    <w:rsid w:val="003A05B1"/>
    <w:rsid w:val="003A10BD"/>
    <w:rsid w:val="003A1A7A"/>
    <w:rsid w:val="003A450E"/>
    <w:rsid w:val="003A5437"/>
    <w:rsid w:val="003B092F"/>
    <w:rsid w:val="003B4EF0"/>
    <w:rsid w:val="003C0EA9"/>
    <w:rsid w:val="003C12A7"/>
    <w:rsid w:val="003C395D"/>
    <w:rsid w:val="003C6AA0"/>
    <w:rsid w:val="003C72EB"/>
    <w:rsid w:val="003C7822"/>
    <w:rsid w:val="003D02C6"/>
    <w:rsid w:val="003D1C70"/>
    <w:rsid w:val="003D483E"/>
    <w:rsid w:val="003D518A"/>
    <w:rsid w:val="003D53AC"/>
    <w:rsid w:val="003E1BE6"/>
    <w:rsid w:val="003E6C26"/>
    <w:rsid w:val="003E6EC2"/>
    <w:rsid w:val="003F0846"/>
    <w:rsid w:val="003F0C4D"/>
    <w:rsid w:val="003F4495"/>
    <w:rsid w:val="003F5DFA"/>
    <w:rsid w:val="003F6CCB"/>
    <w:rsid w:val="0041476D"/>
    <w:rsid w:val="00420B6F"/>
    <w:rsid w:val="00420D77"/>
    <w:rsid w:val="00422837"/>
    <w:rsid w:val="00425160"/>
    <w:rsid w:val="00426144"/>
    <w:rsid w:val="00427C67"/>
    <w:rsid w:val="0043038D"/>
    <w:rsid w:val="004429AA"/>
    <w:rsid w:val="00442BAD"/>
    <w:rsid w:val="00443603"/>
    <w:rsid w:val="0044554C"/>
    <w:rsid w:val="00446D38"/>
    <w:rsid w:val="004531E4"/>
    <w:rsid w:val="00455E2E"/>
    <w:rsid w:val="00460D83"/>
    <w:rsid w:val="00461815"/>
    <w:rsid w:val="00463A36"/>
    <w:rsid w:val="00471A72"/>
    <w:rsid w:val="00473872"/>
    <w:rsid w:val="004743E4"/>
    <w:rsid w:val="004809FB"/>
    <w:rsid w:val="0048286F"/>
    <w:rsid w:val="00486A72"/>
    <w:rsid w:val="00486BFB"/>
    <w:rsid w:val="00491AC3"/>
    <w:rsid w:val="00492701"/>
    <w:rsid w:val="00492997"/>
    <w:rsid w:val="00493E8B"/>
    <w:rsid w:val="00494887"/>
    <w:rsid w:val="00495E98"/>
    <w:rsid w:val="004972EF"/>
    <w:rsid w:val="004A055C"/>
    <w:rsid w:val="004A3F4E"/>
    <w:rsid w:val="004A638D"/>
    <w:rsid w:val="004A7AF9"/>
    <w:rsid w:val="004B1E82"/>
    <w:rsid w:val="004B3CF6"/>
    <w:rsid w:val="004B53BC"/>
    <w:rsid w:val="004C1E8F"/>
    <w:rsid w:val="004C4E4E"/>
    <w:rsid w:val="004D03CA"/>
    <w:rsid w:val="004D4620"/>
    <w:rsid w:val="004D64D5"/>
    <w:rsid w:val="004E0B77"/>
    <w:rsid w:val="004E1E75"/>
    <w:rsid w:val="004E22C3"/>
    <w:rsid w:val="004E394E"/>
    <w:rsid w:val="004E4F0D"/>
    <w:rsid w:val="004E522E"/>
    <w:rsid w:val="004E5351"/>
    <w:rsid w:val="004E5EAB"/>
    <w:rsid w:val="004E66C6"/>
    <w:rsid w:val="004E68D5"/>
    <w:rsid w:val="004F0931"/>
    <w:rsid w:val="004F5EAC"/>
    <w:rsid w:val="004F78D1"/>
    <w:rsid w:val="00501D7F"/>
    <w:rsid w:val="00502A3A"/>
    <w:rsid w:val="0050388E"/>
    <w:rsid w:val="005061A2"/>
    <w:rsid w:val="00507DA6"/>
    <w:rsid w:val="0051151E"/>
    <w:rsid w:val="005126F8"/>
    <w:rsid w:val="005150FC"/>
    <w:rsid w:val="0051638C"/>
    <w:rsid w:val="00521810"/>
    <w:rsid w:val="00521A7F"/>
    <w:rsid w:val="00523B51"/>
    <w:rsid w:val="00526440"/>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892"/>
    <w:rsid w:val="0056189A"/>
    <w:rsid w:val="00561C49"/>
    <w:rsid w:val="005647E2"/>
    <w:rsid w:val="0056567B"/>
    <w:rsid w:val="00571F85"/>
    <w:rsid w:val="00572BD5"/>
    <w:rsid w:val="00577EC9"/>
    <w:rsid w:val="005811AF"/>
    <w:rsid w:val="00581C36"/>
    <w:rsid w:val="00582DEE"/>
    <w:rsid w:val="00584213"/>
    <w:rsid w:val="00590442"/>
    <w:rsid w:val="00590A06"/>
    <w:rsid w:val="00590FFC"/>
    <w:rsid w:val="00591212"/>
    <w:rsid w:val="00591AE5"/>
    <w:rsid w:val="005972B8"/>
    <w:rsid w:val="005A66B6"/>
    <w:rsid w:val="005B16C7"/>
    <w:rsid w:val="005B6160"/>
    <w:rsid w:val="005B6637"/>
    <w:rsid w:val="005C4EF5"/>
    <w:rsid w:val="005C6075"/>
    <w:rsid w:val="005D2FEF"/>
    <w:rsid w:val="005D5B2D"/>
    <w:rsid w:val="005D64F1"/>
    <w:rsid w:val="005D6A22"/>
    <w:rsid w:val="005D6D93"/>
    <w:rsid w:val="005D72A5"/>
    <w:rsid w:val="005D76BF"/>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7413"/>
    <w:rsid w:val="00620688"/>
    <w:rsid w:val="00623836"/>
    <w:rsid w:val="00624BD8"/>
    <w:rsid w:val="00625248"/>
    <w:rsid w:val="00625F58"/>
    <w:rsid w:val="00626128"/>
    <w:rsid w:val="00626AC1"/>
    <w:rsid w:val="00627143"/>
    <w:rsid w:val="0063054D"/>
    <w:rsid w:val="00630585"/>
    <w:rsid w:val="0063281F"/>
    <w:rsid w:val="00632F75"/>
    <w:rsid w:val="0063382E"/>
    <w:rsid w:val="00635913"/>
    <w:rsid w:val="00637A18"/>
    <w:rsid w:val="006411CB"/>
    <w:rsid w:val="00647028"/>
    <w:rsid w:val="006528C2"/>
    <w:rsid w:val="0065374E"/>
    <w:rsid w:val="00653A6B"/>
    <w:rsid w:val="00654E07"/>
    <w:rsid w:val="00656A82"/>
    <w:rsid w:val="00660CD2"/>
    <w:rsid w:val="006630CE"/>
    <w:rsid w:val="00663ECE"/>
    <w:rsid w:val="006647BF"/>
    <w:rsid w:val="006664D9"/>
    <w:rsid w:val="00671C39"/>
    <w:rsid w:val="0067283C"/>
    <w:rsid w:val="0067348B"/>
    <w:rsid w:val="00677A16"/>
    <w:rsid w:val="00682D66"/>
    <w:rsid w:val="00683235"/>
    <w:rsid w:val="006833C1"/>
    <w:rsid w:val="006848A5"/>
    <w:rsid w:val="00690781"/>
    <w:rsid w:val="00694075"/>
    <w:rsid w:val="006975DE"/>
    <w:rsid w:val="00697904"/>
    <w:rsid w:val="006A0343"/>
    <w:rsid w:val="006A20D8"/>
    <w:rsid w:val="006A3847"/>
    <w:rsid w:val="006A4027"/>
    <w:rsid w:val="006A4922"/>
    <w:rsid w:val="006A65D0"/>
    <w:rsid w:val="006A7FD5"/>
    <w:rsid w:val="006B0EE4"/>
    <w:rsid w:val="006B179F"/>
    <w:rsid w:val="006B2B95"/>
    <w:rsid w:val="006B340F"/>
    <w:rsid w:val="006B5B2D"/>
    <w:rsid w:val="006C1720"/>
    <w:rsid w:val="006C3F07"/>
    <w:rsid w:val="006C6290"/>
    <w:rsid w:val="006C7500"/>
    <w:rsid w:val="006C7F13"/>
    <w:rsid w:val="006D1E33"/>
    <w:rsid w:val="006D3C89"/>
    <w:rsid w:val="006D3F26"/>
    <w:rsid w:val="006D4124"/>
    <w:rsid w:val="006D597D"/>
    <w:rsid w:val="006D630F"/>
    <w:rsid w:val="006D654A"/>
    <w:rsid w:val="006E1AF1"/>
    <w:rsid w:val="006E2570"/>
    <w:rsid w:val="006E39F2"/>
    <w:rsid w:val="006E445F"/>
    <w:rsid w:val="007003A3"/>
    <w:rsid w:val="00700FD0"/>
    <w:rsid w:val="00701375"/>
    <w:rsid w:val="007026BC"/>
    <w:rsid w:val="0070339F"/>
    <w:rsid w:val="007054EB"/>
    <w:rsid w:val="00707C83"/>
    <w:rsid w:val="00711097"/>
    <w:rsid w:val="00716BFF"/>
    <w:rsid w:val="0071757D"/>
    <w:rsid w:val="00717B1D"/>
    <w:rsid w:val="007208CC"/>
    <w:rsid w:val="0072218E"/>
    <w:rsid w:val="00722F34"/>
    <w:rsid w:val="00730E87"/>
    <w:rsid w:val="00731934"/>
    <w:rsid w:val="0073197B"/>
    <w:rsid w:val="007406BC"/>
    <w:rsid w:val="00741F93"/>
    <w:rsid w:val="00743548"/>
    <w:rsid w:val="00743A8F"/>
    <w:rsid w:val="0074534D"/>
    <w:rsid w:val="0074587A"/>
    <w:rsid w:val="00747CDD"/>
    <w:rsid w:val="007537AD"/>
    <w:rsid w:val="00753976"/>
    <w:rsid w:val="007567A8"/>
    <w:rsid w:val="007574A9"/>
    <w:rsid w:val="00757832"/>
    <w:rsid w:val="00757DE4"/>
    <w:rsid w:val="00761C9B"/>
    <w:rsid w:val="00762EB0"/>
    <w:rsid w:val="00764E00"/>
    <w:rsid w:val="00764F51"/>
    <w:rsid w:val="007657EC"/>
    <w:rsid w:val="007673AF"/>
    <w:rsid w:val="007676DD"/>
    <w:rsid w:val="00770179"/>
    <w:rsid w:val="00771170"/>
    <w:rsid w:val="007721C3"/>
    <w:rsid w:val="00774E01"/>
    <w:rsid w:val="007752D7"/>
    <w:rsid w:val="00775CBB"/>
    <w:rsid w:val="00783B93"/>
    <w:rsid w:val="0078518E"/>
    <w:rsid w:val="007860B2"/>
    <w:rsid w:val="007863DD"/>
    <w:rsid w:val="00790C76"/>
    <w:rsid w:val="00791CB9"/>
    <w:rsid w:val="007965BA"/>
    <w:rsid w:val="00797FD1"/>
    <w:rsid w:val="007A1EEF"/>
    <w:rsid w:val="007A3464"/>
    <w:rsid w:val="007A5134"/>
    <w:rsid w:val="007A5913"/>
    <w:rsid w:val="007A6986"/>
    <w:rsid w:val="007A6ECA"/>
    <w:rsid w:val="007B1159"/>
    <w:rsid w:val="007B1DBF"/>
    <w:rsid w:val="007B703F"/>
    <w:rsid w:val="007B777D"/>
    <w:rsid w:val="007C0355"/>
    <w:rsid w:val="007C270A"/>
    <w:rsid w:val="007C4D1B"/>
    <w:rsid w:val="007C4D66"/>
    <w:rsid w:val="007D3FDE"/>
    <w:rsid w:val="007D64B6"/>
    <w:rsid w:val="007D74F1"/>
    <w:rsid w:val="007E297D"/>
    <w:rsid w:val="007E4180"/>
    <w:rsid w:val="007E6A0D"/>
    <w:rsid w:val="007F419C"/>
    <w:rsid w:val="007F4243"/>
    <w:rsid w:val="007F510D"/>
    <w:rsid w:val="00802397"/>
    <w:rsid w:val="00803146"/>
    <w:rsid w:val="0081035D"/>
    <w:rsid w:val="00811508"/>
    <w:rsid w:val="008126CA"/>
    <w:rsid w:val="00813892"/>
    <w:rsid w:val="0081651C"/>
    <w:rsid w:val="00820503"/>
    <w:rsid w:val="00824D06"/>
    <w:rsid w:val="00826415"/>
    <w:rsid w:val="0083280D"/>
    <w:rsid w:val="00832EF8"/>
    <w:rsid w:val="0083323B"/>
    <w:rsid w:val="00833B2D"/>
    <w:rsid w:val="00836B29"/>
    <w:rsid w:val="00837950"/>
    <w:rsid w:val="008414D4"/>
    <w:rsid w:val="00841C68"/>
    <w:rsid w:val="00853708"/>
    <w:rsid w:val="00853C73"/>
    <w:rsid w:val="008562AA"/>
    <w:rsid w:val="008577BD"/>
    <w:rsid w:val="00857B19"/>
    <w:rsid w:val="00862017"/>
    <w:rsid w:val="00862323"/>
    <w:rsid w:val="00863D2B"/>
    <w:rsid w:val="00864DF1"/>
    <w:rsid w:val="00871332"/>
    <w:rsid w:val="0087342C"/>
    <w:rsid w:val="00873652"/>
    <w:rsid w:val="00873C76"/>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B0EB6"/>
    <w:rsid w:val="008B2182"/>
    <w:rsid w:val="008B2311"/>
    <w:rsid w:val="008B436F"/>
    <w:rsid w:val="008B43E9"/>
    <w:rsid w:val="008B45BA"/>
    <w:rsid w:val="008C37C5"/>
    <w:rsid w:val="008C76E9"/>
    <w:rsid w:val="008D14D9"/>
    <w:rsid w:val="008D1EFE"/>
    <w:rsid w:val="008D59AB"/>
    <w:rsid w:val="008E12A9"/>
    <w:rsid w:val="008E1FA2"/>
    <w:rsid w:val="008E4C66"/>
    <w:rsid w:val="008E7993"/>
    <w:rsid w:val="008F1823"/>
    <w:rsid w:val="008F2DA2"/>
    <w:rsid w:val="008F55A1"/>
    <w:rsid w:val="008F6935"/>
    <w:rsid w:val="008F75EF"/>
    <w:rsid w:val="0090115F"/>
    <w:rsid w:val="00901D97"/>
    <w:rsid w:val="00902AAD"/>
    <w:rsid w:val="009038BA"/>
    <w:rsid w:val="00903FC9"/>
    <w:rsid w:val="0091001E"/>
    <w:rsid w:val="0091330E"/>
    <w:rsid w:val="00915A9F"/>
    <w:rsid w:val="009208A9"/>
    <w:rsid w:val="0092182F"/>
    <w:rsid w:val="009228F9"/>
    <w:rsid w:val="009257BD"/>
    <w:rsid w:val="00931DE0"/>
    <w:rsid w:val="0093559E"/>
    <w:rsid w:val="00937E67"/>
    <w:rsid w:val="00940149"/>
    <w:rsid w:val="0094058D"/>
    <w:rsid w:val="00940C83"/>
    <w:rsid w:val="0094128C"/>
    <w:rsid w:val="00942B76"/>
    <w:rsid w:val="00943E24"/>
    <w:rsid w:val="00944376"/>
    <w:rsid w:val="00947E1F"/>
    <w:rsid w:val="0095067C"/>
    <w:rsid w:val="00950C60"/>
    <w:rsid w:val="00951867"/>
    <w:rsid w:val="00954387"/>
    <w:rsid w:val="0095657C"/>
    <w:rsid w:val="00961CB5"/>
    <w:rsid w:val="00963CEC"/>
    <w:rsid w:val="00964E7B"/>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7EFF"/>
    <w:rsid w:val="009B2B44"/>
    <w:rsid w:val="009B5106"/>
    <w:rsid w:val="009B6D20"/>
    <w:rsid w:val="009B77A9"/>
    <w:rsid w:val="009C08D8"/>
    <w:rsid w:val="009C0FEE"/>
    <w:rsid w:val="009C30E1"/>
    <w:rsid w:val="009D5B8F"/>
    <w:rsid w:val="009E05A9"/>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293E"/>
    <w:rsid w:val="00A23010"/>
    <w:rsid w:val="00A25637"/>
    <w:rsid w:val="00A25B95"/>
    <w:rsid w:val="00A25CBF"/>
    <w:rsid w:val="00A32EAA"/>
    <w:rsid w:val="00A33253"/>
    <w:rsid w:val="00A364B4"/>
    <w:rsid w:val="00A412B6"/>
    <w:rsid w:val="00A4435C"/>
    <w:rsid w:val="00A4562D"/>
    <w:rsid w:val="00A5205B"/>
    <w:rsid w:val="00A54B31"/>
    <w:rsid w:val="00A5727A"/>
    <w:rsid w:val="00A57331"/>
    <w:rsid w:val="00A63879"/>
    <w:rsid w:val="00A73C0C"/>
    <w:rsid w:val="00A806CB"/>
    <w:rsid w:val="00A8389E"/>
    <w:rsid w:val="00A83AA2"/>
    <w:rsid w:val="00A87A2D"/>
    <w:rsid w:val="00A87A5A"/>
    <w:rsid w:val="00A91781"/>
    <w:rsid w:val="00A95A86"/>
    <w:rsid w:val="00AA3968"/>
    <w:rsid w:val="00AA4113"/>
    <w:rsid w:val="00AA62A5"/>
    <w:rsid w:val="00AA66BF"/>
    <w:rsid w:val="00AA6708"/>
    <w:rsid w:val="00AB0BB3"/>
    <w:rsid w:val="00AB338A"/>
    <w:rsid w:val="00AB3518"/>
    <w:rsid w:val="00AB3D21"/>
    <w:rsid w:val="00AB4752"/>
    <w:rsid w:val="00AB549C"/>
    <w:rsid w:val="00AC0A20"/>
    <w:rsid w:val="00AC0B67"/>
    <w:rsid w:val="00AC1089"/>
    <w:rsid w:val="00AC1FC3"/>
    <w:rsid w:val="00AC38B9"/>
    <w:rsid w:val="00AC483F"/>
    <w:rsid w:val="00AD0744"/>
    <w:rsid w:val="00AD1A98"/>
    <w:rsid w:val="00AD3C6D"/>
    <w:rsid w:val="00AD6A5B"/>
    <w:rsid w:val="00AD7A92"/>
    <w:rsid w:val="00AE1006"/>
    <w:rsid w:val="00AE3F75"/>
    <w:rsid w:val="00AE3F8B"/>
    <w:rsid w:val="00AE5685"/>
    <w:rsid w:val="00AF6414"/>
    <w:rsid w:val="00B0131D"/>
    <w:rsid w:val="00B0254F"/>
    <w:rsid w:val="00B06EA4"/>
    <w:rsid w:val="00B1468D"/>
    <w:rsid w:val="00B15C44"/>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57C3E"/>
    <w:rsid w:val="00B6091B"/>
    <w:rsid w:val="00B63721"/>
    <w:rsid w:val="00B638FF"/>
    <w:rsid w:val="00B63FC9"/>
    <w:rsid w:val="00B643FD"/>
    <w:rsid w:val="00B644F2"/>
    <w:rsid w:val="00B64510"/>
    <w:rsid w:val="00B658A0"/>
    <w:rsid w:val="00B72693"/>
    <w:rsid w:val="00B74BD3"/>
    <w:rsid w:val="00B74EDC"/>
    <w:rsid w:val="00B755BF"/>
    <w:rsid w:val="00B76C24"/>
    <w:rsid w:val="00B81C2A"/>
    <w:rsid w:val="00B8230C"/>
    <w:rsid w:val="00B86353"/>
    <w:rsid w:val="00B90B32"/>
    <w:rsid w:val="00B91233"/>
    <w:rsid w:val="00B9164E"/>
    <w:rsid w:val="00B91FC1"/>
    <w:rsid w:val="00B9283B"/>
    <w:rsid w:val="00B936E7"/>
    <w:rsid w:val="00B942A2"/>
    <w:rsid w:val="00B95929"/>
    <w:rsid w:val="00B95C8F"/>
    <w:rsid w:val="00B961D5"/>
    <w:rsid w:val="00B96998"/>
    <w:rsid w:val="00BA1303"/>
    <w:rsid w:val="00BA3EF9"/>
    <w:rsid w:val="00BA4BF4"/>
    <w:rsid w:val="00BA6B09"/>
    <w:rsid w:val="00BB0074"/>
    <w:rsid w:val="00BB1164"/>
    <w:rsid w:val="00BB5BA6"/>
    <w:rsid w:val="00BB6256"/>
    <w:rsid w:val="00BC6317"/>
    <w:rsid w:val="00BC6A77"/>
    <w:rsid w:val="00BC7322"/>
    <w:rsid w:val="00BD2A3E"/>
    <w:rsid w:val="00BD2B14"/>
    <w:rsid w:val="00BD336F"/>
    <w:rsid w:val="00BD348F"/>
    <w:rsid w:val="00BD3611"/>
    <w:rsid w:val="00BD4302"/>
    <w:rsid w:val="00BD481B"/>
    <w:rsid w:val="00BD55EE"/>
    <w:rsid w:val="00BE44F1"/>
    <w:rsid w:val="00BE4F8E"/>
    <w:rsid w:val="00BE68FC"/>
    <w:rsid w:val="00BE6DDA"/>
    <w:rsid w:val="00BF23EC"/>
    <w:rsid w:val="00BF53A2"/>
    <w:rsid w:val="00BF581C"/>
    <w:rsid w:val="00BF6B4C"/>
    <w:rsid w:val="00BF6BFA"/>
    <w:rsid w:val="00BF7AED"/>
    <w:rsid w:val="00C00579"/>
    <w:rsid w:val="00C007AD"/>
    <w:rsid w:val="00C040FF"/>
    <w:rsid w:val="00C052A4"/>
    <w:rsid w:val="00C074C1"/>
    <w:rsid w:val="00C105A5"/>
    <w:rsid w:val="00C10851"/>
    <w:rsid w:val="00C17877"/>
    <w:rsid w:val="00C204F9"/>
    <w:rsid w:val="00C22D64"/>
    <w:rsid w:val="00C24B52"/>
    <w:rsid w:val="00C261F4"/>
    <w:rsid w:val="00C273BF"/>
    <w:rsid w:val="00C31DCE"/>
    <w:rsid w:val="00C32334"/>
    <w:rsid w:val="00C35D35"/>
    <w:rsid w:val="00C42363"/>
    <w:rsid w:val="00C45052"/>
    <w:rsid w:val="00C45D64"/>
    <w:rsid w:val="00C463A3"/>
    <w:rsid w:val="00C5089F"/>
    <w:rsid w:val="00C51D1A"/>
    <w:rsid w:val="00C53ECF"/>
    <w:rsid w:val="00C551FD"/>
    <w:rsid w:val="00C60D80"/>
    <w:rsid w:val="00C616F8"/>
    <w:rsid w:val="00C624ED"/>
    <w:rsid w:val="00C632E8"/>
    <w:rsid w:val="00C659A5"/>
    <w:rsid w:val="00C65FAC"/>
    <w:rsid w:val="00C67930"/>
    <w:rsid w:val="00C70292"/>
    <w:rsid w:val="00C71703"/>
    <w:rsid w:val="00C7180B"/>
    <w:rsid w:val="00C72207"/>
    <w:rsid w:val="00C770D3"/>
    <w:rsid w:val="00C775B0"/>
    <w:rsid w:val="00C77783"/>
    <w:rsid w:val="00C80506"/>
    <w:rsid w:val="00C8269C"/>
    <w:rsid w:val="00C86715"/>
    <w:rsid w:val="00C86BE7"/>
    <w:rsid w:val="00C90F33"/>
    <w:rsid w:val="00C93734"/>
    <w:rsid w:val="00C94B98"/>
    <w:rsid w:val="00C97324"/>
    <w:rsid w:val="00CA1776"/>
    <w:rsid w:val="00CA4E25"/>
    <w:rsid w:val="00CA605D"/>
    <w:rsid w:val="00CA7441"/>
    <w:rsid w:val="00CA76B6"/>
    <w:rsid w:val="00CA7C10"/>
    <w:rsid w:val="00CB065B"/>
    <w:rsid w:val="00CB38D7"/>
    <w:rsid w:val="00CB737E"/>
    <w:rsid w:val="00CC11E7"/>
    <w:rsid w:val="00CC48BE"/>
    <w:rsid w:val="00CC7CD8"/>
    <w:rsid w:val="00CD010D"/>
    <w:rsid w:val="00CD1102"/>
    <w:rsid w:val="00CD1ED4"/>
    <w:rsid w:val="00CD37F3"/>
    <w:rsid w:val="00CD573F"/>
    <w:rsid w:val="00CD7A35"/>
    <w:rsid w:val="00CD7F62"/>
    <w:rsid w:val="00CE348D"/>
    <w:rsid w:val="00CE6710"/>
    <w:rsid w:val="00CE7D5B"/>
    <w:rsid w:val="00CF1431"/>
    <w:rsid w:val="00CF15D2"/>
    <w:rsid w:val="00CF167B"/>
    <w:rsid w:val="00CF3B3E"/>
    <w:rsid w:val="00CF60EE"/>
    <w:rsid w:val="00D00686"/>
    <w:rsid w:val="00D02038"/>
    <w:rsid w:val="00D03397"/>
    <w:rsid w:val="00D0404A"/>
    <w:rsid w:val="00D04ACD"/>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2C2C"/>
    <w:rsid w:val="00D63BDF"/>
    <w:rsid w:val="00D64631"/>
    <w:rsid w:val="00D64851"/>
    <w:rsid w:val="00D67AFB"/>
    <w:rsid w:val="00D70F05"/>
    <w:rsid w:val="00D72C4B"/>
    <w:rsid w:val="00D76DE1"/>
    <w:rsid w:val="00D82B75"/>
    <w:rsid w:val="00D83C07"/>
    <w:rsid w:val="00D9215B"/>
    <w:rsid w:val="00D94BB8"/>
    <w:rsid w:val="00D97716"/>
    <w:rsid w:val="00D97732"/>
    <w:rsid w:val="00DA1D94"/>
    <w:rsid w:val="00DA3353"/>
    <w:rsid w:val="00DB425E"/>
    <w:rsid w:val="00DB54D0"/>
    <w:rsid w:val="00DB7C37"/>
    <w:rsid w:val="00DC5075"/>
    <w:rsid w:val="00DC6C8F"/>
    <w:rsid w:val="00DC70C0"/>
    <w:rsid w:val="00DD095A"/>
    <w:rsid w:val="00DD2863"/>
    <w:rsid w:val="00DD766C"/>
    <w:rsid w:val="00DD7929"/>
    <w:rsid w:val="00DE1725"/>
    <w:rsid w:val="00DE17FC"/>
    <w:rsid w:val="00DE1BF4"/>
    <w:rsid w:val="00DE2678"/>
    <w:rsid w:val="00DE5114"/>
    <w:rsid w:val="00DE5F3A"/>
    <w:rsid w:val="00DE7B63"/>
    <w:rsid w:val="00DF0D6A"/>
    <w:rsid w:val="00DF47F1"/>
    <w:rsid w:val="00DF4FE7"/>
    <w:rsid w:val="00DF6A60"/>
    <w:rsid w:val="00E07B03"/>
    <w:rsid w:val="00E1024A"/>
    <w:rsid w:val="00E11296"/>
    <w:rsid w:val="00E12CE1"/>
    <w:rsid w:val="00E143EA"/>
    <w:rsid w:val="00E14A00"/>
    <w:rsid w:val="00E15595"/>
    <w:rsid w:val="00E16B31"/>
    <w:rsid w:val="00E207EB"/>
    <w:rsid w:val="00E214D6"/>
    <w:rsid w:val="00E22394"/>
    <w:rsid w:val="00E231F9"/>
    <w:rsid w:val="00E271B4"/>
    <w:rsid w:val="00E274AB"/>
    <w:rsid w:val="00E27C93"/>
    <w:rsid w:val="00E33098"/>
    <w:rsid w:val="00E3332D"/>
    <w:rsid w:val="00E334DE"/>
    <w:rsid w:val="00E34ED3"/>
    <w:rsid w:val="00E35C95"/>
    <w:rsid w:val="00E37A50"/>
    <w:rsid w:val="00E40EB9"/>
    <w:rsid w:val="00E410E5"/>
    <w:rsid w:val="00E429D6"/>
    <w:rsid w:val="00E474BB"/>
    <w:rsid w:val="00E47E39"/>
    <w:rsid w:val="00E50474"/>
    <w:rsid w:val="00E5105B"/>
    <w:rsid w:val="00E516E3"/>
    <w:rsid w:val="00E51E13"/>
    <w:rsid w:val="00E53537"/>
    <w:rsid w:val="00E544C3"/>
    <w:rsid w:val="00E562BB"/>
    <w:rsid w:val="00E57E85"/>
    <w:rsid w:val="00E66B56"/>
    <w:rsid w:val="00E7234E"/>
    <w:rsid w:val="00E74450"/>
    <w:rsid w:val="00E80FD5"/>
    <w:rsid w:val="00E8182D"/>
    <w:rsid w:val="00E81FEF"/>
    <w:rsid w:val="00E878C8"/>
    <w:rsid w:val="00E90616"/>
    <w:rsid w:val="00E944F5"/>
    <w:rsid w:val="00E94E13"/>
    <w:rsid w:val="00E95C54"/>
    <w:rsid w:val="00EA13CD"/>
    <w:rsid w:val="00EA7211"/>
    <w:rsid w:val="00EB4D67"/>
    <w:rsid w:val="00EB76AD"/>
    <w:rsid w:val="00EC1071"/>
    <w:rsid w:val="00EC1554"/>
    <w:rsid w:val="00EC421D"/>
    <w:rsid w:val="00EC574D"/>
    <w:rsid w:val="00EC7D10"/>
    <w:rsid w:val="00ED06AF"/>
    <w:rsid w:val="00EE01B1"/>
    <w:rsid w:val="00EE0F4C"/>
    <w:rsid w:val="00EE0F60"/>
    <w:rsid w:val="00EE25B0"/>
    <w:rsid w:val="00EE2B37"/>
    <w:rsid w:val="00EE31F1"/>
    <w:rsid w:val="00EE3BB5"/>
    <w:rsid w:val="00EE713D"/>
    <w:rsid w:val="00EF4082"/>
    <w:rsid w:val="00EF5DCB"/>
    <w:rsid w:val="00EF7EB0"/>
    <w:rsid w:val="00F02200"/>
    <w:rsid w:val="00F03865"/>
    <w:rsid w:val="00F11B9C"/>
    <w:rsid w:val="00F12B94"/>
    <w:rsid w:val="00F14689"/>
    <w:rsid w:val="00F14905"/>
    <w:rsid w:val="00F17084"/>
    <w:rsid w:val="00F2012D"/>
    <w:rsid w:val="00F24943"/>
    <w:rsid w:val="00F24AAA"/>
    <w:rsid w:val="00F257FF"/>
    <w:rsid w:val="00F26303"/>
    <w:rsid w:val="00F2665A"/>
    <w:rsid w:val="00F302CD"/>
    <w:rsid w:val="00F311E4"/>
    <w:rsid w:val="00F32097"/>
    <w:rsid w:val="00F357DC"/>
    <w:rsid w:val="00F436E3"/>
    <w:rsid w:val="00F476CE"/>
    <w:rsid w:val="00F47B2A"/>
    <w:rsid w:val="00F5147A"/>
    <w:rsid w:val="00F60CCD"/>
    <w:rsid w:val="00F646D9"/>
    <w:rsid w:val="00F64A14"/>
    <w:rsid w:val="00F665B7"/>
    <w:rsid w:val="00F73A49"/>
    <w:rsid w:val="00F759A1"/>
    <w:rsid w:val="00F75ADB"/>
    <w:rsid w:val="00F76FC2"/>
    <w:rsid w:val="00F80A4A"/>
    <w:rsid w:val="00F80ED4"/>
    <w:rsid w:val="00F8287A"/>
    <w:rsid w:val="00F91877"/>
    <w:rsid w:val="00F91A0E"/>
    <w:rsid w:val="00F92AE6"/>
    <w:rsid w:val="00F945D2"/>
    <w:rsid w:val="00FA0141"/>
    <w:rsid w:val="00FA25F6"/>
    <w:rsid w:val="00FA43BC"/>
    <w:rsid w:val="00FA6FF9"/>
    <w:rsid w:val="00FA7AAC"/>
    <w:rsid w:val="00FB28BE"/>
    <w:rsid w:val="00FB2CE7"/>
    <w:rsid w:val="00FB3EFB"/>
    <w:rsid w:val="00FB4FCF"/>
    <w:rsid w:val="00FB5EC4"/>
    <w:rsid w:val="00FB6349"/>
    <w:rsid w:val="00FB7234"/>
    <w:rsid w:val="00FC3EDB"/>
    <w:rsid w:val="00FC490E"/>
    <w:rsid w:val="00FC4A15"/>
    <w:rsid w:val="00FD0D11"/>
    <w:rsid w:val="00FD3D05"/>
    <w:rsid w:val="00FD7780"/>
    <w:rsid w:val="00FE12B3"/>
    <w:rsid w:val="00FE2C54"/>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A13E1F4"/>
    <w:rsid w:val="1D7500CD"/>
    <w:rsid w:val="210A8FA2"/>
    <w:rsid w:val="23D794B9"/>
    <w:rsid w:val="252AB5DA"/>
    <w:rsid w:val="25C3DAB1"/>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purl.org/dc/terms/"/>
    <ds:schemaRef ds:uri="http://schemas.openxmlformats.org/package/2006/metadata/core-properties"/>
    <ds:schemaRef ds:uri="http://schemas.microsoft.com/office/2006/documentManagement/types"/>
    <ds:schemaRef ds:uri="http://purl.org/dc/elements/1.1/"/>
    <ds:schemaRef ds:uri="80530660-24fd-4391-a7a1-d653900fee43"/>
    <ds:schemaRef ds:uri="http://schemas.microsoft.com/office/infopath/2007/PartnerControls"/>
    <ds:schemaRef ds:uri="http://schemas.microsoft.com/office/2006/metadata/properties"/>
    <ds:schemaRef ds:uri="http://www.w3.org/XML/1998/namespace"/>
    <ds:schemaRef ds:uri="042397af-7977-45ef-9118-11c18c8623b6"/>
    <ds:schemaRef ds:uri="http://purl.org/dc/dcmitype/"/>
  </ds:schemaRefs>
</ds:datastoreItem>
</file>

<file path=customXml/itemProps2.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1332</Words>
  <Characters>7599</Characters>
  <Application>Microsoft Office Word</Application>
  <DocSecurity>0</DocSecurity>
  <Lines>63</Lines>
  <Paragraphs>17</Paragraphs>
  <ScaleCrop>false</ScaleCrop>
  <Company>Intel Corporation</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2021-01-15T03:47:00Z</dcterms:created>
  <dcterms:modified xsi:type="dcterms:W3CDTF">2021-01-15T03:47:00Z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