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8A74C" w14:textId="02C075D7" w:rsidR="00114F90" w:rsidRDefault="00114F90" w:rsidP="1483DFCC">
      <w:pPr>
        <w:pStyle w:val="CRCoverPage"/>
        <w:tabs>
          <w:tab w:val="right" w:pos="9026"/>
        </w:tabs>
        <w:spacing w:after="0"/>
        <w:rPr>
          <w:b/>
          <w:bCs/>
          <w:i/>
          <w:iCs/>
          <w:noProof/>
          <w:sz w:val="28"/>
          <w:szCs w:val="28"/>
        </w:rPr>
      </w:pPr>
      <w:bookmarkStart w:id="0" w:name="_Hlk53842779"/>
      <w:r w:rsidRPr="1483DFCC">
        <w:rPr>
          <w:b/>
          <w:bCs/>
          <w:noProof/>
          <w:sz w:val="24"/>
          <w:szCs w:val="24"/>
        </w:rPr>
        <w:t>3GPP TSG-RAN WG2 Meeting #113-e</w:t>
      </w:r>
      <w:r>
        <w:tab/>
      </w:r>
      <w:r w:rsidR="7DD11759" w:rsidRPr="1483DFCC">
        <w:rPr>
          <w:b/>
          <w:bCs/>
          <w:noProof/>
          <w:sz w:val="24"/>
          <w:szCs w:val="24"/>
        </w:rPr>
        <w:t>R2-2100365</w:t>
      </w:r>
    </w:p>
    <w:p w14:paraId="5E6FD734" w14:textId="77777777" w:rsidR="00114F90" w:rsidRDefault="00114F90" w:rsidP="00114F90">
      <w:pPr>
        <w:pStyle w:val="CRCoverPage"/>
        <w:outlineLvl w:val="0"/>
        <w:rPr>
          <w:b/>
          <w:noProof/>
          <w:sz w:val="24"/>
        </w:rPr>
      </w:pPr>
      <w:r w:rsidRPr="00114F90">
        <w:rPr>
          <w:b/>
          <w:noProof/>
          <w:sz w:val="24"/>
          <w:lang w:val="en-US"/>
        </w:rPr>
        <w:t>Online, Jan 25 – Feb 5,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39FBD43" w14:textId="77777777" w:rsidR="00114F90" w:rsidRPr="009B04CE" w:rsidRDefault="00114F90" w:rsidP="00114F90">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131357">
        <w:rPr>
          <w:rFonts w:cs="Arial"/>
          <w:b/>
          <w:bCs/>
          <w:sz w:val="24"/>
          <w:lang w:val="en-US"/>
        </w:rPr>
        <w:t>8.6.2</w:t>
      </w:r>
    </w:p>
    <w:p w14:paraId="222C5EE0" w14:textId="77777777" w:rsidR="00114F90" w:rsidRPr="00242FBB" w:rsidRDefault="00114F90" w:rsidP="00114F90">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1B407F4F" w14:textId="78127187" w:rsidR="00114F90" w:rsidRPr="00594D7E" w:rsidRDefault="00114F90" w:rsidP="00114F90">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766A81" w:rsidRPr="00766A81">
        <w:rPr>
          <w:rFonts w:ascii="Arial" w:hAnsi="Arial" w:cs="Arial"/>
          <w:b/>
          <w:bCs/>
          <w:sz w:val="24"/>
        </w:rPr>
        <w:t>Common User plane aspects for SDT</w:t>
      </w:r>
    </w:p>
    <w:p w14:paraId="1460BB90" w14:textId="77777777" w:rsidR="00114F90" w:rsidRPr="00242FBB" w:rsidRDefault="00114F90" w:rsidP="00114F90">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5E085030" w14:textId="56C14D35" w:rsidR="00114F90" w:rsidRDefault="00114F90" w:rsidP="00114F90">
      <w:pPr>
        <w:pStyle w:val="Heading1"/>
        <w:rPr>
          <w:lang w:val="en-US"/>
        </w:rPr>
      </w:pPr>
      <w:r w:rsidRPr="0064252A">
        <w:rPr>
          <w:lang w:val="en-US"/>
        </w:rPr>
        <w:t>Introduction</w:t>
      </w:r>
    </w:p>
    <w:p w14:paraId="50BBD121" w14:textId="40BDF977" w:rsidR="00A56076" w:rsidRPr="00A56076" w:rsidRDefault="00A56076" w:rsidP="00A56076">
      <w:pPr>
        <w:rPr>
          <w:lang w:val="en-US"/>
        </w:rPr>
      </w:pPr>
      <w:r>
        <w:rPr>
          <w:lang w:val="en-US"/>
        </w:rPr>
        <w:t xml:space="preserve">This document discusses the user plane aspects for SDT.  </w:t>
      </w:r>
      <w:r w:rsidR="003D0536">
        <w:rPr>
          <w:lang w:val="en-US"/>
        </w:rPr>
        <w:t xml:space="preserve">  The criteria for triggering SDT </w:t>
      </w:r>
      <w:r w:rsidR="00FB1F06">
        <w:rPr>
          <w:lang w:val="en-US"/>
        </w:rPr>
        <w:t>is discussed.  Handling of new data arrival for other SDT DRBs and non-SDT DRBs</w:t>
      </w:r>
      <w:r w:rsidR="001F7D18">
        <w:rPr>
          <w:lang w:val="en-US"/>
        </w:rPr>
        <w:t xml:space="preserve"> is also discussed.  </w:t>
      </w:r>
      <w:r w:rsidR="000F1E15">
        <w:rPr>
          <w:lang w:val="en-US"/>
        </w:rPr>
        <w:t xml:space="preserve">The need to send </w:t>
      </w:r>
      <w:r w:rsidR="001F7D18">
        <w:rPr>
          <w:lang w:val="en-US"/>
        </w:rPr>
        <w:t>PDCP status report</w:t>
      </w:r>
      <w:r w:rsidR="000F1E15">
        <w:rPr>
          <w:lang w:val="en-US"/>
        </w:rPr>
        <w:t>s for each SDT session is also addressed.</w:t>
      </w:r>
      <w:r w:rsidR="00125280">
        <w:rPr>
          <w:lang w:val="en-US"/>
        </w:rPr>
        <w:t xml:space="preserve">  </w:t>
      </w:r>
      <w:proofErr w:type="spellStart"/>
      <w:r w:rsidR="00125280">
        <w:rPr>
          <w:lang w:val="en-US"/>
        </w:rPr>
        <w:t>RoHC</w:t>
      </w:r>
      <w:proofErr w:type="spellEnd"/>
      <w:r w:rsidR="00125280">
        <w:rPr>
          <w:lang w:val="en-US"/>
        </w:rPr>
        <w:t xml:space="preserve"> </w:t>
      </w:r>
      <w:r w:rsidR="00FF2900">
        <w:rPr>
          <w:lang w:val="en-US"/>
        </w:rPr>
        <w:t>handling is also discussed.</w:t>
      </w:r>
    </w:p>
    <w:bookmarkEnd w:id="0"/>
    <w:p w14:paraId="14AEEC6A" w14:textId="77777777" w:rsidR="00114F90" w:rsidRDefault="00114F90" w:rsidP="00114F90">
      <w:pPr>
        <w:pStyle w:val="Heading1"/>
      </w:pPr>
      <w:r>
        <w:t>Discussion</w:t>
      </w:r>
    </w:p>
    <w:p w14:paraId="4D2654AE" w14:textId="77777777" w:rsidR="00F23548" w:rsidRDefault="00F23548" w:rsidP="00F23548">
      <w:pPr>
        <w:pStyle w:val="Heading2"/>
      </w:pPr>
      <w:r>
        <w:t>Criteria to use SDT</w:t>
      </w:r>
    </w:p>
    <w:p w14:paraId="6F5B729A" w14:textId="0C24B18B" w:rsidR="00DB764D" w:rsidRDefault="00F23548" w:rsidP="00F23548">
      <w:r w:rsidRPr="003E34DF">
        <w:t xml:space="preserve">It was agreed that both RA-based and CG-based mechanisms shall be supported for transmission of SDT using the RRC based approach. </w:t>
      </w:r>
      <w:r w:rsidR="00E30EB2">
        <w:t xml:space="preserve"> Applicability of SDT can be configured per DRBs and only DRBs configured for SDT can trigger an SDT access.  </w:t>
      </w:r>
      <w:r w:rsidRPr="003E34DF">
        <w:t xml:space="preserve">In addition, it was agreed that at least data volume threshold is used by the UE to determine whether the UE should perform SDT, although it is not clear how it is defined. </w:t>
      </w:r>
      <w:r w:rsidR="00DB764D">
        <w:t xml:space="preserve">Specifically, for CG-based </w:t>
      </w:r>
      <w:bookmarkStart w:id="1" w:name="_GoBack"/>
      <w:bookmarkEnd w:id="1"/>
      <w:r w:rsidR="00DB764D">
        <w:t xml:space="preserve">access, the following was agreed to be used as the trigger </w:t>
      </w:r>
      <w:r w:rsidR="00DB764D" w:rsidRPr="00DB764D">
        <w:t>(1) user data is smaller than the data volume threshold; (2) configured grant resource is configured and valid; (3) UE has valid TA.</w:t>
      </w:r>
      <w:r w:rsidR="00DB764D">
        <w:t xml:space="preserve"> </w:t>
      </w:r>
    </w:p>
    <w:p w14:paraId="528B6A9B" w14:textId="5248558D" w:rsidR="00F23548" w:rsidRDefault="00DB764D" w:rsidP="00F23548">
      <w:r>
        <w:t>T</w:t>
      </w:r>
      <w:r w:rsidR="00F23548" w:rsidRPr="003E34DF">
        <w:t xml:space="preserve">he need for any additional criteria for triggering SDT </w:t>
      </w:r>
      <w:r>
        <w:t xml:space="preserve">and details of the data volume </w:t>
      </w:r>
      <w:r w:rsidR="00F23548" w:rsidRPr="003E34DF">
        <w:t xml:space="preserve">needs to be discussed. In this regard, we can consider at least the following </w:t>
      </w:r>
      <w:r w:rsidR="00F23548">
        <w:t>aspects</w:t>
      </w:r>
      <w:r w:rsidR="00F23548" w:rsidRPr="003E34DF">
        <w:t>:</w:t>
      </w:r>
    </w:p>
    <w:p w14:paraId="49859C84" w14:textId="77777777" w:rsidR="00F23548" w:rsidRDefault="00F23548" w:rsidP="00F23548">
      <w:pPr>
        <w:pStyle w:val="Heading3"/>
      </w:pPr>
      <w:r>
        <w:t>Data volume threshold</w:t>
      </w:r>
    </w:p>
    <w:p w14:paraId="25D2567C" w14:textId="77777777" w:rsidR="00F23548" w:rsidRDefault="00F23548" w:rsidP="00F23548">
      <w:r>
        <w:t>While the data volume threshold was agreed in the previous meeting, it is still not fully clear what exactly it refers to. For instance, it can refer to a maximum TBS size for SDT, an upper limit on the amount of data in the buffer that the UE initially can transmit (i.e. within the 1</w:t>
      </w:r>
      <w:r w:rsidRPr="2C682AEA">
        <w:rPr>
          <w:vertAlign w:val="superscript"/>
        </w:rPr>
        <w:t>st</w:t>
      </w:r>
      <w:r>
        <w:t xml:space="preserve"> UL message) or the total amount of data that the UE intends to transmit via SDT. In our view, this should be related to the amount of data in the buffer when SDT is first initiated by the UE. If the UE has more data than this data volume threshold, it can serve as an indication that UE should transition to RRC_CONNECTED instead. Note that this data volume threshold can in general be applicable for both 2 step and 4 step RA based SDT.</w:t>
      </w:r>
    </w:p>
    <w:p w14:paraId="114CA76B" w14:textId="6F263AB7" w:rsidR="00F23548" w:rsidRDefault="00F23548" w:rsidP="0058087F">
      <w:pPr>
        <w:pStyle w:val="NP"/>
      </w:pPr>
      <w:r>
        <w:t xml:space="preserve">Data volume threshold to trigger SDT should be defined as an upper limit on the amount of data in the buffer </w:t>
      </w:r>
      <w:r w:rsidR="006A0668">
        <w:t xml:space="preserve">(for SDT DRBs) </w:t>
      </w:r>
      <w:r>
        <w:t>when SDT is first initiated by the UE.</w:t>
      </w:r>
    </w:p>
    <w:p w14:paraId="44BF7B94" w14:textId="77777777" w:rsidR="00F23548" w:rsidRDefault="00F23548" w:rsidP="00F23548">
      <w:pPr>
        <w:pStyle w:val="Heading3"/>
      </w:pPr>
      <w:r>
        <w:t>Additional RSRP criteria</w:t>
      </w:r>
    </w:p>
    <w:p w14:paraId="00F4B017" w14:textId="77777777" w:rsidR="00F23548" w:rsidRDefault="00F23548" w:rsidP="00F23548">
      <w:r>
        <w:t xml:space="preserve">One of the open aspects from the last meeting is the need for a RSRP threshold for allowing SDT. However, it is not clear whether this RSRP criteria is simply to ensure UE’s radio quality and whether or not it is distinct from the threshold for selection between 2-step or 4-step RACH for SDT. In our view, we should first focus on the question of whether we really need a link quality/RSRP criteria to allow UE to trigger SDT. The main argument in favour of having this RSRP criteria seems to be to ensure that the UE is in good cell coverage, presumably to minimize the error rate for a given TBS. However, as the agreement that the UE can send “multiple UL and DL packets as part of the same </w:t>
      </w:r>
      <w:r>
        <w:lastRenderedPageBreak/>
        <w:t xml:space="preserve">SDT mechanism” seems to imply that segmentation is possible during SDT, the RSRP restriction does not seem quite essential. On the other hand, this can provide additional flexibility to the network on whether or not it allows SDT transmission above/below a certain RSRP threshold. So, we think it is ok to optionally support an additional RSRP based criteria (i.e. other than for determination of 2-step and 4-step RACH) for allowing the UE to perform SDT. </w:t>
      </w:r>
    </w:p>
    <w:p w14:paraId="4614153B" w14:textId="28A77B17" w:rsidR="00F23548" w:rsidRDefault="00F23548" w:rsidP="0058087F">
      <w:pPr>
        <w:pStyle w:val="NP"/>
      </w:pPr>
      <w:r>
        <w:t>An (additional) RSRP criteria shall be defined to determine if the UE is allowed to use SDT.</w:t>
      </w:r>
    </w:p>
    <w:p w14:paraId="1F788F93" w14:textId="77777777" w:rsidR="00F23548" w:rsidRDefault="00F23548" w:rsidP="00F23548">
      <w:pPr>
        <w:pStyle w:val="Heading2"/>
      </w:pPr>
      <w:r>
        <w:t>Handling of other RBs without data</w:t>
      </w:r>
    </w:p>
    <w:p w14:paraId="6F28C687" w14:textId="584885A4" w:rsidR="00F23548" w:rsidRDefault="00F23548" w:rsidP="00F23548">
      <w:r>
        <w:t xml:space="preserve">Since the UE may have data only on one DRB when initiating an SDT session, it does not seem essential to restore the other RBs. There are two options – </w:t>
      </w:r>
      <w:r w:rsidR="002D365C">
        <w:t xml:space="preserve">apply the new keys and </w:t>
      </w:r>
      <w:r>
        <w:t xml:space="preserve">restore only the DRB with data or </w:t>
      </w:r>
      <w:r w:rsidR="004D3A84">
        <w:t xml:space="preserve">apply the new keys and restore </w:t>
      </w:r>
      <w:r>
        <w:t xml:space="preserve">all DRBs during an SDT session. </w:t>
      </w:r>
    </w:p>
    <w:p w14:paraId="0A5517DE" w14:textId="565F9F75" w:rsidR="00F23548" w:rsidRDefault="00F23548" w:rsidP="00F23548">
      <w:r>
        <w:t>If the RBs without data are not restored</w:t>
      </w:r>
      <w:r w:rsidR="002D365C">
        <w:t xml:space="preserve"> and</w:t>
      </w:r>
      <w:r>
        <w:t xml:space="preserve"> the new keys are not applied to these RBs</w:t>
      </w:r>
      <w:r w:rsidR="002D365C">
        <w:t xml:space="preserve">, </w:t>
      </w:r>
      <w:r>
        <w:t>there is no need for PDCP re-establishment of the</w:t>
      </w:r>
      <w:r w:rsidR="002D365C">
        <w:t xml:space="preserve">se </w:t>
      </w:r>
      <w:r>
        <w:t xml:space="preserve">DRBs either.  This implies that during a series of data transfers on some DRBs, only the ones that carry data for a SDT session are restored each time with new keys applied and PDCP re-established.  </w:t>
      </w:r>
      <w:r w:rsidR="00AD67F0">
        <w:t xml:space="preserve">For example, if DRB1 had SDT data, then only this DRB1 will have the new keys and PDCP re-stablished.  Other DRBs, say DRB2, will still have the old key and no PDCP re-establishment.  If then DRB2 has data for the next </w:t>
      </w:r>
      <w:r w:rsidR="00E3621D">
        <w:t>SDT session, then DRB2 will apply the new key and PDCP re-established.</w:t>
      </w:r>
      <w:r w:rsidR="00AD67F0">
        <w:t xml:space="preserve"> </w:t>
      </w:r>
    </w:p>
    <w:p w14:paraId="7D8145A2" w14:textId="77777777" w:rsidR="00F23548" w:rsidRDefault="00F23548" w:rsidP="00F23548">
      <w:r>
        <w:t xml:space="preserve">The other option is to restore all RBs and apply the new keys with PDCP re-establishment on all RBs even if there is no data to send on these RBs.  </w:t>
      </w:r>
    </w:p>
    <w:p w14:paraId="4874C1D0" w14:textId="4E78DE88" w:rsidR="00E3621D" w:rsidRDefault="00F23548" w:rsidP="00F23548">
      <w:r>
        <w:t>Either option results in the same externally visible UE behaviour</w:t>
      </w:r>
      <w:r w:rsidR="00E34BE4">
        <w:t xml:space="preserve"> as multiple </w:t>
      </w:r>
      <w:r w:rsidR="00E3621D">
        <w:t xml:space="preserve">successive </w:t>
      </w:r>
      <w:r w:rsidR="00E34BE4">
        <w:t>PDCP re-establishments and applying new keys</w:t>
      </w:r>
      <w:r w:rsidR="00093FDE">
        <w:t xml:space="preserve"> doesn’t change anything when the </w:t>
      </w:r>
      <w:r w:rsidR="00786220">
        <w:t xml:space="preserve">other </w:t>
      </w:r>
      <w:r w:rsidR="00093FDE">
        <w:t>RB has no data</w:t>
      </w:r>
      <w:r>
        <w:t xml:space="preserve">.  </w:t>
      </w:r>
    </w:p>
    <w:p w14:paraId="3B9A84B4" w14:textId="3516D84D" w:rsidR="005F6873" w:rsidRDefault="00093FDE" w:rsidP="00F23548">
      <w:r>
        <w:t xml:space="preserve">However, </w:t>
      </w:r>
      <w:r w:rsidR="00FF284A">
        <w:t>handling of</w:t>
      </w:r>
      <w:r>
        <w:t xml:space="preserve"> new data arriv</w:t>
      </w:r>
      <w:r w:rsidR="00FF284A">
        <w:t xml:space="preserve">al </w:t>
      </w:r>
      <w:r>
        <w:t xml:space="preserve">on one of these DRBs </w:t>
      </w:r>
      <w:r w:rsidR="00FF284A">
        <w:t xml:space="preserve">is simpler if new keys are always applied and PDCP re-established for all RBs.   </w:t>
      </w:r>
      <w:r w:rsidR="005F6873">
        <w:t xml:space="preserve">That is because if these were done at the time of initiating SDT, these RBs are ready to send data; otherwise the application of new keys and PDCP re-establishment has to be performed at the time that this RB starts to send data.  </w:t>
      </w:r>
    </w:p>
    <w:p w14:paraId="1DB4E740" w14:textId="1B6F009D" w:rsidR="00093FDE" w:rsidRDefault="005F6873" w:rsidP="00F23548">
      <w:r>
        <w:t xml:space="preserve">Hence overall from the specification point of view, it is easier to specify that </w:t>
      </w:r>
      <w:r w:rsidR="00AA521E">
        <w:t xml:space="preserve">new keys are always applied and PDCP re-established for </w:t>
      </w:r>
      <w:r>
        <w:t>all RBs</w:t>
      </w:r>
      <w:r w:rsidR="00AA521E">
        <w:t xml:space="preserve"> at the time of initiating SDT (even those that don’t have data).  </w:t>
      </w:r>
      <w:r>
        <w:t xml:space="preserve"> </w:t>
      </w:r>
    </w:p>
    <w:p w14:paraId="0C775078" w14:textId="4B1C4B8A" w:rsidR="00E92A6D" w:rsidRDefault="00BE3206" w:rsidP="00E92A6D">
      <w:pPr>
        <w:pStyle w:val="NO"/>
      </w:pPr>
      <w:r>
        <w:t xml:space="preserve">Data arrival for a new DRB is more difficult to specify </w:t>
      </w:r>
      <w:r w:rsidR="00F5227F">
        <w:t>i</w:t>
      </w:r>
      <w:r w:rsidR="00AF26D0">
        <w:t xml:space="preserve">f only the DRBs with user data apply the new NCC and </w:t>
      </w:r>
      <w:r w:rsidR="005D1E82">
        <w:t xml:space="preserve">perform PDCP </w:t>
      </w:r>
      <w:r w:rsidR="00AF26D0">
        <w:t>re-establishment</w:t>
      </w:r>
      <w:r w:rsidR="00F5227F">
        <w:t xml:space="preserve"> at the time of initiating SDT</w:t>
      </w:r>
      <w:r w:rsidR="005D1E82">
        <w:t xml:space="preserve">.  </w:t>
      </w:r>
    </w:p>
    <w:p w14:paraId="761AFCD4" w14:textId="1C0EE1FB" w:rsidR="00F23548" w:rsidRPr="00074712" w:rsidRDefault="00F23548" w:rsidP="00786220">
      <w:pPr>
        <w:pStyle w:val="NP"/>
      </w:pPr>
      <w:r>
        <w:t xml:space="preserve">All the RBs are restored with new keys and PDCP re-establishment </w:t>
      </w:r>
      <w:r w:rsidR="00AA521E">
        <w:t>when initiating</w:t>
      </w:r>
      <w:r>
        <w:t xml:space="preserve"> an SDT session irrespective of whether they have data or not.</w:t>
      </w:r>
    </w:p>
    <w:p w14:paraId="61E61202" w14:textId="77777777" w:rsidR="00F23548" w:rsidRDefault="00F23548" w:rsidP="00F23548">
      <w:pPr>
        <w:pStyle w:val="Heading2"/>
      </w:pPr>
      <w:r>
        <w:t>Handling new data arrival during SDT session</w:t>
      </w:r>
    </w:p>
    <w:p w14:paraId="524DD488" w14:textId="77777777" w:rsidR="00F23548" w:rsidRDefault="00F23548" w:rsidP="00F23548">
      <w:r>
        <w:t xml:space="preserve">As agreed last meeting, UE can send more than one data packet during SDT.  It is possible that new data may arrive for the UL in the UE, for example, in response to a DL data during an SDT session.  Or possibly new data may arrive in other DRBs.  While these can also potentially be transferred as part of the same SDT session, it brings the discussion on when SDT should be stopped.  </w:t>
      </w:r>
    </w:p>
    <w:p w14:paraId="0EDF3E46" w14:textId="77777777" w:rsidR="00F23548" w:rsidRDefault="00F23548" w:rsidP="00F23548">
      <w:r>
        <w:t>Two possible options are:</w:t>
      </w:r>
    </w:p>
    <w:p w14:paraId="2564C73E" w14:textId="7D03E32E" w:rsidR="00F23548" w:rsidRDefault="00EA16AB" w:rsidP="00F23548">
      <w:pPr>
        <w:pStyle w:val="ListParagraph"/>
        <w:numPr>
          <w:ilvl w:val="0"/>
          <w:numId w:val="4"/>
        </w:numPr>
      </w:pPr>
      <w:r>
        <w:t>UE reports new data to network and l</w:t>
      </w:r>
      <w:r w:rsidR="00F23548">
        <w:t>eave it to network handling.  That is, when the network considers it does not want to continue in SDT for the additional data, network will move UE to either:</w:t>
      </w:r>
    </w:p>
    <w:p w14:paraId="263C57C3" w14:textId="77777777" w:rsidR="00F23548" w:rsidRDefault="00F23548" w:rsidP="00F23548">
      <w:pPr>
        <w:pStyle w:val="ListParagraph"/>
        <w:numPr>
          <w:ilvl w:val="1"/>
          <w:numId w:val="4"/>
        </w:numPr>
      </w:pPr>
      <w:r>
        <w:t>Back to INACTIVE and let UE initiate a new SDT session/Resume for the new data</w:t>
      </w:r>
    </w:p>
    <w:p w14:paraId="73FF9D31" w14:textId="794076B9" w:rsidR="00F23548" w:rsidRDefault="00F23548" w:rsidP="00F23548">
      <w:pPr>
        <w:pStyle w:val="ListParagraph"/>
        <w:numPr>
          <w:ilvl w:val="1"/>
          <w:numId w:val="4"/>
        </w:numPr>
      </w:pPr>
      <w:r>
        <w:t xml:space="preserve">Fallback to CONNECTED to continue with the new data.  For this, it should be possible to send Resume message </w:t>
      </w:r>
      <w:r w:rsidR="005F2C97">
        <w:t xml:space="preserve">and initiate fallback </w:t>
      </w:r>
      <w:r>
        <w:t>at any time during the SDT session.</w:t>
      </w:r>
    </w:p>
    <w:p w14:paraId="303E5A56" w14:textId="77777777" w:rsidR="00F23548" w:rsidRDefault="00F23548" w:rsidP="00F23548">
      <w:pPr>
        <w:pStyle w:val="ListParagraph"/>
        <w:numPr>
          <w:ilvl w:val="0"/>
          <w:numId w:val="4"/>
        </w:numPr>
      </w:pPr>
      <w:r>
        <w:t>Not allow UE to send new data as part of this SDT session</w:t>
      </w:r>
    </w:p>
    <w:p w14:paraId="631C60B1" w14:textId="0BE0659E" w:rsidR="00F23548" w:rsidRDefault="00F23548" w:rsidP="00F23548">
      <w:r>
        <w:t xml:space="preserve">Allowing fallback to Connected is most efficient </w:t>
      </w:r>
      <w:r w:rsidR="00E27974">
        <w:t>at the expense of</w:t>
      </w:r>
      <w:r>
        <w:t xml:space="preserve"> some additional complexity.  We have a slight preference to allow network to move UE to connected at any time</w:t>
      </w:r>
      <w:r w:rsidR="00EA16AB">
        <w:t xml:space="preserve"> as it is provides slightly better performance </w:t>
      </w:r>
      <w:r w:rsidR="007E6E0E">
        <w:t xml:space="preserve">and additional flexibility </w:t>
      </w:r>
      <w:r w:rsidR="00EA16AB">
        <w:t>with minimal additional complexity</w:t>
      </w:r>
      <w:r>
        <w:t>.</w:t>
      </w:r>
      <w:r w:rsidR="00187914">
        <w:t xml:space="preserve">  As proposed in [1], network should be allowed to initiate fallback to connected </w:t>
      </w:r>
      <w:r w:rsidR="001F3117">
        <w:t xml:space="preserve">at any time </w:t>
      </w:r>
      <w:r w:rsidR="001E2505">
        <w:t>during an SDT session.</w:t>
      </w:r>
    </w:p>
    <w:p w14:paraId="52B66321" w14:textId="442E7420" w:rsidR="00F23548" w:rsidRPr="00A9450C" w:rsidRDefault="00F23548" w:rsidP="00F53477">
      <w:pPr>
        <w:pStyle w:val="NP"/>
      </w:pPr>
      <w:r>
        <w:t>For new data arrival during an SDT session</w:t>
      </w:r>
      <w:r w:rsidR="000742E4">
        <w:t xml:space="preserve"> for any DRB</w:t>
      </w:r>
      <w:r>
        <w:t xml:space="preserve">, </w:t>
      </w:r>
      <w:r w:rsidR="000742E4">
        <w:t xml:space="preserve">UE reports it to the network and </w:t>
      </w:r>
      <w:r>
        <w:t>leave</w:t>
      </w:r>
      <w:r w:rsidR="000742E4">
        <w:t>s</w:t>
      </w:r>
      <w:r>
        <w:t xml:space="preserve"> it to network implementation whether to continue with SDT or </w:t>
      </w:r>
      <w:r w:rsidR="00144AD7">
        <w:t xml:space="preserve">fallback to </w:t>
      </w:r>
      <w:r>
        <w:t>UE CONNECTED</w:t>
      </w:r>
      <w:r w:rsidR="00144AD7">
        <w:t xml:space="preserve"> in the middle of SDT session</w:t>
      </w:r>
      <w:r>
        <w:t>.</w:t>
      </w:r>
    </w:p>
    <w:p w14:paraId="3B1493D8" w14:textId="77777777" w:rsidR="00F23548" w:rsidRPr="00F23548" w:rsidRDefault="00F23548" w:rsidP="00F23548"/>
    <w:p w14:paraId="60E9AA57" w14:textId="77777777" w:rsidR="00BF3DCC" w:rsidRDefault="00BF3DCC" w:rsidP="00A766EB">
      <w:pPr>
        <w:pStyle w:val="Heading2"/>
      </w:pPr>
      <w:r>
        <w:t>PDCP status reports</w:t>
      </w:r>
    </w:p>
    <w:p w14:paraId="4076DB4E" w14:textId="7436FAE9" w:rsidR="00BF3DCC" w:rsidRDefault="003D438C" w:rsidP="00BF3DCC">
      <w:r>
        <w:t xml:space="preserve">When PDCP is re-established, status reports are generated by the UE if configured to do so.  This configuration is </w:t>
      </w:r>
      <w:r w:rsidR="00D60551">
        <w:t xml:space="preserve">per DRB and applicable for all procedures.  During Resume procedure, the status reports are not helpful to the network as there is no data transmission ongoing before the Resume.  This was discussed in R2-112e with the agreement that UE shall send the status report </w:t>
      </w:r>
      <w:r w:rsidR="00FF30B5">
        <w:t xml:space="preserve">when PDCP is re-established </w:t>
      </w:r>
      <w:r w:rsidR="00D60551">
        <w:t xml:space="preserve">even if it is not essential during a Resume procedure.  </w:t>
      </w:r>
      <w:r w:rsidR="00FF30B5">
        <w:t>For SDT, these status reports would need to be sent with every SDT session and could contribute to a significant increase in the volume of SDT traffic.</w:t>
      </w:r>
      <w:r w:rsidR="003D68EF">
        <w:t xml:space="preserve">   It is hence proposed to suppress these PDCP status reports during a PDCP re-establishment for SDT.  </w:t>
      </w:r>
    </w:p>
    <w:p w14:paraId="7C44B9C5" w14:textId="75AFC650" w:rsidR="003D68EF" w:rsidRDefault="003D68EF" w:rsidP="00162E8F">
      <w:pPr>
        <w:pStyle w:val="NP"/>
      </w:pPr>
      <w:r>
        <w:t xml:space="preserve"> PDCP status reports are not sent during PDCP re-establishment for SDT.</w:t>
      </w:r>
    </w:p>
    <w:p w14:paraId="5293BC8F" w14:textId="77777777" w:rsidR="006F06C2" w:rsidRDefault="006F06C2" w:rsidP="006F06C2">
      <w:pPr>
        <w:pStyle w:val="Heading3"/>
      </w:pPr>
      <w:r>
        <w:t>Header compression</w:t>
      </w:r>
    </w:p>
    <w:p w14:paraId="08B59DFB" w14:textId="77777777" w:rsidR="006F06C2" w:rsidRDefault="006F06C2" w:rsidP="006F06C2">
      <w:r>
        <w:t xml:space="preserve">Currently for INACTIVE, </w:t>
      </w:r>
      <w:proofErr w:type="spellStart"/>
      <w:r>
        <w:t>RoHC</w:t>
      </w:r>
      <w:proofErr w:type="spellEnd"/>
      <w:r>
        <w:t xml:space="preserve"> header compression state is not continued during Resume.  For SDT, as only one or two packets may be exchanged per SDT session, continuing </w:t>
      </w:r>
      <w:proofErr w:type="spellStart"/>
      <w:r>
        <w:t>RoHC</w:t>
      </w:r>
      <w:proofErr w:type="spellEnd"/>
      <w:r>
        <w:t xml:space="preserve"> compression across SDT sessions can reduce the overhead significantly for that UE.  </w:t>
      </w:r>
    </w:p>
    <w:p w14:paraId="3A7A6C78" w14:textId="77777777" w:rsidR="006F06C2" w:rsidRDefault="006F06C2" w:rsidP="006F06C2">
      <w:pPr>
        <w:pStyle w:val="NO"/>
      </w:pPr>
      <w:r>
        <w:t>Continuing header compression across SDT sessions can reduce overheads.</w:t>
      </w:r>
    </w:p>
    <w:p w14:paraId="059FF99C" w14:textId="77777777" w:rsidR="006F06C2" w:rsidRDefault="006F06C2" w:rsidP="006F06C2">
      <w:r>
        <w:t xml:space="preserve">UE needs to know in advance at the time of sending data whether to continue with </w:t>
      </w:r>
      <w:proofErr w:type="spellStart"/>
      <w:r>
        <w:t>RoHC</w:t>
      </w:r>
      <w:proofErr w:type="spellEnd"/>
      <w:r>
        <w:t xml:space="preserve"> state or not.   That is, it would need to know before starting the SDT session whether the network can continue </w:t>
      </w:r>
      <w:proofErr w:type="spellStart"/>
      <w:r>
        <w:t>RoHC</w:t>
      </w:r>
      <w:proofErr w:type="spellEnd"/>
      <w:r>
        <w:t xml:space="preserve"> or whether the context is relocated.  </w:t>
      </w:r>
    </w:p>
    <w:p w14:paraId="65378A1F" w14:textId="77777777" w:rsidR="006F06C2" w:rsidRDefault="006F06C2" w:rsidP="006F06C2">
      <w:r>
        <w:t xml:space="preserve">During handover in NR, header compression may be continued during HO based on network indication in the HO command.  Typically, it can be continued  when the </w:t>
      </w:r>
      <w:proofErr w:type="spellStart"/>
      <w:r>
        <w:t>RoHC</w:t>
      </w:r>
      <w:proofErr w:type="spellEnd"/>
      <w:r>
        <w:t xml:space="preserve"> context is not relocated during the HO and sometimes, depending on implementation, even with </w:t>
      </w:r>
      <w:proofErr w:type="spellStart"/>
      <w:r>
        <w:t>RoHC</w:t>
      </w:r>
      <w:proofErr w:type="spellEnd"/>
      <w:r>
        <w:t xml:space="preserve"> context relocation (though this </w:t>
      </w:r>
      <w:proofErr w:type="spellStart"/>
      <w:r>
        <w:t>RoHC</w:t>
      </w:r>
      <w:proofErr w:type="spellEnd"/>
      <w:r>
        <w:t xml:space="preserve"> context transfer procedure on the network side is not specified). </w:t>
      </w:r>
    </w:p>
    <w:p w14:paraId="1EBAA6CC" w14:textId="77777777" w:rsidR="006F06C2" w:rsidRDefault="006F06C2" w:rsidP="006F06C2">
      <w:r>
        <w:t xml:space="preserve">Following the same logic for SDT, it should be possible to continue </w:t>
      </w:r>
      <w:proofErr w:type="spellStart"/>
      <w:r>
        <w:t>RoHC</w:t>
      </w:r>
      <w:proofErr w:type="spellEnd"/>
      <w:r>
        <w:t xml:space="preserve"> when the SDT session is not relocated.  This could be due to resumption in the same CU region or due to anchoring.   On the other hand, if the context is relocated it may not be possible for </w:t>
      </w:r>
      <w:proofErr w:type="spellStart"/>
      <w:r>
        <w:t>RoHC</w:t>
      </w:r>
      <w:proofErr w:type="spellEnd"/>
      <w:r>
        <w:t xml:space="preserve"> to continue after relocation.  The decision whether to relocate or not is dependant on factors such as cell in which UE is resuming, which network is aware only after network receives the SDT.  Hence, it is not possible to indicate in advance to the UE whether to continue </w:t>
      </w:r>
      <w:proofErr w:type="spellStart"/>
      <w:r>
        <w:t>RoHC</w:t>
      </w:r>
      <w:proofErr w:type="spellEnd"/>
      <w:r>
        <w:t xml:space="preserve"> or not for SDT.</w:t>
      </w:r>
    </w:p>
    <w:p w14:paraId="799DAA49" w14:textId="77777777" w:rsidR="006F06C2" w:rsidRDefault="006F06C2" w:rsidP="006F06C2">
      <w:pPr>
        <w:pStyle w:val="NO"/>
      </w:pPr>
      <w:r>
        <w:t xml:space="preserve">Decision whether to continue </w:t>
      </w:r>
      <w:proofErr w:type="spellStart"/>
      <w:r>
        <w:t>RoHC</w:t>
      </w:r>
      <w:proofErr w:type="spellEnd"/>
      <w:r>
        <w:t xml:space="preserve"> has to be known at the UE before SDT while the network decision of whether to perform context relocation is taken only after network receives SDT.</w:t>
      </w:r>
    </w:p>
    <w:p w14:paraId="309AABFB" w14:textId="77777777" w:rsidR="006F06C2" w:rsidRDefault="006F06C2" w:rsidP="006F06C2">
      <w:r>
        <w:t xml:space="preserve">One possibility is allow </w:t>
      </w:r>
      <w:proofErr w:type="spellStart"/>
      <w:r>
        <w:t>RoHC</w:t>
      </w:r>
      <w:proofErr w:type="spellEnd"/>
      <w:r>
        <w:t xml:space="preserve"> to continue only in the same cell for SDT.  Alternatively, it could be allowed to continue </w:t>
      </w:r>
      <w:proofErr w:type="spellStart"/>
      <w:r>
        <w:t>RoHC</w:t>
      </w:r>
      <w:proofErr w:type="spellEnd"/>
      <w:r>
        <w:t xml:space="preserve"> within a certain area – such as within an RNA.  And this could also be under control of the network; that is, the network can indicate this to the UE as part of the SDT configuration (e.g., in the RRC release message) that sent to the UE to INACTIVE prior to the SDT session.   For example, this indication can be, “continue </w:t>
      </w:r>
      <w:proofErr w:type="spellStart"/>
      <w:r>
        <w:t>RoHC</w:t>
      </w:r>
      <w:proofErr w:type="spellEnd"/>
      <w:r>
        <w:t xml:space="preserve"> within the same cell”.  With this indication, UE will continue </w:t>
      </w:r>
      <w:proofErr w:type="spellStart"/>
      <w:r>
        <w:t>RoHC</w:t>
      </w:r>
      <w:proofErr w:type="spellEnd"/>
      <w:r>
        <w:t xml:space="preserve"> only in the same cell.  </w:t>
      </w:r>
    </w:p>
    <w:p w14:paraId="38C48098" w14:textId="77777777" w:rsidR="006F06C2" w:rsidRDefault="006F06C2" w:rsidP="006F06C2">
      <w:pPr>
        <w:pStyle w:val="NP"/>
      </w:pPr>
      <w:r>
        <w:t xml:space="preserve">Network can control using SDT configuration (e.g., in RRC release message) whether UE should continue </w:t>
      </w:r>
      <w:proofErr w:type="spellStart"/>
      <w:r>
        <w:t>RoHC</w:t>
      </w:r>
      <w:proofErr w:type="spellEnd"/>
      <w:r>
        <w:t xml:space="preserve"> state or not.  This could be further restricted to continue only in a region such as same cell or same RNA.  </w:t>
      </w:r>
    </w:p>
    <w:p w14:paraId="6B0D9FED" w14:textId="77777777" w:rsidR="00FF30B5" w:rsidRDefault="00FF30B5" w:rsidP="00BF3DCC"/>
    <w:p w14:paraId="569AC620" w14:textId="62200ABE" w:rsidR="00114F90" w:rsidRDefault="00114F90" w:rsidP="00114F90">
      <w:pPr>
        <w:pStyle w:val="Heading1"/>
      </w:pPr>
      <w:r>
        <w:t>Summary and conclusions</w:t>
      </w:r>
    </w:p>
    <w:p w14:paraId="02490401" w14:textId="1F061020" w:rsidR="00162E8F" w:rsidRDefault="00A56076" w:rsidP="00162E8F">
      <w:r>
        <w:t xml:space="preserve">This document discuss various aspects of user plane for SDT.  The following proposals and observations were made. </w:t>
      </w:r>
    </w:p>
    <w:p w14:paraId="06023AF8" w14:textId="6810BC51" w:rsidR="00B77CCC" w:rsidRDefault="00B77CCC" w:rsidP="00B77CCC">
      <w:r w:rsidRPr="00B77CCC">
        <w:rPr>
          <w:b/>
          <w:bCs/>
        </w:rPr>
        <w:t>Proposal 1:</w:t>
      </w:r>
      <w:r>
        <w:tab/>
        <w:t>Data volume threshold to trigger SDT should be defined as an upper limit on the amount of data in the buffer (for SDT DRBs) when SDT is first initiated by the UE.</w:t>
      </w:r>
    </w:p>
    <w:p w14:paraId="1E9CE934" w14:textId="4620D491" w:rsidR="00B77CCC" w:rsidRDefault="00B77CCC" w:rsidP="00B77CCC">
      <w:r w:rsidRPr="00B77CCC">
        <w:rPr>
          <w:b/>
          <w:bCs/>
        </w:rPr>
        <w:t>Proposal 2:</w:t>
      </w:r>
      <w:r>
        <w:tab/>
        <w:t>An (additional) RSRP criteria shall be defined to determine if the UE is allowed to use SDT.</w:t>
      </w:r>
    </w:p>
    <w:p w14:paraId="04AB30B5" w14:textId="412E4ADC" w:rsidR="00B77CCC" w:rsidRDefault="00B77CCC" w:rsidP="00B77CCC">
      <w:r w:rsidRPr="00B77CCC">
        <w:rPr>
          <w:b/>
          <w:bCs/>
        </w:rPr>
        <w:t>Observation 1:</w:t>
      </w:r>
      <w:r>
        <w:tab/>
        <w:t xml:space="preserve">Data arrival for a new DRB is more difficult to specify if only the DRBs with user data apply the new NCC and perform PDCP re-establishment at the time of initiating SDT.  </w:t>
      </w:r>
    </w:p>
    <w:p w14:paraId="367847CD" w14:textId="0F5F5265" w:rsidR="00B77CCC" w:rsidRDefault="00B77CCC" w:rsidP="00B77CCC">
      <w:r w:rsidRPr="00B77CCC">
        <w:rPr>
          <w:b/>
          <w:bCs/>
        </w:rPr>
        <w:t>Proposal 3:</w:t>
      </w:r>
      <w:r>
        <w:tab/>
        <w:t>All the RBs are restored with new keys and PDCP re-establishment when initiating an SDT session irrespective of whether they have data or not.</w:t>
      </w:r>
    </w:p>
    <w:p w14:paraId="3F675838" w14:textId="11ED50CB" w:rsidR="00B77CCC" w:rsidRDefault="00B77CCC" w:rsidP="00B77CCC">
      <w:r w:rsidRPr="00B77CCC">
        <w:rPr>
          <w:b/>
          <w:bCs/>
        </w:rPr>
        <w:t>Proposal 4:</w:t>
      </w:r>
      <w:r>
        <w:tab/>
        <w:t>For new data arrival during an SDT session for any DRB, UE reports it to the network and leaves it to network implementation whether to continue with SDT or fallback to UE CONNECTED in the middle of SDT session.</w:t>
      </w:r>
    </w:p>
    <w:p w14:paraId="46A56667" w14:textId="25B5E896" w:rsidR="00B77CCC" w:rsidRDefault="00B77CCC" w:rsidP="00B77CCC">
      <w:r w:rsidRPr="00B77CCC">
        <w:rPr>
          <w:b/>
          <w:bCs/>
        </w:rPr>
        <w:t>Proposal 5:</w:t>
      </w:r>
      <w:r>
        <w:tab/>
        <w:t xml:space="preserve"> PDCP status reports are not sent during PDCP re-establishment for SDT.</w:t>
      </w:r>
    </w:p>
    <w:p w14:paraId="4EA878AA" w14:textId="39B6DC7E" w:rsidR="001B1135" w:rsidRDefault="00AC63EB" w:rsidP="00B77CCC">
      <w:r w:rsidRPr="00AC63EB">
        <w:rPr>
          <w:b/>
          <w:bCs/>
        </w:rPr>
        <w:t>Observation 2:</w:t>
      </w:r>
      <w:r w:rsidR="001B1135" w:rsidRPr="001B1135">
        <w:tab/>
        <w:t>Continuing header compression across SDT sessions can reduce overheads.</w:t>
      </w:r>
    </w:p>
    <w:p w14:paraId="08F1AF74" w14:textId="50858A04" w:rsidR="001B1135" w:rsidRDefault="00AC63EB" w:rsidP="00B77CCC">
      <w:r w:rsidRPr="00AC63EB">
        <w:rPr>
          <w:b/>
          <w:bCs/>
        </w:rPr>
        <w:t>Observation 3:</w:t>
      </w:r>
      <w:r w:rsidR="001B1135" w:rsidRPr="001B1135">
        <w:tab/>
        <w:t xml:space="preserve">Decision whether to continue </w:t>
      </w:r>
      <w:proofErr w:type="spellStart"/>
      <w:r w:rsidR="001B1135" w:rsidRPr="001B1135">
        <w:t>RoHC</w:t>
      </w:r>
      <w:proofErr w:type="spellEnd"/>
      <w:r w:rsidR="001B1135" w:rsidRPr="001B1135">
        <w:t xml:space="preserve"> has to be known at the UE before SDT while the network decision of whether to perform context relocation is taken only after network receives SDT.</w:t>
      </w:r>
    </w:p>
    <w:p w14:paraId="5A57C630" w14:textId="7C2CA35A" w:rsidR="00AC63EB" w:rsidRDefault="00AC63EB" w:rsidP="00B77CCC">
      <w:r w:rsidRPr="00AC63EB">
        <w:rPr>
          <w:b/>
          <w:bCs/>
        </w:rPr>
        <w:t>Proposal 6:</w:t>
      </w:r>
      <w:r w:rsidRPr="00AC63EB">
        <w:tab/>
        <w:t xml:space="preserve">Network can control using SDT configuration (e.g., in RRC release message) whether UE should continue </w:t>
      </w:r>
      <w:proofErr w:type="spellStart"/>
      <w:r w:rsidRPr="00AC63EB">
        <w:t>RoHC</w:t>
      </w:r>
      <w:proofErr w:type="spellEnd"/>
      <w:r w:rsidRPr="00AC63EB">
        <w:t xml:space="preserve"> state or not.  This could be further restricted to continue only in a region such as same cell or same RNA.  </w:t>
      </w:r>
    </w:p>
    <w:p w14:paraId="38CCCB5E" w14:textId="2897E7C4" w:rsidR="001E2505" w:rsidRDefault="001E2505" w:rsidP="001E2505">
      <w:pPr>
        <w:pStyle w:val="Heading1"/>
      </w:pPr>
      <w:r>
        <w:t>References</w:t>
      </w:r>
    </w:p>
    <w:p w14:paraId="66A30612" w14:textId="61C5A0FB" w:rsidR="001E2505" w:rsidRPr="001E2505" w:rsidRDefault="001E2505" w:rsidP="001E2505">
      <w:r>
        <w:t xml:space="preserve">[1] </w:t>
      </w:r>
      <w:r w:rsidR="00B77CCC" w:rsidRPr="00B77CCC">
        <w:t>R2-2100366</w:t>
      </w:r>
      <w:r w:rsidR="00B77CCC" w:rsidRPr="00B77CCC">
        <w:tab/>
        <w:t>Common Control plane aspects for SDT</w:t>
      </w:r>
      <w:r w:rsidR="00B77CCC" w:rsidRPr="00B77CCC">
        <w:tab/>
        <w:t>Intel Corporation</w:t>
      </w:r>
      <w:r w:rsidR="00B77CCC" w:rsidRPr="00B77CCC">
        <w:tab/>
        <w:t>discussion</w:t>
      </w:r>
    </w:p>
    <w:sectPr w:rsidR="001E2505" w:rsidRPr="001E2505">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3614B43" w16cex:dateUtc="2021-01-14T14:05:12.279Z"/>
  <w16cex:commentExtensible w16cex:durableId="773DC9FD" w16cex:dateUtc="2021-01-14T14:06:48.9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6BA9D" w14:textId="77777777" w:rsidR="00EE0B59" w:rsidRDefault="00EE0B59" w:rsidP="00A502BC">
      <w:pPr>
        <w:spacing w:after="0" w:line="240" w:lineRule="auto"/>
      </w:pPr>
      <w:r>
        <w:separator/>
      </w:r>
    </w:p>
  </w:endnote>
  <w:endnote w:type="continuationSeparator" w:id="0">
    <w:p w14:paraId="7DF3CD90" w14:textId="77777777" w:rsidR="00EE0B59" w:rsidRDefault="00EE0B59" w:rsidP="00A502BC">
      <w:pPr>
        <w:spacing w:after="0" w:line="240" w:lineRule="auto"/>
      </w:pPr>
      <w:r>
        <w:continuationSeparator/>
      </w:r>
    </w:p>
  </w:endnote>
  <w:endnote w:type="continuationNotice" w:id="1">
    <w:p w14:paraId="6B14B93D" w14:textId="77777777" w:rsidR="00EE0B59" w:rsidRDefault="00EE0B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29A1F" w14:textId="77777777" w:rsidR="00EE0B59" w:rsidRDefault="00EE0B59" w:rsidP="00A502BC">
      <w:pPr>
        <w:spacing w:after="0" w:line="240" w:lineRule="auto"/>
      </w:pPr>
      <w:r>
        <w:separator/>
      </w:r>
    </w:p>
  </w:footnote>
  <w:footnote w:type="continuationSeparator" w:id="0">
    <w:p w14:paraId="45489A90" w14:textId="77777777" w:rsidR="00EE0B59" w:rsidRDefault="00EE0B59" w:rsidP="00A502BC">
      <w:pPr>
        <w:spacing w:after="0" w:line="240" w:lineRule="auto"/>
      </w:pPr>
      <w:r>
        <w:continuationSeparator/>
      </w:r>
    </w:p>
  </w:footnote>
  <w:footnote w:type="continuationNotice" w:id="1">
    <w:p w14:paraId="79D4DBBD" w14:textId="77777777" w:rsidR="00EE0B59" w:rsidRDefault="00EE0B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924D6"/>
    <w:multiLevelType w:val="hybridMultilevel"/>
    <w:tmpl w:val="EFF8BDDC"/>
    <w:lvl w:ilvl="0" w:tplc="0FF45112">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1E655C"/>
    <w:multiLevelType w:val="hybridMultilevel"/>
    <w:tmpl w:val="494C5050"/>
    <w:lvl w:ilvl="0" w:tplc="C2107BE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421AB2"/>
    <w:multiLevelType w:val="hybridMultilevel"/>
    <w:tmpl w:val="B76AD11E"/>
    <w:lvl w:ilvl="0" w:tplc="D68C706E">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2A0A4B"/>
    <w:multiLevelType w:val="hybridMultilevel"/>
    <w:tmpl w:val="838E4846"/>
    <w:lvl w:ilvl="0" w:tplc="03146D28">
      <w:start w:val="1"/>
      <w:numFmt w:val="decimal"/>
      <w:lvlText w:val="Observation %1."/>
      <w:lvlJc w:val="left"/>
      <w:pPr>
        <w:ind w:left="720" w:hanging="360"/>
      </w:pPr>
      <w:rPr>
        <w:rFonts w:ascii="Arial" w:hAnsi="Arial"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DB3C0D"/>
    <w:multiLevelType w:val="hybridMultilevel"/>
    <w:tmpl w:val="F2B8319E"/>
    <w:lvl w:ilvl="0" w:tplc="03146D28">
      <w:start w:val="1"/>
      <w:numFmt w:val="decimal"/>
      <w:lvlText w:val="Observation %1."/>
      <w:lvlJc w:val="left"/>
      <w:pPr>
        <w:ind w:left="720" w:hanging="360"/>
      </w:pPr>
      <w:rPr>
        <w:rFonts w:ascii="Arial" w:hAnsi="Arial"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451C64"/>
    <w:multiLevelType w:val="hybridMultilevel"/>
    <w:tmpl w:val="F6FA7616"/>
    <w:lvl w:ilvl="0" w:tplc="C2107BE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2C34FB"/>
    <w:multiLevelType w:val="hybridMultilevel"/>
    <w:tmpl w:val="C122BB32"/>
    <w:lvl w:ilvl="0" w:tplc="0FF4511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E07074E"/>
    <w:multiLevelType w:val="hybridMultilevel"/>
    <w:tmpl w:val="7780D6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D903E6"/>
    <w:multiLevelType w:val="multilevel"/>
    <w:tmpl w:val="6C08F1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6"/>
  </w:num>
  <w:num w:numId="3">
    <w:abstractNumId w:val="4"/>
  </w:num>
  <w:num w:numId="4">
    <w:abstractNumId w:val="10"/>
  </w:num>
  <w:num w:numId="5">
    <w:abstractNumId w:val="2"/>
  </w:num>
  <w:num w:numId="6">
    <w:abstractNumId w:val="1"/>
  </w:num>
  <w:num w:numId="7">
    <w:abstractNumId w:val="7"/>
  </w:num>
  <w:num w:numId="8">
    <w:abstractNumId w:val="8"/>
  </w:num>
  <w:num w:numId="9">
    <w:abstractNumId w:val="5"/>
  </w:num>
  <w:num w:numId="10">
    <w:abstractNumId w:val="0"/>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F90"/>
    <w:rsid w:val="000020E4"/>
    <w:rsid w:val="00002599"/>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241"/>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2E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3FDE"/>
    <w:rsid w:val="00095A4A"/>
    <w:rsid w:val="000A0D11"/>
    <w:rsid w:val="000A31A1"/>
    <w:rsid w:val="000A5529"/>
    <w:rsid w:val="000A6AC1"/>
    <w:rsid w:val="000A6C96"/>
    <w:rsid w:val="000A6F4D"/>
    <w:rsid w:val="000A75B0"/>
    <w:rsid w:val="000B25E0"/>
    <w:rsid w:val="000B4A78"/>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1E1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4F90"/>
    <w:rsid w:val="00115FE6"/>
    <w:rsid w:val="001163D6"/>
    <w:rsid w:val="001213C0"/>
    <w:rsid w:val="00122CA0"/>
    <w:rsid w:val="0012303A"/>
    <w:rsid w:val="00124DAB"/>
    <w:rsid w:val="00125280"/>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AD7"/>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E8F"/>
    <w:rsid w:val="0016368A"/>
    <w:rsid w:val="00164CF9"/>
    <w:rsid w:val="00171235"/>
    <w:rsid w:val="00172FC5"/>
    <w:rsid w:val="0017390B"/>
    <w:rsid w:val="00175A92"/>
    <w:rsid w:val="0017787C"/>
    <w:rsid w:val="0018188C"/>
    <w:rsid w:val="00181A67"/>
    <w:rsid w:val="001834AD"/>
    <w:rsid w:val="0018435C"/>
    <w:rsid w:val="001850B3"/>
    <w:rsid w:val="00187470"/>
    <w:rsid w:val="00187914"/>
    <w:rsid w:val="00187FB9"/>
    <w:rsid w:val="00187FFE"/>
    <w:rsid w:val="00191A56"/>
    <w:rsid w:val="0019358F"/>
    <w:rsid w:val="0019422D"/>
    <w:rsid w:val="001944FA"/>
    <w:rsid w:val="00194D69"/>
    <w:rsid w:val="001955D2"/>
    <w:rsid w:val="001959D0"/>
    <w:rsid w:val="00196711"/>
    <w:rsid w:val="00196E99"/>
    <w:rsid w:val="00197C69"/>
    <w:rsid w:val="001A09BB"/>
    <w:rsid w:val="001A1895"/>
    <w:rsid w:val="001A3BA3"/>
    <w:rsid w:val="001A3C5F"/>
    <w:rsid w:val="001A4DA3"/>
    <w:rsid w:val="001A560F"/>
    <w:rsid w:val="001A561D"/>
    <w:rsid w:val="001A6FFA"/>
    <w:rsid w:val="001A7814"/>
    <w:rsid w:val="001B0972"/>
    <w:rsid w:val="001B0BAB"/>
    <w:rsid w:val="001B0E96"/>
    <w:rsid w:val="001B0F8C"/>
    <w:rsid w:val="001B1135"/>
    <w:rsid w:val="001B374D"/>
    <w:rsid w:val="001B3819"/>
    <w:rsid w:val="001B409B"/>
    <w:rsid w:val="001B4461"/>
    <w:rsid w:val="001B44DB"/>
    <w:rsid w:val="001B4724"/>
    <w:rsid w:val="001B479E"/>
    <w:rsid w:val="001B5F7F"/>
    <w:rsid w:val="001B7242"/>
    <w:rsid w:val="001B79BF"/>
    <w:rsid w:val="001C0FA5"/>
    <w:rsid w:val="001C1A9F"/>
    <w:rsid w:val="001C4EC1"/>
    <w:rsid w:val="001C6CEB"/>
    <w:rsid w:val="001C6F55"/>
    <w:rsid w:val="001D1718"/>
    <w:rsid w:val="001D1C57"/>
    <w:rsid w:val="001D2345"/>
    <w:rsid w:val="001D24BC"/>
    <w:rsid w:val="001D25F9"/>
    <w:rsid w:val="001D33A9"/>
    <w:rsid w:val="001D3C86"/>
    <w:rsid w:val="001D5B46"/>
    <w:rsid w:val="001D72BF"/>
    <w:rsid w:val="001D7312"/>
    <w:rsid w:val="001E21D2"/>
    <w:rsid w:val="001E2505"/>
    <w:rsid w:val="001E662C"/>
    <w:rsid w:val="001E6B62"/>
    <w:rsid w:val="001F00E4"/>
    <w:rsid w:val="001F14D8"/>
    <w:rsid w:val="001F1673"/>
    <w:rsid w:val="001F27E4"/>
    <w:rsid w:val="001F3117"/>
    <w:rsid w:val="001F3A61"/>
    <w:rsid w:val="001F3C1E"/>
    <w:rsid w:val="001F42EE"/>
    <w:rsid w:val="001F4B9B"/>
    <w:rsid w:val="001F5CEB"/>
    <w:rsid w:val="001F6AB1"/>
    <w:rsid w:val="001F7D18"/>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A87"/>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C7A89"/>
    <w:rsid w:val="002D05E1"/>
    <w:rsid w:val="002D0BEC"/>
    <w:rsid w:val="002D0C22"/>
    <w:rsid w:val="002D0EE4"/>
    <w:rsid w:val="002D14EE"/>
    <w:rsid w:val="002D22A9"/>
    <w:rsid w:val="002D3114"/>
    <w:rsid w:val="002D365C"/>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5D4A"/>
    <w:rsid w:val="003367FF"/>
    <w:rsid w:val="00340D92"/>
    <w:rsid w:val="003436E2"/>
    <w:rsid w:val="003447D9"/>
    <w:rsid w:val="0034522E"/>
    <w:rsid w:val="003469E0"/>
    <w:rsid w:val="00347B61"/>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2BC"/>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536"/>
    <w:rsid w:val="003D0607"/>
    <w:rsid w:val="003D1328"/>
    <w:rsid w:val="003D20E7"/>
    <w:rsid w:val="003D22BA"/>
    <w:rsid w:val="003D2EAB"/>
    <w:rsid w:val="003D3456"/>
    <w:rsid w:val="003D34A3"/>
    <w:rsid w:val="003D367D"/>
    <w:rsid w:val="003D438C"/>
    <w:rsid w:val="003D44D2"/>
    <w:rsid w:val="003D4C8E"/>
    <w:rsid w:val="003D598F"/>
    <w:rsid w:val="003D5CD7"/>
    <w:rsid w:val="003D68EF"/>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4EB"/>
    <w:rsid w:val="00423698"/>
    <w:rsid w:val="004264DC"/>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3B5F"/>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3A84"/>
    <w:rsid w:val="004D45CB"/>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087F"/>
    <w:rsid w:val="00581967"/>
    <w:rsid w:val="005851BF"/>
    <w:rsid w:val="0058569E"/>
    <w:rsid w:val="00585B50"/>
    <w:rsid w:val="00586287"/>
    <w:rsid w:val="00590137"/>
    <w:rsid w:val="00590694"/>
    <w:rsid w:val="00590DDE"/>
    <w:rsid w:val="00591B38"/>
    <w:rsid w:val="005922E7"/>
    <w:rsid w:val="0059294B"/>
    <w:rsid w:val="00595AEF"/>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1E82"/>
    <w:rsid w:val="005D2980"/>
    <w:rsid w:val="005D327E"/>
    <w:rsid w:val="005D3349"/>
    <w:rsid w:val="005D4967"/>
    <w:rsid w:val="005D4968"/>
    <w:rsid w:val="005D74CE"/>
    <w:rsid w:val="005D7E7C"/>
    <w:rsid w:val="005E20C1"/>
    <w:rsid w:val="005E33FE"/>
    <w:rsid w:val="005E54A8"/>
    <w:rsid w:val="005E5F42"/>
    <w:rsid w:val="005E67EB"/>
    <w:rsid w:val="005E71C4"/>
    <w:rsid w:val="005F00EE"/>
    <w:rsid w:val="005F2C97"/>
    <w:rsid w:val="005F308D"/>
    <w:rsid w:val="005F35C2"/>
    <w:rsid w:val="005F428F"/>
    <w:rsid w:val="005F48E7"/>
    <w:rsid w:val="005F5319"/>
    <w:rsid w:val="005F6873"/>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1B4"/>
    <w:rsid w:val="006342B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888"/>
    <w:rsid w:val="006849B8"/>
    <w:rsid w:val="006870D8"/>
    <w:rsid w:val="006914E8"/>
    <w:rsid w:val="006915F7"/>
    <w:rsid w:val="00693049"/>
    <w:rsid w:val="006937F1"/>
    <w:rsid w:val="006960E2"/>
    <w:rsid w:val="00696D53"/>
    <w:rsid w:val="006974A1"/>
    <w:rsid w:val="006A0668"/>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B7653"/>
    <w:rsid w:val="006C1303"/>
    <w:rsid w:val="006C1EFC"/>
    <w:rsid w:val="006C202B"/>
    <w:rsid w:val="006C2DCC"/>
    <w:rsid w:val="006C2F52"/>
    <w:rsid w:val="006C32CA"/>
    <w:rsid w:val="006C390F"/>
    <w:rsid w:val="006C41F6"/>
    <w:rsid w:val="006C47A7"/>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06C2"/>
    <w:rsid w:val="006F4569"/>
    <w:rsid w:val="006F4590"/>
    <w:rsid w:val="006F714C"/>
    <w:rsid w:val="006F773E"/>
    <w:rsid w:val="0070184D"/>
    <w:rsid w:val="0070372E"/>
    <w:rsid w:val="00703D3A"/>
    <w:rsid w:val="00703E6E"/>
    <w:rsid w:val="00704556"/>
    <w:rsid w:val="007103E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72C"/>
    <w:rsid w:val="00746C36"/>
    <w:rsid w:val="007479A4"/>
    <w:rsid w:val="00747C4E"/>
    <w:rsid w:val="00752304"/>
    <w:rsid w:val="0075404D"/>
    <w:rsid w:val="00754649"/>
    <w:rsid w:val="00754A27"/>
    <w:rsid w:val="00756D16"/>
    <w:rsid w:val="007607D1"/>
    <w:rsid w:val="00761EA2"/>
    <w:rsid w:val="007628BB"/>
    <w:rsid w:val="007633F3"/>
    <w:rsid w:val="00764628"/>
    <w:rsid w:val="00764899"/>
    <w:rsid w:val="00764965"/>
    <w:rsid w:val="00764F1B"/>
    <w:rsid w:val="00766A81"/>
    <w:rsid w:val="007671CA"/>
    <w:rsid w:val="007713D9"/>
    <w:rsid w:val="007716F1"/>
    <w:rsid w:val="00771F63"/>
    <w:rsid w:val="00776F5F"/>
    <w:rsid w:val="00777CC7"/>
    <w:rsid w:val="007820F7"/>
    <w:rsid w:val="00782905"/>
    <w:rsid w:val="00783CAF"/>
    <w:rsid w:val="00784A45"/>
    <w:rsid w:val="00784D05"/>
    <w:rsid w:val="007850FC"/>
    <w:rsid w:val="007851E4"/>
    <w:rsid w:val="007859C2"/>
    <w:rsid w:val="00785A29"/>
    <w:rsid w:val="00786220"/>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6E0E"/>
    <w:rsid w:val="007E7965"/>
    <w:rsid w:val="007F27C8"/>
    <w:rsid w:val="007F2FC7"/>
    <w:rsid w:val="007F3479"/>
    <w:rsid w:val="007F3EA4"/>
    <w:rsid w:val="007F4930"/>
    <w:rsid w:val="007F6468"/>
    <w:rsid w:val="00800903"/>
    <w:rsid w:val="0080122D"/>
    <w:rsid w:val="00801F3B"/>
    <w:rsid w:val="008020A3"/>
    <w:rsid w:val="00802A69"/>
    <w:rsid w:val="008036F7"/>
    <w:rsid w:val="008040DB"/>
    <w:rsid w:val="008046E7"/>
    <w:rsid w:val="00804D98"/>
    <w:rsid w:val="008055EC"/>
    <w:rsid w:val="00806443"/>
    <w:rsid w:val="00807AC3"/>
    <w:rsid w:val="00807BFD"/>
    <w:rsid w:val="00810E6D"/>
    <w:rsid w:val="00811ECD"/>
    <w:rsid w:val="00812E5D"/>
    <w:rsid w:val="00813C21"/>
    <w:rsid w:val="008149B0"/>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51C"/>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A80"/>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041"/>
    <w:rsid w:val="00A366CD"/>
    <w:rsid w:val="00A370F3"/>
    <w:rsid w:val="00A37F05"/>
    <w:rsid w:val="00A406B5"/>
    <w:rsid w:val="00A41647"/>
    <w:rsid w:val="00A421BF"/>
    <w:rsid w:val="00A42A5B"/>
    <w:rsid w:val="00A45D55"/>
    <w:rsid w:val="00A46F32"/>
    <w:rsid w:val="00A502BC"/>
    <w:rsid w:val="00A505B6"/>
    <w:rsid w:val="00A505BA"/>
    <w:rsid w:val="00A5255D"/>
    <w:rsid w:val="00A56034"/>
    <w:rsid w:val="00A56076"/>
    <w:rsid w:val="00A578E2"/>
    <w:rsid w:val="00A600D8"/>
    <w:rsid w:val="00A608CC"/>
    <w:rsid w:val="00A60C0E"/>
    <w:rsid w:val="00A60CD6"/>
    <w:rsid w:val="00A621CE"/>
    <w:rsid w:val="00A6278D"/>
    <w:rsid w:val="00A63092"/>
    <w:rsid w:val="00A6399F"/>
    <w:rsid w:val="00A64565"/>
    <w:rsid w:val="00A64FFD"/>
    <w:rsid w:val="00A65490"/>
    <w:rsid w:val="00A6552F"/>
    <w:rsid w:val="00A65D63"/>
    <w:rsid w:val="00A66699"/>
    <w:rsid w:val="00A70DF9"/>
    <w:rsid w:val="00A7216C"/>
    <w:rsid w:val="00A7272D"/>
    <w:rsid w:val="00A72AF8"/>
    <w:rsid w:val="00A734DB"/>
    <w:rsid w:val="00A73736"/>
    <w:rsid w:val="00A74FAC"/>
    <w:rsid w:val="00A753C0"/>
    <w:rsid w:val="00A766EB"/>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97C00"/>
    <w:rsid w:val="00AA08DC"/>
    <w:rsid w:val="00AA136A"/>
    <w:rsid w:val="00AA2FBF"/>
    <w:rsid w:val="00AA3643"/>
    <w:rsid w:val="00AA3D38"/>
    <w:rsid w:val="00AA521E"/>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3EB"/>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67F0"/>
    <w:rsid w:val="00AD7002"/>
    <w:rsid w:val="00AD7CAB"/>
    <w:rsid w:val="00AE1F10"/>
    <w:rsid w:val="00AE3B17"/>
    <w:rsid w:val="00AE4CCD"/>
    <w:rsid w:val="00AE63CA"/>
    <w:rsid w:val="00AE7045"/>
    <w:rsid w:val="00AE773C"/>
    <w:rsid w:val="00AE7DC8"/>
    <w:rsid w:val="00AF13D2"/>
    <w:rsid w:val="00AF15D8"/>
    <w:rsid w:val="00AF1BFD"/>
    <w:rsid w:val="00AF1E6D"/>
    <w:rsid w:val="00AF218A"/>
    <w:rsid w:val="00AF26D0"/>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15"/>
    <w:rsid w:val="00B308EB"/>
    <w:rsid w:val="00B311F0"/>
    <w:rsid w:val="00B3160A"/>
    <w:rsid w:val="00B3269D"/>
    <w:rsid w:val="00B34B55"/>
    <w:rsid w:val="00B34D4F"/>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13"/>
    <w:rsid w:val="00B763BE"/>
    <w:rsid w:val="00B766F4"/>
    <w:rsid w:val="00B76DD1"/>
    <w:rsid w:val="00B77A2B"/>
    <w:rsid w:val="00B77CCC"/>
    <w:rsid w:val="00B8076C"/>
    <w:rsid w:val="00B80A3D"/>
    <w:rsid w:val="00B80AB0"/>
    <w:rsid w:val="00B814F7"/>
    <w:rsid w:val="00B8268B"/>
    <w:rsid w:val="00B830DA"/>
    <w:rsid w:val="00B84168"/>
    <w:rsid w:val="00B855F7"/>
    <w:rsid w:val="00B8794A"/>
    <w:rsid w:val="00B879CB"/>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5FC"/>
    <w:rsid w:val="00BB09BB"/>
    <w:rsid w:val="00BB1108"/>
    <w:rsid w:val="00BB2526"/>
    <w:rsid w:val="00BB2B91"/>
    <w:rsid w:val="00BB40C1"/>
    <w:rsid w:val="00BB4344"/>
    <w:rsid w:val="00BB59B9"/>
    <w:rsid w:val="00BB5C22"/>
    <w:rsid w:val="00BB5FB6"/>
    <w:rsid w:val="00BB6EF7"/>
    <w:rsid w:val="00BB72D7"/>
    <w:rsid w:val="00BB79DB"/>
    <w:rsid w:val="00BB7D66"/>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3206"/>
    <w:rsid w:val="00BE637D"/>
    <w:rsid w:val="00BE67B4"/>
    <w:rsid w:val="00BE6B49"/>
    <w:rsid w:val="00BE7965"/>
    <w:rsid w:val="00BE7EA9"/>
    <w:rsid w:val="00BF03D4"/>
    <w:rsid w:val="00BF0B64"/>
    <w:rsid w:val="00BF11F0"/>
    <w:rsid w:val="00BF18FD"/>
    <w:rsid w:val="00BF24E5"/>
    <w:rsid w:val="00BF29BF"/>
    <w:rsid w:val="00BF35D4"/>
    <w:rsid w:val="00BF3DCC"/>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0716E"/>
    <w:rsid w:val="00C10E59"/>
    <w:rsid w:val="00C10EA6"/>
    <w:rsid w:val="00C11594"/>
    <w:rsid w:val="00C13118"/>
    <w:rsid w:val="00C132DA"/>
    <w:rsid w:val="00C1356D"/>
    <w:rsid w:val="00C13C86"/>
    <w:rsid w:val="00C16304"/>
    <w:rsid w:val="00C16E7A"/>
    <w:rsid w:val="00C20EE9"/>
    <w:rsid w:val="00C2133C"/>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7E3E"/>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068"/>
    <w:rsid w:val="00D24F46"/>
    <w:rsid w:val="00D268EC"/>
    <w:rsid w:val="00D30B0C"/>
    <w:rsid w:val="00D31D1C"/>
    <w:rsid w:val="00D3286F"/>
    <w:rsid w:val="00D35D1C"/>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551"/>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023"/>
    <w:rsid w:val="00D853D1"/>
    <w:rsid w:val="00D85D73"/>
    <w:rsid w:val="00D860D0"/>
    <w:rsid w:val="00D901B3"/>
    <w:rsid w:val="00D90A13"/>
    <w:rsid w:val="00D90A1F"/>
    <w:rsid w:val="00D91DBD"/>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B764D"/>
    <w:rsid w:val="00DC0A87"/>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27974"/>
    <w:rsid w:val="00E30EB2"/>
    <w:rsid w:val="00E318D1"/>
    <w:rsid w:val="00E3194D"/>
    <w:rsid w:val="00E322F4"/>
    <w:rsid w:val="00E34997"/>
    <w:rsid w:val="00E34BE4"/>
    <w:rsid w:val="00E34E62"/>
    <w:rsid w:val="00E35B47"/>
    <w:rsid w:val="00E35E79"/>
    <w:rsid w:val="00E3621D"/>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0F0"/>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A6D"/>
    <w:rsid w:val="00E92EEE"/>
    <w:rsid w:val="00E949F0"/>
    <w:rsid w:val="00E967B1"/>
    <w:rsid w:val="00EA0FF6"/>
    <w:rsid w:val="00EA16AB"/>
    <w:rsid w:val="00EA246E"/>
    <w:rsid w:val="00EA547F"/>
    <w:rsid w:val="00EA6190"/>
    <w:rsid w:val="00EA7519"/>
    <w:rsid w:val="00EB07DB"/>
    <w:rsid w:val="00EB1287"/>
    <w:rsid w:val="00EB3F65"/>
    <w:rsid w:val="00EB5AF6"/>
    <w:rsid w:val="00EB691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B59"/>
    <w:rsid w:val="00EE0E47"/>
    <w:rsid w:val="00EE2672"/>
    <w:rsid w:val="00EE2C9C"/>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548"/>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227F"/>
    <w:rsid w:val="00F533E7"/>
    <w:rsid w:val="00F5347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76D0"/>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1F06"/>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6525"/>
    <w:rsid w:val="00FE1CF5"/>
    <w:rsid w:val="00FE1D98"/>
    <w:rsid w:val="00FE1DF4"/>
    <w:rsid w:val="00FE3E3F"/>
    <w:rsid w:val="00FE4777"/>
    <w:rsid w:val="00FE72E2"/>
    <w:rsid w:val="00FF284A"/>
    <w:rsid w:val="00FF2900"/>
    <w:rsid w:val="00FF2C4D"/>
    <w:rsid w:val="00FF2F22"/>
    <w:rsid w:val="00FF30B5"/>
    <w:rsid w:val="00FF31A1"/>
    <w:rsid w:val="00FF4A81"/>
    <w:rsid w:val="00FF64E5"/>
    <w:rsid w:val="00FF65F9"/>
    <w:rsid w:val="1483DFCC"/>
    <w:rsid w:val="18B51C3D"/>
    <w:rsid w:val="4DB90F2F"/>
    <w:rsid w:val="7DD117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F2E2BB"/>
  <w15:chartTrackingRefBased/>
  <w15:docId w15:val="{0C755240-21BC-4EC4-A6F2-1745248C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90"/>
  </w:style>
  <w:style w:type="paragraph" w:styleId="Heading1">
    <w:name w:val="heading 1"/>
    <w:aliases w:val="H1,h1,Heading 1 3GPP,NMP Heading 1,h11,h12,h13,h14,h15,h16,app heading 1,l1,Memo Heading 1,Heading 1_a,heading 1,h17,h111,h121,h131,h141,h151,h161,h18,h112,h122,h132,h142,h152,h162,h19,h113,h123,h133,h143,h153,h163"/>
    <w:basedOn w:val="Normal"/>
    <w:next w:val="Normal"/>
    <w:link w:val="Heading1Char"/>
    <w:qFormat/>
    <w:rsid w:val="00114F90"/>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114F9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
    <w:basedOn w:val="Normal"/>
    <w:next w:val="Normal"/>
    <w:link w:val="Heading3Char"/>
    <w:uiPriority w:val="9"/>
    <w:unhideWhenUsed/>
    <w:qFormat/>
    <w:rsid w:val="00114F9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114F9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F9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14F9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14F9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14F9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14F9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114F9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114F9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
    <w:basedOn w:val="DefaultParagraphFont"/>
    <w:link w:val="Heading3"/>
    <w:uiPriority w:val="9"/>
    <w:rsid w:val="00114F90"/>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114F9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14F9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14F9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14F9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14F9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14F90"/>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F9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F90"/>
    <w:rPr>
      <w:rFonts w:ascii="Arial" w:eastAsia="SimSun" w:hAnsi="Arial" w:cs="Times New Roman"/>
      <w:b/>
      <w:noProof/>
      <w:sz w:val="18"/>
      <w:szCs w:val="20"/>
      <w:lang w:val="en-US"/>
    </w:rPr>
  </w:style>
  <w:style w:type="paragraph" w:customStyle="1" w:styleId="CRCoverPage">
    <w:name w:val="CR Cover Page"/>
    <w:link w:val="CRCoverPageZchn"/>
    <w:rsid w:val="00114F90"/>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114F90"/>
    <w:rPr>
      <w:rFonts w:ascii="Arial" w:eastAsia="MS Mincho" w:hAnsi="Arial"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114F9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23548"/>
  </w:style>
  <w:style w:type="character" w:customStyle="1" w:styleId="normaltextrun">
    <w:name w:val="normaltextrun"/>
    <w:basedOn w:val="DefaultParagraphFont"/>
    <w:rsid w:val="004D45CB"/>
  </w:style>
  <w:style w:type="character" w:customStyle="1" w:styleId="eop">
    <w:name w:val="eop"/>
    <w:basedOn w:val="DefaultParagraphFont"/>
    <w:rsid w:val="004D45CB"/>
  </w:style>
  <w:style w:type="character" w:styleId="CommentReference">
    <w:name w:val="annotation reference"/>
    <w:basedOn w:val="DefaultParagraphFont"/>
    <w:uiPriority w:val="99"/>
    <w:semiHidden/>
    <w:unhideWhenUsed/>
    <w:rsid w:val="001C4EC1"/>
    <w:rPr>
      <w:sz w:val="16"/>
      <w:szCs w:val="16"/>
    </w:rPr>
  </w:style>
  <w:style w:type="paragraph" w:styleId="CommentText">
    <w:name w:val="annotation text"/>
    <w:basedOn w:val="Normal"/>
    <w:link w:val="CommentTextChar"/>
    <w:uiPriority w:val="99"/>
    <w:semiHidden/>
    <w:unhideWhenUsed/>
    <w:rsid w:val="001C4EC1"/>
    <w:pPr>
      <w:spacing w:line="240" w:lineRule="auto"/>
    </w:pPr>
    <w:rPr>
      <w:sz w:val="20"/>
      <w:szCs w:val="20"/>
    </w:rPr>
  </w:style>
  <w:style w:type="character" w:customStyle="1" w:styleId="CommentTextChar">
    <w:name w:val="Comment Text Char"/>
    <w:basedOn w:val="DefaultParagraphFont"/>
    <w:link w:val="CommentText"/>
    <w:uiPriority w:val="99"/>
    <w:semiHidden/>
    <w:rsid w:val="001C4EC1"/>
    <w:rPr>
      <w:sz w:val="20"/>
      <w:szCs w:val="20"/>
    </w:rPr>
  </w:style>
  <w:style w:type="paragraph" w:styleId="CommentSubject">
    <w:name w:val="annotation subject"/>
    <w:basedOn w:val="CommentText"/>
    <w:next w:val="CommentText"/>
    <w:link w:val="CommentSubjectChar"/>
    <w:uiPriority w:val="99"/>
    <w:semiHidden/>
    <w:unhideWhenUsed/>
    <w:rsid w:val="001C4EC1"/>
    <w:rPr>
      <w:b/>
      <w:bCs/>
    </w:rPr>
  </w:style>
  <w:style w:type="character" w:customStyle="1" w:styleId="CommentSubjectChar">
    <w:name w:val="Comment Subject Char"/>
    <w:basedOn w:val="CommentTextChar"/>
    <w:link w:val="CommentSubject"/>
    <w:uiPriority w:val="99"/>
    <w:semiHidden/>
    <w:rsid w:val="001C4EC1"/>
    <w:rPr>
      <w:b/>
      <w:bCs/>
      <w:sz w:val="20"/>
      <w:szCs w:val="20"/>
    </w:rPr>
  </w:style>
  <w:style w:type="paragraph" w:styleId="BalloonText">
    <w:name w:val="Balloon Text"/>
    <w:basedOn w:val="Normal"/>
    <w:link w:val="BalloonTextChar"/>
    <w:uiPriority w:val="99"/>
    <w:semiHidden/>
    <w:unhideWhenUsed/>
    <w:rsid w:val="001C4E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EC1"/>
    <w:rPr>
      <w:rFonts w:ascii="Segoe UI" w:hAnsi="Segoe UI" w:cs="Segoe UI"/>
      <w:sz w:val="18"/>
      <w:szCs w:val="18"/>
    </w:rPr>
  </w:style>
  <w:style w:type="paragraph" w:customStyle="1" w:styleId="NO">
    <w:name w:val="N_O"/>
    <w:basedOn w:val="Normal"/>
    <w:next w:val="Normal"/>
    <w:link w:val="NOChar"/>
    <w:qFormat/>
    <w:rsid w:val="0058087F"/>
    <w:pPr>
      <w:numPr>
        <w:numId w:val="11"/>
      </w:numPr>
      <w:ind w:left="360"/>
    </w:pPr>
    <w:rPr>
      <w:b/>
      <w:bCs/>
    </w:rPr>
  </w:style>
  <w:style w:type="paragraph" w:customStyle="1" w:styleId="NP">
    <w:name w:val="N_P"/>
    <w:basedOn w:val="NO"/>
    <w:next w:val="Normal"/>
    <w:link w:val="NPChar"/>
    <w:qFormat/>
    <w:rsid w:val="0058087F"/>
    <w:pPr>
      <w:numPr>
        <w:numId w:val="12"/>
      </w:numPr>
      <w:ind w:left="360"/>
    </w:pPr>
  </w:style>
  <w:style w:type="character" w:customStyle="1" w:styleId="NOChar">
    <w:name w:val="N_O Char"/>
    <w:basedOn w:val="DefaultParagraphFont"/>
    <w:link w:val="NO"/>
    <w:rsid w:val="0058087F"/>
    <w:rPr>
      <w:b/>
      <w:bCs/>
    </w:rPr>
  </w:style>
  <w:style w:type="character" w:customStyle="1" w:styleId="NPChar">
    <w:name w:val="N_P Char"/>
    <w:basedOn w:val="NOChar"/>
    <w:link w:val="NP"/>
    <w:rsid w:val="0058087F"/>
    <w:rPr>
      <w:b/>
      <w:bCs/>
    </w:rPr>
  </w:style>
  <w:style w:type="paragraph" w:styleId="Footer">
    <w:name w:val="footer"/>
    <w:basedOn w:val="Normal"/>
    <w:link w:val="FooterChar"/>
    <w:uiPriority w:val="99"/>
    <w:unhideWhenUsed/>
    <w:rsid w:val="00591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9b5985a9bc1d4ec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9DE9B-4B0E-4453-B7B3-BB82F29937F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62220CD-5090-4161-9698-E413ECB2D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3C8F4-ACFD-4E12-A169-4DF501BCE7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63</cp:revision>
  <dcterms:created xsi:type="dcterms:W3CDTF">2021-01-01T15:38:00Z</dcterms:created>
  <dcterms:modified xsi:type="dcterms:W3CDTF">2021-01-15T00:40:00Z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