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42A05BCA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880F95">
        <w:rPr>
          <w:rFonts w:cs="Arial"/>
          <w:bCs/>
          <w:sz w:val="24"/>
          <w:szCs w:val="24"/>
          <w:lang w:eastAsia="ja-JP"/>
        </w:rPr>
        <w:t>3-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47408E" w:rsidRPr="00E710AA">
        <w:rPr>
          <w:rFonts w:cs="Arial"/>
          <w:bCs/>
          <w:sz w:val="24"/>
          <w:szCs w:val="24"/>
          <w:lang w:eastAsia="ja-JP"/>
        </w:rPr>
        <w:tab/>
      </w:r>
      <w:bookmarkStart w:id="0" w:name="_GoBack"/>
      <w:bookmarkEnd w:id="0"/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4E49D1">
        <w:rPr>
          <w:rFonts w:cs="Arial"/>
          <w:bCs/>
          <w:sz w:val="24"/>
          <w:szCs w:val="24"/>
          <w:lang w:eastAsia="ja-JP"/>
        </w:rPr>
        <w:t>0</w:t>
      </w:r>
      <w:r w:rsidR="00A05B30">
        <w:rPr>
          <w:rFonts w:cs="Arial"/>
          <w:bCs/>
          <w:sz w:val="24"/>
          <w:szCs w:val="24"/>
          <w:lang w:eastAsia="ja-JP"/>
        </w:rPr>
        <w:t>0</w:t>
      </w:r>
      <w:r w:rsidR="00880F95">
        <w:rPr>
          <w:rFonts w:cs="Arial"/>
          <w:bCs/>
          <w:sz w:val="24"/>
          <w:szCs w:val="24"/>
          <w:lang w:eastAsia="ja-JP"/>
        </w:rPr>
        <w:t>26</w:t>
      </w:r>
      <w:r w:rsidR="00C8451F">
        <w:rPr>
          <w:rFonts w:cs="Arial"/>
          <w:bCs/>
          <w:sz w:val="24"/>
          <w:szCs w:val="24"/>
          <w:lang w:eastAsia="ja-JP"/>
        </w:rPr>
        <w:t>4</w:t>
      </w:r>
    </w:p>
    <w:p w14:paraId="29CDF947" w14:textId="6E812BC4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880F95">
        <w:rPr>
          <w:rFonts w:cs="Arial"/>
          <w:bCs/>
          <w:sz w:val="24"/>
          <w:szCs w:val="24"/>
          <w:lang w:eastAsia="ja-JP"/>
        </w:rPr>
        <w:t>January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9C2E0E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5</w:t>
      </w:r>
      <w:r w:rsidR="00880F9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880F95">
        <w:rPr>
          <w:rFonts w:cs="Arial"/>
          <w:bCs/>
          <w:sz w:val="24"/>
          <w:szCs w:val="24"/>
          <w:lang w:eastAsia="ja-JP"/>
        </w:rPr>
        <w:t>February 05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B55AED" w:rsidRPr="00E710AA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17FD85A6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580FDD">
        <w:rPr>
          <w:rFonts w:cs="Arial"/>
          <w:b/>
          <w:noProof/>
          <w:sz w:val="24"/>
        </w:rPr>
        <w:t>9.2.3</w:t>
      </w:r>
    </w:p>
    <w:p w14:paraId="3DD82F11" w14:textId="47E935FC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  <w:r w:rsidR="00DD682B">
        <w:rPr>
          <w:rFonts w:cs="Arial"/>
          <w:b/>
          <w:noProof/>
          <w:sz w:val="24"/>
        </w:rPr>
        <w:t>, Eutelsat</w:t>
      </w:r>
    </w:p>
    <w:p w14:paraId="29927BCA" w14:textId="515768B6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</w:t>
      </w:r>
      <w:r w:rsidR="00232367">
        <w:rPr>
          <w:rFonts w:cs="Arial"/>
          <w:b/>
          <w:noProof/>
          <w:sz w:val="24"/>
        </w:rPr>
        <w:t>IoT</w:t>
      </w:r>
      <w:r w:rsidR="00B62AF8">
        <w:rPr>
          <w:rFonts w:cs="Arial"/>
          <w:b/>
          <w:noProof/>
          <w:sz w:val="24"/>
        </w:rPr>
        <w:t>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6E219BAE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During the </w:t>
      </w:r>
      <w:r>
        <w:rPr>
          <w:rFonts w:ascii="Arial" w:eastAsia="MS Mincho" w:hAnsi="Arial" w:cs="Arial"/>
          <w:szCs w:val="24"/>
          <w:lang w:eastAsia="en-GB"/>
        </w:rPr>
        <w:t>NR-NTN Study Item (SI)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, </w:t>
      </w:r>
      <w:r>
        <w:rPr>
          <w:rFonts w:ascii="Arial" w:eastAsia="MS Mincho" w:hAnsi="Arial" w:cs="Arial"/>
          <w:szCs w:val="24"/>
          <w:lang w:eastAsia="en-GB"/>
        </w:rPr>
        <w:t>it is pointed out that the</w:t>
      </w:r>
      <w:r w:rsidR="009E7B10">
        <w:rPr>
          <w:rFonts w:ascii="Arial" w:eastAsia="MS Mincho" w:hAnsi="Arial" w:cs="Arial"/>
          <w:szCs w:val="24"/>
          <w:lang w:eastAsia="en-GB"/>
        </w:rPr>
        <w:t>re is a</w:t>
      </w:r>
      <w:r>
        <w:rPr>
          <w:rFonts w:ascii="Arial" w:eastAsia="MS Mincho" w:hAnsi="Arial" w:cs="Arial"/>
          <w:szCs w:val="24"/>
          <w:lang w:eastAsia="en-GB"/>
        </w:rPr>
        <w:t xml:space="preserve"> requirement </w:t>
      </w:r>
      <w:r w:rsidR="009E7B10">
        <w:rPr>
          <w:rFonts w:ascii="Arial" w:eastAsia="MS Mincho" w:hAnsi="Arial" w:cs="Arial"/>
          <w:szCs w:val="24"/>
          <w:lang w:eastAsia="en-GB"/>
        </w:rPr>
        <w:t>for</w:t>
      </w:r>
      <w:r>
        <w:rPr>
          <w:rFonts w:ascii="Arial" w:eastAsia="MS Mincho" w:hAnsi="Arial" w:cs="Arial"/>
          <w:szCs w:val="24"/>
          <w:lang w:eastAsia="en-GB"/>
        </w:rPr>
        <w:t xml:space="preserve"> additional assistance information for cell selection/reselection </w:t>
      </w:r>
      <w:r w:rsidRPr="00237227">
        <w:rPr>
          <w:rFonts w:ascii="Arial" w:eastAsia="MS Mincho" w:hAnsi="Arial" w:cs="Arial"/>
          <w:szCs w:val="24"/>
          <w:lang w:eastAsia="en-GB"/>
        </w:rPr>
        <w:t>[</w:t>
      </w:r>
      <w:r w:rsidR="00272B3B">
        <w:rPr>
          <w:rFonts w:ascii="Arial" w:eastAsia="MS Mincho" w:hAnsi="Arial" w:cs="Arial"/>
          <w:szCs w:val="24"/>
          <w:lang w:eastAsia="en-GB"/>
        </w:rPr>
        <w:t>1</w:t>
      </w:r>
      <w:r w:rsidRPr="00237227">
        <w:rPr>
          <w:rFonts w:ascii="Arial" w:eastAsia="MS Mincho" w:hAnsi="Arial" w:cs="Arial"/>
          <w:szCs w:val="24"/>
          <w:lang w:eastAsia="en-GB"/>
        </w:rPr>
        <w:t>].</w:t>
      </w:r>
      <w:r>
        <w:rPr>
          <w:rFonts w:ascii="Arial" w:eastAsia="MS Mincho" w:hAnsi="Arial" w:cs="Arial"/>
          <w:szCs w:val="24"/>
          <w:lang w:eastAsia="en-GB"/>
        </w:rPr>
        <w:t xml:space="preserve"> 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57A63CAD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 xml:space="preserve">cell re-selection in </w:t>
      </w:r>
      <w:r w:rsidR="002076FD">
        <w:rPr>
          <w:rFonts w:ascii="Arial" w:hAnsi="Arial" w:cs="Arial"/>
        </w:rPr>
        <w:t>IoT</w:t>
      </w:r>
      <w:r w:rsidR="00C17443">
        <w:rPr>
          <w:rFonts w:ascii="Arial" w:hAnsi="Arial" w:cs="Arial"/>
        </w:rPr>
        <w:t>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4892F2C6" w14:textId="1780953D" w:rsidR="006C7268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initial cell selection </w:t>
      </w:r>
      <w:r w:rsidR="002076FD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 xml:space="preserve">-NTN can use </w:t>
      </w:r>
      <w:r w:rsidR="006C7268">
        <w:rPr>
          <w:rFonts w:ascii="Arial" w:hAnsi="Arial" w:cs="Arial"/>
          <w:bCs/>
        </w:rPr>
        <w:t xml:space="preserve">legacy </w:t>
      </w:r>
      <w:r>
        <w:rPr>
          <w:rFonts w:ascii="Arial" w:hAnsi="Arial" w:cs="Arial"/>
          <w:bCs/>
        </w:rPr>
        <w:t>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>, mentioned in Section 5.2.3.2</w:t>
      </w:r>
      <w:r w:rsidR="006C7268">
        <w:rPr>
          <w:rFonts w:ascii="Arial" w:hAnsi="Arial" w:cs="Arial"/>
          <w:bCs/>
        </w:rPr>
        <w:t>/5.2.3.2a</w:t>
      </w:r>
      <w:r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.304 [2], where</w:t>
      </w:r>
      <w:r w:rsidR="006C7268">
        <w:rPr>
          <w:rFonts w:ascii="Arial" w:hAnsi="Arial" w:cs="Arial"/>
          <w:bCs/>
        </w:rPr>
        <w:t xml:space="preserve"> </w:t>
      </w:r>
      <w:r w:rsidR="006C7268" w:rsidRPr="0048528C">
        <w:rPr>
          <w:i/>
          <w:lang w:eastAsia="ja-JP"/>
        </w:rPr>
        <w:t xml:space="preserve">Srxlev </w:t>
      </w:r>
      <w:r w:rsidR="006C7268">
        <w:rPr>
          <w:rFonts w:ascii="Arial" w:hAnsi="Arial" w:cs="Arial"/>
          <w:bCs/>
        </w:rPr>
        <w:t xml:space="preserve">and </w:t>
      </w:r>
      <w:r w:rsidR="006C7268" w:rsidRPr="0048528C">
        <w:rPr>
          <w:i/>
          <w:lang w:eastAsia="ja-JP"/>
        </w:rPr>
        <w:t xml:space="preserve">Squal </w:t>
      </w:r>
      <w:r w:rsidR="006C7268">
        <w:rPr>
          <w:rFonts w:ascii="Arial" w:hAnsi="Arial" w:cs="Arial"/>
          <w:bCs/>
        </w:rPr>
        <w:t>are defined as:</w:t>
      </w:r>
    </w:p>
    <w:p w14:paraId="3E0F341E" w14:textId="3AE9FB42" w:rsidR="006C7268" w:rsidRDefault="006C7268" w:rsidP="0048528C">
      <w:pPr>
        <w:pStyle w:val="EQ"/>
        <w:rPr>
          <w:lang w:eastAsia="ja-JP"/>
        </w:rPr>
      </w:pPr>
      <w:r>
        <w:rPr>
          <w:rFonts w:ascii="Arial" w:hAnsi="Arial" w:cs="Arial"/>
          <w:bCs/>
        </w:rPr>
        <w:t>For eMTC:</w:t>
      </w:r>
      <w:r>
        <w:rPr>
          <w:rFonts w:ascii="Arial" w:hAnsi="Arial" w:cs="Arial"/>
          <w:bCs/>
        </w:rPr>
        <w:br/>
      </w:r>
      <w:r w:rsidR="0048528C" w:rsidRPr="0048528C">
        <w:rPr>
          <w:i/>
          <w:lang w:eastAsia="ja-JP"/>
        </w:rPr>
        <w:t>Srxlev = Q</w:t>
      </w:r>
      <w:r w:rsidR="0048528C" w:rsidRPr="0048528C">
        <w:rPr>
          <w:i/>
          <w:vertAlign w:val="subscript"/>
          <w:lang w:eastAsia="ja-JP"/>
        </w:rPr>
        <w:t>rxlevmeas</w:t>
      </w:r>
      <w:r w:rsidR="0048528C" w:rsidRPr="0048528C">
        <w:rPr>
          <w:i/>
          <w:lang w:eastAsia="ja-JP"/>
        </w:rPr>
        <w:t xml:space="preserve"> – (Q</w:t>
      </w:r>
      <w:r w:rsidR="0048528C" w:rsidRPr="0048528C">
        <w:rPr>
          <w:i/>
          <w:vertAlign w:val="subscript"/>
          <w:lang w:eastAsia="ja-JP"/>
        </w:rPr>
        <w:t>rxlevmin</w:t>
      </w:r>
      <w:r w:rsidR="0048528C" w:rsidRPr="0048528C">
        <w:rPr>
          <w:i/>
          <w:lang w:eastAsia="ja-JP"/>
        </w:rPr>
        <w:t xml:space="preserve"> + Q</w:t>
      </w:r>
      <w:r w:rsidR="0048528C" w:rsidRPr="0048528C">
        <w:rPr>
          <w:i/>
          <w:vertAlign w:val="subscript"/>
          <w:lang w:eastAsia="ja-JP"/>
        </w:rPr>
        <w:t>rxlevminoffset</w:t>
      </w:r>
      <w:r w:rsidR="0048528C" w:rsidRPr="0048528C">
        <w:rPr>
          <w:i/>
          <w:lang w:eastAsia="ja-JP"/>
        </w:rPr>
        <w:t xml:space="preserve"> )– P</w:t>
      </w:r>
      <w:r w:rsidR="0048528C" w:rsidRPr="0048528C">
        <w:rPr>
          <w:i/>
          <w:vertAlign w:val="subscript"/>
          <w:lang w:eastAsia="ja-JP"/>
        </w:rPr>
        <w:t xml:space="preserve">compensation </w:t>
      </w:r>
      <w:r w:rsidR="0048528C" w:rsidRPr="0048528C">
        <w:rPr>
          <w:i/>
          <w:lang w:eastAsia="ja-JP"/>
        </w:rPr>
        <w:t xml:space="preserve">- </w:t>
      </w:r>
      <w:r w:rsidR="0048528C" w:rsidRPr="0048528C">
        <w:rPr>
          <w:bCs/>
          <w:i/>
        </w:rPr>
        <w:t>Qoffset</w:t>
      </w:r>
      <w:r w:rsidR="0048528C" w:rsidRPr="0048528C">
        <w:rPr>
          <w:bCs/>
          <w:i/>
          <w:vertAlign w:val="subscript"/>
        </w:rPr>
        <w:t>temp</w:t>
      </w:r>
      <w:r w:rsidR="0048528C">
        <w:rPr>
          <w:bCs/>
          <w:vertAlign w:val="subscript"/>
        </w:rPr>
        <w:t xml:space="preserve">  </w:t>
      </w:r>
      <w:r w:rsidR="0048528C">
        <w:rPr>
          <w:lang w:eastAsia="ja-JP"/>
        </w:rPr>
        <w:t xml:space="preserve">and </w:t>
      </w:r>
    </w:p>
    <w:p w14:paraId="7BD16E64" w14:textId="684F44D4" w:rsidR="0048528C" w:rsidRPr="006A6543" w:rsidRDefault="0048528C" w:rsidP="0048528C">
      <w:pPr>
        <w:pStyle w:val="EQ"/>
        <w:rPr>
          <w:rFonts w:ascii="Arial" w:hAnsi="Arial" w:cs="Arial"/>
          <w:bCs/>
        </w:rPr>
      </w:pP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127888C7" w14:textId="77777777" w:rsidR="006C7268" w:rsidRDefault="006C7268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NB-IoT:</w:t>
      </w:r>
    </w:p>
    <w:p w14:paraId="5D098947" w14:textId="77777777" w:rsidR="006C7268" w:rsidRPr="00D03E1F" w:rsidRDefault="006C7268" w:rsidP="006C7268">
      <w:pPr>
        <w:rPr>
          <w:rFonts w:eastAsia="Malgun Gothic"/>
          <w:i/>
          <w:noProof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Srxlev = Q</w:t>
      </w:r>
      <w:r w:rsidRPr="00D03E1F">
        <w:rPr>
          <w:rFonts w:eastAsia="Malgun Gothic"/>
          <w:i/>
          <w:noProof/>
          <w:vertAlign w:val="subscript"/>
          <w:lang w:eastAsia="ja-JP"/>
        </w:rPr>
        <w:t>rxlevmeas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rxlevmin</w:t>
      </w:r>
      <w:r w:rsidRPr="00D03E1F">
        <w:rPr>
          <w:rFonts w:eastAsia="Malgun Gothic"/>
          <w:i/>
          <w:noProof/>
          <w:lang w:eastAsia="ja-JP"/>
        </w:rPr>
        <w:t xml:space="preserve"> – Pcompensation -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73CC9A75" w14:textId="1DB13BFC" w:rsidR="006C7268" w:rsidRPr="00D03E1F" w:rsidRDefault="006C7268" w:rsidP="006C7268">
      <w:pPr>
        <w:rPr>
          <w:rFonts w:eastAsia="Malgun Gothic"/>
          <w:i/>
          <w:noProof/>
          <w:vertAlign w:val="subscript"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Squal = Q</w:t>
      </w:r>
      <w:r w:rsidRPr="00D03E1F">
        <w:rPr>
          <w:rFonts w:eastAsia="Malgun Gothic"/>
          <w:i/>
          <w:noProof/>
          <w:vertAlign w:val="subscript"/>
          <w:lang w:eastAsia="ja-JP"/>
        </w:rPr>
        <w:t>qualmeas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qualmin</w:t>
      </w:r>
      <w:r w:rsidRPr="00D03E1F">
        <w:rPr>
          <w:rFonts w:eastAsia="Malgun Gothic"/>
          <w:i/>
          <w:noProof/>
          <w:lang w:eastAsia="ja-JP"/>
        </w:rPr>
        <w:t xml:space="preserve"> </w:t>
      </w:r>
      <w:r>
        <w:rPr>
          <w:rFonts w:eastAsia="Malgun Gothic"/>
          <w:i/>
          <w:noProof/>
          <w:lang w:eastAsia="ja-JP"/>
        </w:rPr>
        <w:t>–</w:t>
      </w:r>
      <w:r w:rsidRPr="00D03E1F">
        <w:rPr>
          <w:rFonts w:eastAsia="Malgun Gothic"/>
          <w:i/>
          <w:noProof/>
          <w:lang w:eastAsia="ja-JP"/>
        </w:rPr>
        <w:t xml:space="preserve">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5DBF8D3A" w14:textId="3D58F25C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>as mentioned in Section 5.2.4.2</w:t>
      </w:r>
      <w:r w:rsidR="006C7268">
        <w:rPr>
          <w:rFonts w:ascii="Arial" w:hAnsi="Arial" w:cs="Arial"/>
          <w:bCs/>
        </w:rPr>
        <w:t>/5.2.4.2a</w:t>
      </w:r>
      <w:r w:rsidR="00C45955"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 w:rsidR="00C45955">
        <w:rPr>
          <w:rFonts w:ascii="Arial" w:hAnsi="Arial" w:cs="Arial"/>
          <w:bCs/>
        </w:rPr>
        <w:t xml:space="preserve">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4529CB63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lastRenderedPageBreak/>
        <w:drawing>
          <wp:inline distT="0" distB="0" distL="0" distR="0" wp14:anchorId="129C79E7" wp14:editId="0D9094D7">
            <wp:extent cx="2504514" cy="16090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943" cy="1665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</w:rPr>
        <w:t xml:space="preserve">      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1DA1CD6">
            <wp:extent cx="2503898" cy="15919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31" cy="161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10418B3B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05DB3AFE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 xml:space="preserve">Thus, R16-based initial cell selection and intra frequency measurements could be reused in </w:t>
      </w:r>
      <w:r w:rsidR="007627F5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>-NTN.</w:t>
      </w:r>
    </w:p>
    <w:p w14:paraId="022E7B91" w14:textId="2860B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DE7CA8">
        <w:rPr>
          <w:rFonts w:ascii="Arial" w:eastAsia="MS Mincho" w:hAnsi="Arial"/>
          <w:b/>
        </w:rPr>
        <w:t>For most of the cell areas</w:t>
      </w:r>
      <w:r>
        <w:rPr>
          <w:rFonts w:ascii="Arial" w:eastAsia="MS Mincho" w:hAnsi="Arial"/>
          <w:b/>
        </w:rPr>
        <w:t xml:space="preserve"> </w:t>
      </w:r>
      <w:r w:rsidR="00DE7CA8">
        <w:rPr>
          <w:rFonts w:ascii="Arial" w:eastAsia="MS Mincho" w:hAnsi="Arial"/>
          <w:b/>
        </w:rPr>
        <w:t>t</w:t>
      </w:r>
      <w:r>
        <w:rPr>
          <w:rFonts w:ascii="Arial" w:eastAsia="MS Mincho" w:hAnsi="Arial"/>
          <w:b/>
        </w:rPr>
        <w:t>he difference in RSRP changes between TN and NTN</w:t>
      </w:r>
      <w:r w:rsidR="00DE7CA8">
        <w:rPr>
          <w:rFonts w:ascii="Arial" w:eastAsia="MS Mincho" w:hAnsi="Arial"/>
          <w:b/>
        </w:rPr>
        <w:t xml:space="preserve"> is not much. </w:t>
      </w:r>
    </w:p>
    <w:p w14:paraId="278EC556" w14:textId="18569608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</w:t>
      </w:r>
      <w:r w:rsidR="006C7268">
        <w:rPr>
          <w:rFonts w:ascii="Arial" w:eastAsia="MS Mincho" w:hAnsi="Arial"/>
          <w:b/>
        </w:rPr>
        <w:t xml:space="preserve">Legacy eMTC and NB-IoT </w:t>
      </w:r>
      <w:r>
        <w:rPr>
          <w:rFonts w:ascii="Arial" w:eastAsia="MS Mincho" w:hAnsi="Arial"/>
          <w:b/>
        </w:rPr>
        <w:t xml:space="preserve">cell selection </w:t>
      </w:r>
      <w:r w:rsidR="00023FB8">
        <w:rPr>
          <w:rFonts w:ascii="Arial" w:eastAsia="MS Mincho" w:hAnsi="Arial"/>
          <w:b/>
        </w:rPr>
        <w:t xml:space="preserve">procedures </w:t>
      </w:r>
      <w:r>
        <w:rPr>
          <w:rFonts w:ascii="Arial" w:eastAsia="MS Mincho" w:hAnsi="Arial"/>
          <w:b/>
        </w:rPr>
        <w:t xml:space="preserve">and intra frequency measurements could be reused in </w:t>
      </w:r>
      <w:r w:rsidR="00BB0596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 xml:space="preserve">-NTN. </w:t>
      </w:r>
    </w:p>
    <w:p w14:paraId="30792055" w14:textId="723F52AF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</w:t>
      </w:r>
      <w:r w:rsidR="006C7268">
        <w:rPr>
          <w:rFonts w:ascii="Arial" w:hAnsi="Arial" w:cs="Arial"/>
          <w:bCs/>
        </w:rPr>
        <w:t>6</w:t>
      </w:r>
      <w:r w:rsidR="007E1A19">
        <w:rPr>
          <w:rFonts w:ascii="Arial" w:hAnsi="Arial" w:cs="Arial"/>
          <w:bCs/>
        </w:rPr>
        <w:t>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</w:t>
      </w:r>
      <w:r w:rsidR="006C7268">
        <w:rPr>
          <w:rFonts w:ascii="Arial" w:hAnsi="Arial" w:cs="Arial"/>
          <w:bCs/>
        </w:rPr>
        <w:t xml:space="preserve"> for eMTC</w:t>
      </w:r>
      <w:r>
        <w:rPr>
          <w:rFonts w:ascii="Arial" w:hAnsi="Arial" w:cs="Arial"/>
          <w:bCs/>
        </w:rPr>
        <w:t xml:space="preserve">. The </w:t>
      </w:r>
      <w:r w:rsidR="006C726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6C7268">
        <w:rPr>
          <w:rFonts w:ascii="Arial" w:hAnsi="Arial" w:cs="Arial"/>
          <w:bCs/>
        </w:rPr>
        <w:t xml:space="preserve">Similarly for NB-IoT, different frequency specific offsets </w:t>
      </w:r>
      <w:r w:rsidR="006C7268" w:rsidRPr="00D03E1F">
        <w:rPr>
          <w:rFonts w:ascii="Arial" w:hAnsi="Arial" w:cs="Arial"/>
          <w:bCs/>
          <w:i/>
        </w:rPr>
        <w:t>Qoffset</w:t>
      </w:r>
      <w:r w:rsidR="006C7268">
        <w:rPr>
          <w:rFonts w:ascii="Arial" w:hAnsi="Arial" w:cs="Arial"/>
          <w:bCs/>
        </w:rPr>
        <w:t xml:space="preserve"> as specified in Section 5.2.4.6 of 3GPP 36.304 [2] can configured by the eNB for TN and NTN cells to promote reselections to TN systems. </w:t>
      </w:r>
      <w:r w:rsidR="00313757">
        <w:rPr>
          <w:rFonts w:ascii="Arial" w:hAnsi="Arial" w:cs="Arial"/>
          <w:bCs/>
        </w:rPr>
        <w:t>However, the ultimate decision is left to network deployment.</w:t>
      </w:r>
    </w:p>
    <w:p w14:paraId="3E8ACE85" w14:textId="77777777" w:rsidR="00087167" w:rsidRDefault="00087167" w:rsidP="00237227">
      <w:pPr>
        <w:rPr>
          <w:rFonts w:ascii="Arial" w:hAnsi="Arial" w:cs="Arial"/>
          <w:b/>
          <w:bCs/>
        </w:rPr>
      </w:pPr>
    </w:p>
    <w:p w14:paraId="31DA275C" w14:textId="7C688114" w:rsidR="00A6696B" w:rsidRPr="00BF0207" w:rsidRDefault="00BF0207" w:rsidP="00237227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0A06A96B" w14:textId="128363F6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6C7268">
        <w:rPr>
          <w:rFonts w:ascii="Arial" w:eastAsia="MS Mincho" w:hAnsi="Arial"/>
          <w:b/>
        </w:rPr>
        <w:t>Legacy eMTC and NB-IoT</w:t>
      </w:r>
      <w:r w:rsidR="006C7268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</w:t>
      </w:r>
      <w:r w:rsidR="006C7268">
        <w:rPr>
          <w:rFonts w:ascii="Arial" w:hAnsi="Arial" w:cs="Arial"/>
          <w:b/>
          <w:bCs/>
        </w:rPr>
        <w:t>ies and frequency specific offsets</w:t>
      </w:r>
      <w:r>
        <w:rPr>
          <w:rFonts w:ascii="Arial" w:hAnsi="Arial" w:cs="Arial"/>
          <w:b/>
          <w:bCs/>
        </w:rPr>
        <w:t xml:space="preserve"> can be reused to control TN-NTN cell re-selection.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5E01412C" w14:textId="52C26799" w:rsidR="00ED5339" w:rsidRDefault="00ED5339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Similarly, for cells with the same priority, existing ranking schemes could be used. As mentioned in Section 5.2.4.6 of 3GPP </w:t>
      </w:r>
      <w:r w:rsidR="005B5040">
        <w:rPr>
          <w:rFonts w:ascii="Arial" w:hAnsi="Arial" w:cs="Arial"/>
          <w:bCs/>
        </w:rPr>
        <w:t>36</w:t>
      </w:r>
      <w:r>
        <w:rPr>
          <w:rFonts w:ascii="Arial" w:hAnsi="Arial" w:cs="Arial"/>
          <w:bCs/>
        </w:rPr>
        <w:t>.304</w:t>
      </w:r>
      <w:r w:rsidR="00464118">
        <w:rPr>
          <w:rFonts w:ascii="Arial" w:hAnsi="Arial" w:cs="Arial"/>
          <w:bCs/>
        </w:rPr>
        <w:t xml:space="preserve"> [2]</w:t>
      </w:r>
      <w:r>
        <w:rPr>
          <w:rFonts w:ascii="Arial" w:hAnsi="Arial" w:cs="Arial"/>
          <w:bCs/>
        </w:rPr>
        <w:t xml:space="preserve">, existing ranking mechanisms estimate ranking of serving and neighbour cells as: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s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meas,s</w:t>
      </w:r>
      <w:r w:rsidRPr="004D66CF">
        <w:rPr>
          <w:rFonts w:ascii="Arial" w:hAnsi="Arial" w:cs="Arial"/>
          <w:bCs/>
          <w:i/>
        </w:rPr>
        <w:t xml:space="preserve"> +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hyst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</w:t>
      </w:r>
      <w:r w:rsidR="005B5040">
        <w:rPr>
          <w:rFonts w:ascii="Arial" w:hAnsi="Arial" w:cs="Arial"/>
          <w:bCs/>
        </w:rPr>
        <w:t xml:space="preserve">+ </w:t>
      </w:r>
      <w:r w:rsidR="005B5040" w:rsidRPr="00D03E1F">
        <w:rPr>
          <w:rFonts w:ascii="Arial" w:hAnsi="Arial" w:cs="Arial"/>
          <w:bCs/>
          <w:i/>
        </w:rPr>
        <w:t>Qoffset</w:t>
      </w:r>
      <w:r w:rsidR="005B5040" w:rsidRPr="00D03E1F">
        <w:rPr>
          <w:rFonts w:ascii="Arial" w:hAnsi="Arial" w:cs="Arial"/>
          <w:bCs/>
          <w:i/>
          <w:vertAlign w:val="subscript"/>
        </w:rPr>
        <w:t>SCPTM</w:t>
      </w:r>
      <w:r w:rsidR="005B50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n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meas,n</w:t>
      </w:r>
      <w:r w:rsidRPr="004D66CF">
        <w:rPr>
          <w:rFonts w:ascii="Arial" w:hAnsi="Arial" w:cs="Arial"/>
          <w:bCs/>
          <w:i/>
        </w:rPr>
        <w:t xml:space="preserve"> –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 w:rsidR="005B5040">
        <w:rPr>
          <w:rFonts w:ascii="Arial" w:hAnsi="Arial" w:cs="Arial"/>
          <w:bCs/>
        </w:rPr>
        <w:t xml:space="preserve">+ </w:t>
      </w:r>
      <w:r w:rsidR="005B5040" w:rsidRPr="001E2283">
        <w:rPr>
          <w:rFonts w:ascii="Arial" w:hAnsi="Arial" w:cs="Arial"/>
          <w:bCs/>
          <w:i/>
        </w:rPr>
        <w:t>Qoffset</w:t>
      </w:r>
      <w:r w:rsidR="005B5040" w:rsidRPr="001E2283">
        <w:rPr>
          <w:rFonts w:ascii="Arial" w:hAnsi="Arial" w:cs="Arial"/>
          <w:bCs/>
          <w:i/>
          <w:vertAlign w:val="subscript"/>
        </w:rPr>
        <w:t>SCPTM</w:t>
      </w:r>
      <w:r>
        <w:rPr>
          <w:rFonts w:ascii="Arial" w:hAnsi="Arial" w:cs="Arial"/>
          <w:bCs/>
        </w:rPr>
        <w:t xml:space="preserve">. Network can configure and adjust the values of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3E3AEE70" w14:textId="154C9F59" w:rsidR="00ED5339" w:rsidRDefault="003C61BF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Based, on the discussions above, </w:t>
      </w:r>
      <w:r w:rsidR="00ED5339">
        <w:rPr>
          <w:rFonts w:ascii="Arial" w:hAnsi="Arial" w:cs="Arial"/>
          <w:bCs/>
        </w:rPr>
        <w:t>UE’s location is clearly unnecessary as it does not provide any additional gain. Moreover, constant checking and processing of UE’s location will drain UE’s battery in the idle mode.</w:t>
      </w:r>
    </w:p>
    <w:p w14:paraId="00BF17A9" w14:textId="070D4B60" w:rsidR="00057FCB" w:rsidRDefault="00057FCB" w:rsidP="00057F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 w:rsidR="005B5040">
        <w:rPr>
          <w:rFonts w:ascii="Arial" w:eastAsia="MS Mincho" w:hAnsi="Arial"/>
          <w:b/>
        </w:rPr>
        <w:t>Legacy eMTC and NB-IoT</w:t>
      </w:r>
      <w:r w:rsidR="005B5040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 xml:space="preserve">cell ranking schemes could be reused to trigger fast cell re-selection of upcoming neighbour cells in </w:t>
      </w:r>
      <w:r w:rsidR="00FA0F6B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>-NTN</w:t>
      </w:r>
      <w:r>
        <w:rPr>
          <w:rFonts w:ascii="Arial" w:hAnsi="Arial" w:cs="Arial"/>
          <w:b/>
          <w:bCs/>
        </w:rPr>
        <w:t xml:space="preserve">. 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483912F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beam after next beam (second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26F0ABA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79F6FC50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45A2BF0B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0F87D54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5BD1B3E5" w:rsidR="00057FCB" w:rsidRDefault="00057FCB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20413E"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</w:t>
      </w:r>
      <w:r w:rsidR="009E70E7" w:rsidRPr="009E70E7">
        <w:rPr>
          <w:rFonts w:ascii="Arial" w:eastAsia="MS Mincho" w:hAnsi="Arial"/>
          <w:b/>
        </w:rPr>
        <w:t xml:space="preserve">In NTN coverage holes associated with cell re-selection could be informed to the UEs by using </w:t>
      </w:r>
      <w:r w:rsidR="009E70E7" w:rsidRPr="009E70E7">
        <w:rPr>
          <w:rFonts w:ascii="Arial" w:hAnsi="Arial" w:cs="Arial"/>
          <w:b/>
        </w:rPr>
        <w:t>satellite’s long-term (coarse-grained) ephemeris</w:t>
      </w:r>
      <w:r w:rsidR="009E70E7"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</w:t>
      </w:r>
      <w:r w:rsidR="009E70E7">
        <w:rPr>
          <w:rFonts w:ascii="Arial" w:eastAsia="MS Mincho" w:hAnsi="Arial"/>
          <w:b/>
        </w:rPr>
        <w:t>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 w:rsidR="009E70E7">
        <w:rPr>
          <w:rFonts w:ascii="Arial" w:eastAsia="MS Mincho" w:hAnsi="Arial"/>
          <w:b/>
        </w:rPr>
        <w:t>acquiring knowledge about coverage holes (out-of-coverage) and cell re-selection</w:t>
      </w:r>
      <w:r>
        <w:rPr>
          <w:rFonts w:ascii="Arial" w:eastAsia="MS Mincho" w:hAnsi="Arial"/>
          <w:b/>
        </w:rPr>
        <w:t>.</w:t>
      </w:r>
      <w:r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1163F4AE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FA0F6B">
        <w:rPr>
          <w:rFonts w:ascii="Arial" w:hAnsi="Arial" w:cs="Arial"/>
        </w:rPr>
        <w:t>IoT</w:t>
      </w:r>
      <w:r w:rsidR="00237227">
        <w:rPr>
          <w:rFonts w:ascii="Arial" w:hAnsi="Arial" w:cs="Arial"/>
        </w:rPr>
        <w:t>-</w:t>
      </w:r>
      <w:r w:rsidRPr="00237227">
        <w:rPr>
          <w:rFonts w:ascii="Arial" w:hAnsi="Arial" w:cs="Arial"/>
        </w:rPr>
        <w:t>NTN:</w:t>
      </w:r>
    </w:p>
    <w:p w14:paraId="78C84040" w14:textId="77777777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For most of the cell areas the difference in RSRP changes between TN and NTN is not much. </w:t>
      </w:r>
    </w:p>
    <w:p w14:paraId="21E7FC8F" w14:textId="77777777" w:rsidR="005B5040" w:rsidRDefault="005B5040" w:rsidP="005B5040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Legacy eMTC and NB-IoT cell selection procedures and intra frequency measurements could be reused in IoT-NTN. </w:t>
      </w:r>
    </w:p>
    <w:p w14:paraId="025E847E" w14:textId="77777777" w:rsidR="0020413E" w:rsidRPr="00BF0207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3B3341A0" w14:textId="13A2A7B0" w:rsidR="005B5040" w:rsidRPr="009618C6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priorities and frequency specific offsets can be reused to control TN-NTN cell re-selection.</w:t>
      </w:r>
    </w:p>
    <w:p w14:paraId="38696FC4" w14:textId="6207D5A4" w:rsidR="005B5040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cell ranking schemes could be reused to trigger fast cell re-selection of upcoming neighbour cells in IoT-NTN</w:t>
      </w:r>
      <w:r>
        <w:rPr>
          <w:rFonts w:ascii="Arial" w:hAnsi="Arial" w:cs="Arial"/>
          <w:b/>
          <w:bCs/>
        </w:rPr>
        <w:t xml:space="preserve">. </w:t>
      </w:r>
    </w:p>
    <w:p w14:paraId="08E05303" w14:textId="77777777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In NTN coverage holes associated with cell re-selection could be informed to the UEs by using </w:t>
      </w:r>
      <w:r w:rsidRPr="009E70E7">
        <w:rPr>
          <w:rFonts w:ascii="Arial" w:hAnsi="Arial" w:cs="Arial"/>
          <w:b/>
        </w:rPr>
        <w:t>satellite’s long-term (coarse-grained) ephemeris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18A8581" w14:textId="1F4AA5BB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</w:t>
      </w:r>
      <w:r w:rsidR="00C93DCB">
        <w:rPr>
          <w:rFonts w:ascii="Arial" w:hAnsi="Arial" w:cs="Arial"/>
        </w:rPr>
        <w:t>8</w:t>
      </w:r>
      <w:r>
        <w:rPr>
          <w:rFonts w:ascii="Arial" w:hAnsi="Arial" w:cs="Arial"/>
        </w:rPr>
        <w:t>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027D7E0D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</w:t>
      </w:r>
      <w:r w:rsidR="00C93DCB">
        <w:rPr>
          <w:rFonts w:ascii="Arial" w:hAnsi="Arial" w:cs="Arial"/>
        </w:rPr>
        <w:t>6.304</w:t>
      </w:r>
      <w:r w:rsidRPr="00D27923">
        <w:rPr>
          <w:rFonts w:ascii="Arial" w:hAnsi="Arial" w:cs="Arial"/>
        </w:rPr>
        <w:t xml:space="preserve">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D916A" w14:textId="77777777" w:rsidR="00FC0E21" w:rsidRDefault="00FC0E21" w:rsidP="00BD754F">
      <w:pPr>
        <w:spacing w:after="0"/>
      </w:pPr>
      <w:r>
        <w:separator/>
      </w:r>
    </w:p>
  </w:endnote>
  <w:endnote w:type="continuationSeparator" w:id="0">
    <w:p w14:paraId="1ACEC742" w14:textId="77777777" w:rsidR="00FC0E21" w:rsidRDefault="00FC0E21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F6D4A" w14:textId="77777777" w:rsidR="00FC0E21" w:rsidRDefault="00FC0E21" w:rsidP="00BD754F">
      <w:pPr>
        <w:spacing w:after="0"/>
      </w:pPr>
      <w:r>
        <w:separator/>
      </w:r>
    </w:p>
  </w:footnote>
  <w:footnote w:type="continuationSeparator" w:id="0">
    <w:p w14:paraId="6F41E61F" w14:textId="77777777" w:rsidR="00FC0E21" w:rsidRDefault="00FC0E21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6FD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2367"/>
    <w:rsid w:val="00235AD0"/>
    <w:rsid w:val="00237024"/>
    <w:rsid w:val="00237227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0FDD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040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2CEE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C7268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7F5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0596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451F"/>
    <w:rsid w:val="00C85167"/>
    <w:rsid w:val="00C913DF"/>
    <w:rsid w:val="00C922FD"/>
    <w:rsid w:val="00C93364"/>
    <w:rsid w:val="00C9392A"/>
    <w:rsid w:val="00C93DCB"/>
    <w:rsid w:val="00C94170"/>
    <w:rsid w:val="00C948BC"/>
    <w:rsid w:val="00C95AAC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E1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1325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82B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16EB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0F6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E21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A98E1-6550-4A26-8700-314CD35E4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2020-10-12T20:30:00Z</dcterms:created>
  <dcterms:modified xsi:type="dcterms:W3CDTF">2021-01-14T19:07:00Z</dcterms:modified>
</cp:coreProperties>
</file>