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544D5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840D83">
        <w:tc>
          <w:tcPr>
            <w:tcW w:w="2405" w:type="dxa"/>
            <w:shd w:val="clear" w:color="auto" w:fill="auto"/>
          </w:tcPr>
          <w:p w14:paraId="20D3FDBB" w14:textId="77777777" w:rsidR="00E70287" w:rsidRPr="00F968ED" w:rsidRDefault="00E70287" w:rsidP="00840D83">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840D83">
            <w:pPr>
              <w:spacing w:line="276" w:lineRule="auto"/>
              <w:rPr>
                <w:rFonts w:eastAsia="MS Mincho"/>
              </w:rPr>
            </w:pPr>
            <w:r w:rsidRPr="00F968ED">
              <w:rPr>
                <w:rFonts w:eastAsia="MS Mincho"/>
              </w:rPr>
              <w:t>Email</w:t>
            </w:r>
          </w:p>
        </w:tc>
      </w:tr>
      <w:tr w:rsidR="00E70287" w:rsidRPr="006808AA" w14:paraId="1CE5DE04" w14:textId="77777777" w:rsidTr="00840D83">
        <w:tc>
          <w:tcPr>
            <w:tcW w:w="2405" w:type="dxa"/>
            <w:shd w:val="clear" w:color="auto" w:fill="auto"/>
          </w:tcPr>
          <w:p w14:paraId="27337F7A" w14:textId="1DA55D55" w:rsidR="00E70287" w:rsidRPr="00F968ED" w:rsidRDefault="00D53C1A" w:rsidP="00840D83">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840D83">
            <w:pPr>
              <w:spacing w:line="276" w:lineRule="auto"/>
              <w:rPr>
                <w:rFonts w:eastAsia="MS Mincho"/>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840D83">
        <w:tc>
          <w:tcPr>
            <w:tcW w:w="2405" w:type="dxa"/>
            <w:shd w:val="clear" w:color="auto" w:fill="auto"/>
          </w:tcPr>
          <w:p w14:paraId="3982FB2C" w14:textId="5DBD7DA5" w:rsidR="00E70287" w:rsidRPr="00F968ED" w:rsidRDefault="00C36837" w:rsidP="00840D83">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840D83">
            <w:pPr>
              <w:spacing w:line="276" w:lineRule="auto"/>
              <w:rPr>
                <w:rFonts w:eastAsia="MS Mincho"/>
              </w:rPr>
            </w:pPr>
            <w:r w:rsidRPr="00C36837">
              <w:rPr>
                <w:rFonts w:eastAsia="MS Mincho"/>
              </w:rPr>
              <w:t>Chun-Fan.Tsai@mediatek.com</w:t>
            </w:r>
          </w:p>
        </w:tc>
      </w:tr>
      <w:tr w:rsidR="00E70287" w:rsidRPr="006808AA" w14:paraId="5BFBACCF" w14:textId="77777777" w:rsidTr="00840D83">
        <w:tc>
          <w:tcPr>
            <w:tcW w:w="2405" w:type="dxa"/>
            <w:shd w:val="clear" w:color="auto" w:fill="auto"/>
          </w:tcPr>
          <w:p w14:paraId="107A60A2" w14:textId="6108F047" w:rsidR="00E70287" w:rsidRPr="00196AE4" w:rsidRDefault="00196AE4" w:rsidP="00840D83">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840D83">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840D83">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840D83">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840D83">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840D83">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840D83">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r w:rsidR="00840D83" w:rsidRPr="006808AA" w14:paraId="1BE1D54C" w14:textId="77777777" w:rsidTr="00840D83">
        <w:tc>
          <w:tcPr>
            <w:tcW w:w="2405" w:type="dxa"/>
            <w:shd w:val="clear" w:color="auto" w:fill="auto"/>
          </w:tcPr>
          <w:p w14:paraId="2FE66D0A" w14:textId="6E7DA9CB" w:rsidR="00840D83" w:rsidRDefault="00840D83" w:rsidP="00840D83">
            <w:pPr>
              <w:spacing w:line="276" w:lineRule="auto"/>
              <w:rPr>
                <w:rFonts w:eastAsiaTheme="minorEastAsia"/>
                <w:lang w:eastAsia="zh-CN"/>
              </w:rPr>
            </w:pPr>
            <w:r>
              <w:rPr>
                <w:rFonts w:eastAsia="MS Mincho"/>
              </w:rPr>
              <w:t>Ericsson</w:t>
            </w:r>
          </w:p>
        </w:tc>
        <w:tc>
          <w:tcPr>
            <w:tcW w:w="7224" w:type="dxa"/>
            <w:shd w:val="clear" w:color="auto" w:fill="auto"/>
          </w:tcPr>
          <w:p w14:paraId="35F1E4C3" w14:textId="597E2F85" w:rsidR="00840D83" w:rsidRDefault="006535E7" w:rsidP="00840D83">
            <w:pPr>
              <w:spacing w:line="276" w:lineRule="auto"/>
              <w:rPr>
                <w:rFonts w:eastAsia="Malgun Gothic"/>
                <w:lang w:eastAsia="zh-CN"/>
              </w:rPr>
            </w:pPr>
            <w:hyperlink r:id="rId12" w:history="1">
              <w:r w:rsidR="00C05111" w:rsidRPr="00153BA0">
                <w:rPr>
                  <w:rStyle w:val="Hyperlink"/>
                  <w:rFonts w:eastAsia="MS Mincho"/>
                  <w:lang w:val="en-GB" w:eastAsia="en-US"/>
                </w:rPr>
                <w:t>hakan.l.palm@ericsson.com</w:t>
              </w:r>
            </w:hyperlink>
          </w:p>
        </w:tc>
      </w:tr>
      <w:tr w:rsidR="00C05111" w:rsidRPr="006808AA" w14:paraId="591A36AD" w14:textId="77777777" w:rsidTr="00840D83">
        <w:tc>
          <w:tcPr>
            <w:tcW w:w="2405" w:type="dxa"/>
            <w:shd w:val="clear" w:color="auto" w:fill="auto"/>
          </w:tcPr>
          <w:p w14:paraId="734739D9" w14:textId="5B56A463" w:rsidR="00C05111" w:rsidRDefault="00C05111" w:rsidP="00840D83">
            <w:pPr>
              <w:spacing w:line="276" w:lineRule="auto"/>
              <w:rPr>
                <w:rFonts w:eastAsia="MS Mincho"/>
              </w:rPr>
            </w:pPr>
            <w:r>
              <w:rPr>
                <w:rFonts w:eastAsia="MS Mincho"/>
              </w:rPr>
              <w:t>Intel</w:t>
            </w:r>
          </w:p>
        </w:tc>
        <w:tc>
          <w:tcPr>
            <w:tcW w:w="7224" w:type="dxa"/>
            <w:shd w:val="clear" w:color="auto" w:fill="auto"/>
          </w:tcPr>
          <w:p w14:paraId="0E832B20" w14:textId="196C3F65" w:rsidR="00C05111" w:rsidRDefault="00C05111" w:rsidP="00840D83">
            <w:pPr>
              <w:spacing w:line="276" w:lineRule="auto"/>
              <w:rPr>
                <w:rFonts w:eastAsia="MS Mincho"/>
              </w:rPr>
            </w:pPr>
            <w:r>
              <w:rPr>
                <w:rFonts w:eastAsia="MS Mincho"/>
              </w:rPr>
              <w:t>Youn.hyoung.heo@intel.com</w:t>
            </w: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Heading3"/>
        <w:rPr>
          <w:rFonts w:eastAsia="DengXian"/>
          <w:lang w:eastAsia="zh-CN"/>
        </w:rPr>
      </w:pPr>
      <w:r>
        <w:rPr>
          <w:rFonts w:eastAsia="DengXian" w:hint="eastAsia"/>
          <w:lang w:eastAsia="zh-CN"/>
        </w:rPr>
        <w:lastRenderedPageBreak/>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985" w:type="dxa"/>
          </w:tcPr>
          <w:p w14:paraId="174AD8EC" w14:textId="3DCF4012" w:rsidR="000D0B66" w:rsidRPr="00716882" w:rsidRDefault="000D0B66" w:rsidP="000D0B66">
            <w:pPr>
              <w:rPr>
                <w:rFonts w:eastAsia="DengXian"/>
                <w:sz w:val="22"/>
                <w:szCs w:val="22"/>
                <w:lang w:eastAsia="zh-CN"/>
              </w:rPr>
            </w:pPr>
            <w:r>
              <w:rPr>
                <w:rFonts w:eastAsia="DengXian"/>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DengXian"/>
                <w:sz w:val="22"/>
                <w:szCs w:val="22"/>
                <w:lang w:eastAsia="zh-CN"/>
              </w:rPr>
            </w:pPr>
            <w:r>
              <w:rPr>
                <w:rFonts w:eastAsia="DengXian" w:hint="eastAsia"/>
                <w:sz w:val="22"/>
                <w:szCs w:val="22"/>
                <w:lang w:eastAsia="zh-CN"/>
              </w:rPr>
              <w:t>CATT</w:t>
            </w:r>
          </w:p>
        </w:tc>
        <w:tc>
          <w:tcPr>
            <w:tcW w:w="1985" w:type="dxa"/>
          </w:tcPr>
          <w:p w14:paraId="66EC0FF6" w14:textId="4364061D" w:rsidR="000D0B66" w:rsidRDefault="0020251A" w:rsidP="000D0B66">
            <w:pPr>
              <w:rPr>
                <w:rFonts w:eastAsia="DengXian"/>
                <w:sz w:val="22"/>
                <w:szCs w:val="22"/>
                <w:lang w:eastAsia="zh-CN"/>
              </w:rPr>
            </w:pPr>
            <w:r>
              <w:rPr>
                <w:rFonts w:eastAsia="DengXian"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840D83" w14:paraId="20735504" w14:textId="77777777">
        <w:tc>
          <w:tcPr>
            <w:tcW w:w="1838" w:type="dxa"/>
          </w:tcPr>
          <w:p w14:paraId="40906260" w14:textId="0AA490D0" w:rsidR="00840D83" w:rsidRDefault="00840D83" w:rsidP="00840D83">
            <w:pPr>
              <w:rPr>
                <w:rFonts w:eastAsia="DengXian"/>
                <w:sz w:val="22"/>
                <w:szCs w:val="22"/>
                <w:lang w:eastAsia="zh-CN"/>
              </w:rPr>
            </w:pPr>
            <w:r>
              <w:rPr>
                <w:rFonts w:eastAsia="Malgun Gothic"/>
                <w:sz w:val="22"/>
                <w:szCs w:val="22"/>
                <w:lang w:eastAsia="ko-KR"/>
              </w:rPr>
              <w:t>Ericsson</w:t>
            </w:r>
          </w:p>
        </w:tc>
        <w:tc>
          <w:tcPr>
            <w:tcW w:w="1985" w:type="dxa"/>
          </w:tcPr>
          <w:p w14:paraId="7E1ACC38" w14:textId="665430E9" w:rsidR="00840D83" w:rsidRDefault="00840D83" w:rsidP="00840D83">
            <w:pPr>
              <w:rPr>
                <w:rFonts w:eastAsia="DengXian"/>
                <w:sz w:val="22"/>
                <w:szCs w:val="22"/>
                <w:lang w:eastAsia="zh-CN"/>
              </w:rPr>
            </w:pPr>
            <w:r>
              <w:rPr>
                <w:rFonts w:eastAsia="Malgun Gothic"/>
                <w:sz w:val="22"/>
                <w:szCs w:val="22"/>
                <w:lang w:eastAsia="ko-KR"/>
              </w:rPr>
              <w:t>Yes</w:t>
            </w:r>
          </w:p>
        </w:tc>
        <w:tc>
          <w:tcPr>
            <w:tcW w:w="5808" w:type="dxa"/>
          </w:tcPr>
          <w:p w14:paraId="65198E42" w14:textId="46E54112" w:rsidR="00840D83" w:rsidRDefault="00840D83" w:rsidP="00840D83">
            <w:pPr>
              <w:rPr>
                <w:rFonts w:eastAsiaTheme="minorEastAsia"/>
                <w:sz w:val="22"/>
                <w:szCs w:val="22"/>
                <w:lang w:eastAsia="ja-JP"/>
              </w:rPr>
            </w:pPr>
            <w:r w:rsidRPr="008B795F">
              <w:t>As per the RAN4 LS.</w:t>
            </w:r>
          </w:p>
        </w:tc>
      </w:tr>
      <w:tr w:rsidR="000D0B66" w14:paraId="2319C350" w14:textId="77777777">
        <w:tc>
          <w:tcPr>
            <w:tcW w:w="1838" w:type="dxa"/>
          </w:tcPr>
          <w:p w14:paraId="5019D61A" w14:textId="340AF6B6" w:rsidR="000D0B66" w:rsidRPr="00953EDA" w:rsidRDefault="00C05111" w:rsidP="00C05111">
            <w:pPr>
              <w:rPr>
                <w:rFonts w:eastAsia="Malgun Gothic"/>
                <w:sz w:val="22"/>
                <w:szCs w:val="22"/>
                <w:lang w:eastAsia="ko-KR"/>
              </w:rPr>
            </w:pPr>
            <w:r>
              <w:rPr>
                <w:rFonts w:eastAsia="Malgun Gothic"/>
                <w:sz w:val="22"/>
                <w:szCs w:val="22"/>
                <w:lang w:eastAsia="ko-KR"/>
              </w:rPr>
              <w:t>Intel</w:t>
            </w:r>
          </w:p>
        </w:tc>
        <w:tc>
          <w:tcPr>
            <w:tcW w:w="1985" w:type="dxa"/>
          </w:tcPr>
          <w:p w14:paraId="0A379531" w14:textId="4182ABBB" w:rsidR="000D0B66" w:rsidRPr="00953EDA" w:rsidRDefault="00C05111" w:rsidP="000D0B66">
            <w:pPr>
              <w:rPr>
                <w:rFonts w:eastAsia="Malgun Gothic"/>
                <w:sz w:val="22"/>
                <w:szCs w:val="22"/>
                <w:lang w:eastAsia="ko-KR"/>
              </w:rPr>
            </w:pPr>
            <w:r>
              <w:rPr>
                <w:rFonts w:eastAsia="Malgun Gothic"/>
                <w:sz w:val="22"/>
                <w:szCs w:val="22"/>
                <w:lang w:eastAsia="ko-KR"/>
              </w:rPr>
              <w:t>Yes</w:t>
            </w: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ms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t least we(ZTE) are planning to bring contribution to next</w:t>
            </w:r>
            <w:r w:rsidR="00EF5221">
              <w:rPr>
                <w:rFonts w:eastAsia="DengXian"/>
                <w:sz w:val="22"/>
                <w:szCs w:val="22"/>
                <w:lang w:eastAsia="zh-CN"/>
              </w:rPr>
              <w:t xml:space="preserve"> 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0436FA87" w14:textId="6142447B" w:rsidR="000D0B66" w:rsidRPr="00716882" w:rsidRDefault="000D0B66" w:rsidP="000D0B66">
            <w:pPr>
              <w:rPr>
                <w:rFonts w:eastAsia="DengXian"/>
                <w:sz w:val="22"/>
                <w:szCs w:val="22"/>
                <w:lang w:eastAsia="zh-CN"/>
              </w:rPr>
            </w:pPr>
          </w:p>
        </w:tc>
        <w:tc>
          <w:tcPr>
            <w:tcW w:w="3016" w:type="pct"/>
          </w:tcPr>
          <w:p w14:paraId="4C35BC8C" w14:textId="068363B0" w:rsidR="000D0B66" w:rsidRPr="00716882" w:rsidRDefault="000D0B66" w:rsidP="000D0B66">
            <w:pPr>
              <w:rPr>
                <w:rFonts w:eastAsia="DengXian"/>
                <w:sz w:val="22"/>
                <w:szCs w:val="22"/>
                <w:lang w:eastAsia="zh-CN"/>
              </w:rPr>
            </w:pPr>
            <w:r>
              <w:rPr>
                <w:rFonts w:eastAsia="DengXian"/>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DengXian"/>
                <w:sz w:val="22"/>
                <w:szCs w:val="22"/>
                <w:lang w:eastAsia="zh-CN"/>
              </w:rPr>
            </w:pPr>
            <w:r>
              <w:rPr>
                <w:rFonts w:eastAsia="DengXian" w:hint="eastAsia"/>
                <w:sz w:val="22"/>
                <w:szCs w:val="22"/>
                <w:lang w:eastAsia="zh-CN"/>
              </w:rPr>
              <w:t>CATT</w:t>
            </w:r>
          </w:p>
        </w:tc>
        <w:tc>
          <w:tcPr>
            <w:tcW w:w="1043" w:type="pct"/>
          </w:tcPr>
          <w:p w14:paraId="6725FC72" w14:textId="6FA3B102" w:rsidR="00E42B6A" w:rsidRDefault="00E42B6A" w:rsidP="000D0B66">
            <w:pPr>
              <w:rPr>
                <w:rFonts w:eastAsia="DengXian"/>
                <w:sz w:val="22"/>
                <w:szCs w:val="22"/>
                <w:lang w:eastAsia="zh-CN"/>
              </w:rPr>
            </w:pPr>
            <w:r>
              <w:rPr>
                <w:rFonts w:eastAsia="DengXian" w:hint="eastAsia"/>
                <w:sz w:val="22"/>
                <w:szCs w:val="22"/>
                <w:lang w:eastAsia="zh-CN"/>
              </w:rPr>
              <w:t>No</w:t>
            </w:r>
          </w:p>
        </w:tc>
        <w:tc>
          <w:tcPr>
            <w:tcW w:w="3016" w:type="pct"/>
          </w:tcPr>
          <w:p w14:paraId="375290E9" w14:textId="2490DD0E" w:rsidR="00E42B6A" w:rsidRDefault="001A3872" w:rsidP="000D0B66">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840D83" w14:paraId="1B2E11B1" w14:textId="77777777" w:rsidTr="003D05A1">
        <w:tc>
          <w:tcPr>
            <w:tcW w:w="941" w:type="pct"/>
          </w:tcPr>
          <w:p w14:paraId="066827ED" w14:textId="3F66E96E" w:rsidR="00840D83" w:rsidRDefault="00840D83" w:rsidP="00840D83">
            <w:pPr>
              <w:rPr>
                <w:rFonts w:eastAsia="DengXian"/>
                <w:sz w:val="22"/>
                <w:szCs w:val="22"/>
                <w:lang w:eastAsia="zh-CN"/>
              </w:rPr>
            </w:pPr>
            <w:r>
              <w:rPr>
                <w:rFonts w:eastAsia="Malgun Gothic"/>
                <w:sz w:val="22"/>
                <w:szCs w:val="22"/>
                <w:lang w:eastAsia="ko-KR"/>
              </w:rPr>
              <w:t>Ericsson</w:t>
            </w:r>
          </w:p>
        </w:tc>
        <w:tc>
          <w:tcPr>
            <w:tcW w:w="1043" w:type="pct"/>
          </w:tcPr>
          <w:p w14:paraId="64D06EA3" w14:textId="691DD250" w:rsidR="00840D83" w:rsidRDefault="00840D83" w:rsidP="00840D83">
            <w:pPr>
              <w:rPr>
                <w:rFonts w:eastAsia="DengXian"/>
                <w:sz w:val="22"/>
                <w:szCs w:val="22"/>
                <w:lang w:eastAsia="zh-CN"/>
              </w:rPr>
            </w:pPr>
            <w:r>
              <w:rPr>
                <w:rFonts w:eastAsia="Malgun Gothic"/>
                <w:sz w:val="22"/>
                <w:szCs w:val="22"/>
                <w:lang w:eastAsia="ko-KR"/>
              </w:rPr>
              <w:t>Yes</w:t>
            </w:r>
          </w:p>
        </w:tc>
        <w:tc>
          <w:tcPr>
            <w:tcW w:w="3016" w:type="pct"/>
          </w:tcPr>
          <w:p w14:paraId="2B313E41" w14:textId="39AA7A6C" w:rsidR="00840D83" w:rsidRDefault="00840D83" w:rsidP="00840D83">
            <w:pPr>
              <w:rPr>
                <w:rFonts w:eastAsia="DengXian"/>
                <w:sz w:val="22"/>
                <w:szCs w:val="22"/>
                <w:lang w:eastAsia="zh-CN"/>
              </w:rPr>
            </w:pPr>
          </w:p>
        </w:tc>
      </w:tr>
      <w:tr w:rsidR="00840D83" w14:paraId="2982FC82" w14:textId="77777777" w:rsidTr="003D05A1">
        <w:tc>
          <w:tcPr>
            <w:tcW w:w="941" w:type="pct"/>
          </w:tcPr>
          <w:p w14:paraId="26846801" w14:textId="0054CEBC" w:rsidR="00840D83" w:rsidRPr="00953EDA" w:rsidRDefault="00C05111" w:rsidP="00840D83">
            <w:pPr>
              <w:rPr>
                <w:rFonts w:eastAsia="Malgun Gothic"/>
                <w:sz w:val="22"/>
                <w:szCs w:val="22"/>
                <w:lang w:eastAsia="ko-KR"/>
              </w:rPr>
            </w:pPr>
            <w:r>
              <w:rPr>
                <w:rFonts w:eastAsia="Malgun Gothic"/>
                <w:sz w:val="22"/>
                <w:szCs w:val="22"/>
                <w:lang w:eastAsia="ko-KR"/>
              </w:rPr>
              <w:t>Intel</w:t>
            </w:r>
          </w:p>
        </w:tc>
        <w:tc>
          <w:tcPr>
            <w:tcW w:w="1043" w:type="pct"/>
          </w:tcPr>
          <w:p w14:paraId="4096BB51" w14:textId="17A462D1" w:rsidR="00840D83" w:rsidRPr="00953EDA" w:rsidRDefault="00C05111" w:rsidP="00840D83">
            <w:pPr>
              <w:rPr>
                <w:rFonts w:eastAsia="Malgun Gothic"/>
                <w:sz w:val="22"/>
                <w:szCs w:val="22"/>
                <w:lang w:eastAsia="ko-KR"/>
              </w:rPr>
            </w:pPr>
            <w:r>
              <w:rPr>
                <w:rFonts w:eastAsia="Malgun Gothic"/>
                <w:sz w:val="22"/>
                <w:szCs w:val="22"/>
                <w:lang w:eastAsia="ko-KR"/>
              </w:rPr>
              <w:t>No</w:t>
            </w:r>
          </w:p>
        </w:tc>
        <w:tc>
          <w:tcPr>
            <w:tcW w:w="3016" w:type="pct"/>
          </w:tcPr>
          <w:p w14:paraId="719CDACE" w14:textId="6A1E4041" w:rsidR="00840D83" w:rsidRPr="00953EDA" w:rsidRDefault="00C05111" w:rsidP="00840D83">
            <w:pPr>
              <w:rPr>
                <w:rFonts w:eastAsia="Malgun Gothic"/>
                <w:sz w:val="22"/>
                <w:szCs w:val="22"/>
                <w:lang w:eastAsia="ko-KR"/>
              </w:rPr>
            </w:pPr>
            <w:r>
              <w:rPr>
                <w:rFonts w:eastAsia="Malgun Gothic"/>
                <w:sz w:val="22"/>
                <w:szCs w:val="22"/>
                <w:lang w:eastAsia="ko-KR"/>
              </w:rPr>
              <w:t xml:space="preserve">Wait for input from RAN4. </w:t>
            </w: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Heading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DengXian"/>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DengXian"/>
                <w:sz w:val="22"/>
                <w:szCs w:val="22"/>
                <w:lang w:eastAsia="zh-CN"/>
              </w:rPr>
            </w:pPr>
            <w:r>
              <w:rPr>
                <w:rFonts w:eastAsia="DengXian" w:hint="eastAsia"/>
                <w:sz w:val="22"/>
                <w:szCs w:val="22"/>
                <w:lang w:eastAsia="zh-CN"/>
              </w:rPr>
              <w:t>CATT</w:t>
            </w:r>
          </w:p>
        </w:tc>
        <w:tc>
          <w:tcPr>
            <w:tcW w:w="1985" w:type="dxa"/>
          </w:tcPr>
          <w:p w14:paraId="235B7887" w14:textId="7F817364" w:rsidR="000D0B66" w:rsidRPr="00716882" w:rsidRDefault="000D0B66" w:rsidP="000D0B66">
            <w:pPr>
              <w:rPr>
                <w:rFonts w:eastAsia="DengXian"/>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840D83" w14:paraId="4830009B" w14:textId="77777777">
        <w:tc>
          <w:tcPr>
            <w:tcW w:w="1838" w:type="dxa"/>
          </w:tcPr>
          <w:p w14:paraId="0E896981" w14:textId="5DAC85B1" w:rsidR="00840D83" w:rsidRDefault="00840D83" w:rsidP="00840D83">
            <w:pPr>
              <w:rPr>
                <w:rFonts w:eastAsia="DengXian"/>
                <w:sz w:val="22"/>
                <w:szCs w:val="22"/>
                <w:lang w:eastAsia="zh-CN"/>
              </w:rPr>
            </w:pPr>
            <w:r>
              <w:rPr>
                <w:rFonts w:eastAsia="DengXian"/>
                <w:sz w:val="22"/>
                <w:szCs w:val="22"/>
                <w:lang w:eastAsia="zh-CN"/>
              </w:rPr>
              <w:t>Ericsson</w:t>
            </w:r>
          </w:p>
        </w:tc>
        <w:tc>
          <w:tcPr>
            <w:tcW w:w="1985" w:type="dxa"/>
          </w:tcPr>
          <w:p w14:paraId="48A12C5D" w14:textId="173B2A5C" w:rsidR="00840D83" w:rsidRDefault="00840D83" w:rsidP="00840D83">
            <w:pPr>
              <w:rPr>
                <w:rFonts w:eastAsia="DengXian"/>
                <w:sz w:val="22"/>
                <w:szCs w:val="22"/>
                <w:lang w:eastAsia="zh-CN"/>
              </w:rPr>
            </w:pPr>
          </w:p>
        </w:tc>
        <w:tc>
          <w:tcPr>
            <w:tcW w:w="5808" w:type="dxa"/>
          </w:tcPr>
          <w:p w14:paraId="6A2FD5F5" w14:textId="7B7F7D7E" w:rsidR="00840D83" w:rsidRDefault="00840D83" w:rsidP="00840D83">
            <w:pPr>
              <w:rPr>
                <w:rFonts w:eastAsiaTheme="minorEastAsia"/>
                <w:sz w:val="22"/>
                <w:szCs w:val="22"/>
                <w:lang w:eastAsia="ja-JP"/>
              </w:rPr>
            </w:pPr>
            <w:r>
              <w:rPr>
                <w:rFonts w:eastAsiaTheme="minorEastAsia"/>
                <w:sz w:val="22"/>
                <w:szCs w:val="22"/>
                <w:lang w:eastAsia="zh-CN"/>
              </w:rPr>
              <w:t>A</w:t>
            </w:r>
            <w:r>
              <w:rPr>
                <w:rFonts w:eastAsiaTheme="minorEastAsia" w:hint="eastAsia"/>
                <w:sz w:val="22"/>
                <w:szCs w:val="22"/>
                <w:lang w:eastAsia="zh-CN"/>
              </w:rPr>
              <w:t>gree with QC</w:t>
            </w:r>
          </w:p>
        </w:tc>
      </w:tr>
      <w:tr w:rsidR="00840D83" w14:paraId="691EBCEA" w14:textId="77777777">
        <w:tc>
          <w:tcPr>
            <w:tcW w:w="1838" w:type="dxa"/>
          </w:tcPr>
          <w:p w14:paraId="5A92238C" w14:textId="44A85B48" w:rsidR="00840D83" w:rsidRDefault="00C05111" w:rsidP="00840D83">
            <w:pPr>
              <w:rPr>
                <w:rFonts w:eastAsia="DengXian"/>
                <w:sz w:val="22"/>
                <w:szCs w:val="22"/>
                <w:lang w:eastAsia="zh-CN"/>
              </w:rPr>
            </w:pPr>
            <w:r>
              <w:rPr>
                <w:rFonts w:eastAsia="DengXian"/>
                <w:sz w:val="22"/>
                <w:szCs w:val="22"/>
                <w:lang w:eastAsia="zh-CN"/>
              </w:rPr>
              <w:t>Intel</w:t>
            </w:r>
          </w:p>
        </w:tc>
        <w:tc>
          <w:tcPr>
            <w:tcW w:w="1985" w:type="dxa"/>
          </w:tcPr>
          <w:p w14:paraId="336AAA32" w14:textId="1F2F8508" w:rsidR="00840D83" w:rsidRDefault="00840D83" w:rsidP="00840D83">
            <w:pPr>
              <w:rPr>
                <w:rFonts w:eastAsia="DengXian"/>
                <w:sz w:val="22"/>
                <w:szCs w:val="22"/>
                <w:lang w:eastAsia="zh-CN"/>
              </w:rPr>
            </w:pPr>
          </w:p>
        </w:tc>
        <w:tc>
          <w:tcPr>
            <w:tcW w:w="5808" w:type="dxa"/>
          </w:tcPr>
          <w:p w14:paraId="1E100F11" w14:textId="09D1E34C" w:rsidR="00840D83" w:rsidRDefault="00C05111" w:rsidP="00840D83">
            <w:pPr>
              <w:rPr>
                <w:rFonts w:eastAsiaTheme="minorEastAsia"/>
                <w:sz w:val="22"/>
                <w:szCs w:val="22"/>
                <w:lang w:eastAsia="ja-JP"/>
              </w:rPr>
            </w:pPr>
            <w:r w:rsidRPr="00C05111">
              <w:rPr>
                <w:rFonts w:eastAsiaTheme="minorEastAsia"/>
                <w:sz w:val="22"/>
                <w:szCs w:val="22"/>
                <w:lang w:eastAsia="ja-JP"/>
              </w:rPr>
              <w:t>maxUplinkDutyCycle-interBandENDC-FDD-TDD-PC2-r16</w:t>
            </w:r>
            <w:r>
              <w:rPr>
                <w:rFonts w:eastAsiaTheme="minorEastAsia"/>
                <w:sz w:val="22"/>
                <w:szCs w:val="22"/>
                <w:lang w:eastAsia="ja-JP"/>
              </w:rPr>
              <w:t xml:space="preserve"> is included in the current mega CR. </w:t>
            </w:r>
          </w:p>
        </w:tc>
      </w:tr>
      <w:tr w:rsidR="00840D83" w14:paraId="200D7A00" w14:textId="77777777">
        <w:tc>
          <w:tcPr>
            <w:tcW w:w="1838" w:type="dxa"/>
          </w:tcPr>
          <w:p w14:paraId="36CC14A9" w14:textId="283EF101" w:rsidR="00840D83" w:rsidRPr="00953EDA" w:rsidRDefault="00840D83" w:rsidP="00840D83">
            <w:pPr>
              <w:rPr>
                <w:rFonts w:eastAsia="Malgun Gothic"/>
                <w:sz w:val="22"/>
                <w:szCs w:val="22"/>
                <w:lang w:eastAsia="ko-KR"/>
              </w:rPr>
            </w:pPr>
          </w:p>
        </w:tc>
        <w:tc>
          <w:tcPr>
            <w:tcW w:w="1985" w:type="dxa"/>
          </w:tcPr>
          <w:p w14:paraId="4E4171E8" w14:textId="51B502F2" w:rsidR="00840D83" w:rsidRPr="00953EDA" w:rsidRDefault="00840D83" w:rsidP="00840D83">
            <w:pPr>
              <w:rPr>
                <w:rFonts w:eastAsia="Malgun Gothic"/>
                <w:sz w:val="22"/>
                <w:szCs w:val="22"/>
                <w:lang w:eastAsia="ko-KR"/>
              </w:rPr>
            </w:pPr>
          </w:p>
        </w:tc>
        <w:tc>
          <w:tcPr>
            <w:tcW w:w="5808" w:type="dxa"/>
          </w:tcPr>
          <w:p w14:paraId="3FBBBB4E" w14:textId="1F386630" w:rsidR="00840D83" w:rsidRDefault="00840D83" w:rsidP="00840D8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Heading3"/>
        <w:rPr>
          <w:rFonts w:eastAsia="DengXian"/>
          <w:lang w:eastAsia="zh-CN"/>
        </w:rPr>
      </w:pPr>
      <w:r>
        <w:rPr>
          <w:rFonts w:eastAsia="DengXian"/>
          <w:lang w:eastAsia="zh-CN"/>
        </w:rPr>
        <w:lastRenderedPageBreak/>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13"/>
        <w:gridCol w:w="2009"/>
        <w:gridCol w:w="5809"/>
      </w:tblGrid>
      <w:tr w:rsidR="00E05994" w14:paraId="17C27031" w14:textId="77777777" w:rsidTr="00E05994">
        <w:tc>
          <w:tcPr>
            <w:tcW w:w="941" w:type="pct"/>
          </w:tcPr>
          <w:p w14:paraId="36C608AC"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840D83">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840D8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840D8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840D8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840D83">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840D83">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840D83">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840D83">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840D83">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840D83">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option2. So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bl>
    <w:p w14:paraId="61F00E49" w14:textId="77777777" w:rsidR="00654BDF" w:rsidRDefault="00654BDF">
      <w:r>
        <w:br w:type="page"/>
      </w:r>
    </w:p>
    <w:tbl>
      <w:tblPr>
        <w:tblStyle w:val="TableGrid"/>
        <w:tblW w:w="5000" w:type="pct"/>
        <w:tblLook w:val="04A0" w:firstRow="1" w:lastRow="0" w:firstColumn="1" w:lastColumn="0" w:noHBand="0" w:noVBand="1"/>
      </w:tblPr>
      <w:tblGrid>
        <w:gridCol w:w="1813"/>
        <w:gridCol w:w="2009"/>
        <w:gridCol w:w="5809"/>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r>
              <w:rPr>
                <w:lang w:eastAsia="ja-JP"/>
              </w:rPr>
              <w:t>It’s fine to add the prerequisite text, but making it contingent on dualUL support is NOK since it goes against the WI purposes: The point was that UE supporting UL CA can use the Tx to do UL MIMO on one carrier. This is clearly stated in the. WI, as well as in the the RAN1 feature list. If the pre-requisite is UL CA, RAN2 cannot by itself change it.</w:t>
            </w:r>
          </w:p>
        </w:tc>
      </w:tr>
      <w:tr w:rsidR="000D0B66" w14:paraId="03167EA6" w14:textId="77777777" w:rsidTr="00E05994">
        <w:tc>
          <w:tcPr>
            <w:tcW w:w="941" w:type="pct"/>
          </w:tcPr>
          <w:p w14:paraId="79150A17" w14:textId="2160FBE1"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37311E4D" w14:textId="6B19B05F" w:rsidR="000D0B66" w:rsidRPr="00716882" w:rsidRDefault="000D0B66" w:rsidP="000D0B66">
            <w:pPr>
              <w:rPr>
                <w:rFonts w:eastAsia="DengXian"/>
                <w:sz w:val="22"/>
                <w:szCs w:val="22"/>
                <w:lang w:eastAsia="zh-CN"/>
              </w:rPr>
            </w:pPr>
            <w:r>
              <w:rPr>
                <w:rFonts w:eastAsia="DengXian"/>
                <w:sz w:val="22"/>
                <w:szCs w:val="22"/>
                <w:lang w:eastAsia="zh-CN"/>
              </w:rPr>
              <w:t>Yes</w:t>
            </w:r>
          </w:p>
        </w:tc>
        <w:tc>
          <w:tcPr>
            <w:tcW w:w="3016" w:type="pct"/>
          </w:tcPr>
          <w:p w14:paraId="0900E9D0" w14:textId="53900F91" w:rsidR="000D0B66" w:rsidRPr="00716882" w:rsidRDefault="000D0B66" w:rsidP="000D0B66">
            <w:pPr>
              <w:rPr>
                <w:rFonts w:eastAsia="DengXian"/>
                <w:sz w:val="22"/>
                <w:szCs w:val="22"/>
                <w:lang w:eastAsia="zh-CN"/>
              </w:rPr>
            </w:pPr>
            <w:r>
              <w:rPr>
                <w:rFonts w:eastAsia="DengXian"/>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DengXian"/>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DengXian"/>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840D83" w14:paraId="5054944A" w14:textId="77777777" w:rsidTr="00840D83">
        <w:tc>
          <w:tcPr>
            <w:tcW w:w="941" w:type="pct"/>
          </w:tcPr>
          <w:p w14:paraId="4037BF73"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1043" w:type="pct"/>
          </w:tcPr>
          <w:p w14:paraId="35B87E89" w14:textId="77777777" w:rsidR="00840D83" w:rsidRDefault="00840D83" w:rsidP="00840D83">
            <w:pPr>
              <w:rPr>
                <w:rFonts w:eastAsia="Malgun Gothic"/>
                <w:sz w:val="22"/>
                <w:szCs w:val="22"/>
                <w:lang w:eastAsia="ko-KR"/>
              </w:rPr>
            </w:pPr>
          </w:p>
        </w:tc>
        <w:tc>
          <w:tcPr>
            <w:tcW w:w="3016" w:type="pct"/>
          </w:tcPr>
          <w:p w14:paraId="01DB2CDC" w14:textId="77777777" w:rsidR="00840D83" w:rsidRDefault="00840D83" w:rsidP="00840D83">
            <w:pPr>
              <w:rPr>
                <w:rFonts w:eastAsia="Malgun Gothic"/>
                <w:sz w:val="22"/>
                <w:szCs w:val="22"/>
                <w:lang w:eastAsia="ko-KR"/>
              </w:rPr>
            </w:pPr>
            <w:r>
              <w:rPr>
                <w:rFonts w:eastAsia="Malgun Gothic"/>
                <w:sz w:val="22"/>
                <w:szCs w:val="22"/>
                <w:lang w:eastAsia="ko-KR"/>
              </w:rPr>
              <w:t>We could confirm this with RAN1.</w:t>
            </w:r>
          </w:p>
        </w:tc>
      </w:tr>
      <w:tr w:rsidR="000D0B66" w14:paraId="2862705B" w14:textId="77777777" w:rsidTr="00E05994">
        <w:tc>
          <w:tcPr>
            <w:tcW w:w="941" w:type="pct"/>
          </w:tcPr>
          <w:p w14:paraId="1CC53430" w14:textId="1241E769"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1043" w:type="pct"/>
          </w:tcPr>
          <w:p w14:paraId="546FCEDE" w14:textId="63F84506" w:rsidR="000D0B66" w:rsidRPr="00953EDA" w:rsidRDefault="000D0B66" w:rsidP="000D0B66">
            <w:pPr>
              <w:rPr>
                <w:rFonts w:eastAsia="Malgun Gothic"/>
                <w:sz w:val="22"/>
                <w:szCs w:val="22"/>
                <w:lang w:eastAsia="ko-KR"/>
              </w:rPr>
            </w:pPr>
          </w:p>
        </w:tc>
        <w:tc>
          <w:tcPr>
            <w:tcW w:w="3016" w:type="pct"/>
          </w:tcPr>
          <w:p w14:paraId="0AD6181A" w14:textId="7756954D" w:rsidR="00970EE0" w:rsidRDefault="00970EE0" w:rsidP="000D0B66">
            <w:pPr>
              <w:rPr>
                <w:rFonts w:eastAsia="Malgun Gothic"/>
                <w:sz w:val="22"/>
                <w:szCs w:val="22"/>
                <w:lang w:eastAsia="ko-KR"/>
              </w:rPr>
            </w:pPr>
            <w:r>
              <w:rPr>
                <w:rFonts w:eastAsia="Malgun Gothic"/>
                <w:sz w:val="22"/>
                <w:szCs w:val="22"/>
                <w:lang w:eastAsia="ko-KR"/>
              </w:rPr>
              <w:t xml:space="preserve">We agree with the intention to add the pre-requisition. </w:t>
            </w:r>
          </w:p>
          <w:p w14:paraId="38A9149E" w14:textId="63B4EEDD" w:rsidR="00160C04" w:rsidRDefault="00970EE0" w:rsidP="000D0B66">
            <w:pPr>
              <w:rPr>
                <w:rFonts w:eastAsia="Malgun Gothic"/>
                <w:sz w:val="22"/>
                <w:szCs w:val="22"/>
                <w:lang w:eastAsia="ko-KR"/>
              </w:rPr>
            </w:pPr>
            <w:r>
              <w:rPr>
                <w:rFonts w:eastAsia="Malgun Gothic"/>
                <w:sz w:val="22"/>
                <w:szCs w:val="22"/>
                <w:lang w:eastAsia="ko-KR"/>
              </w:rPr>
              <w:t>Regarding the change from ZTE, w</w:t>
            </w:r>
            <w:r w:rsidR="00160C04">
              <w:rPr>
                <w:rFonts w:eastAsia="Malgun Gothic"/>
                <w:sz w:val="22"/>
                <w:szCs w:val="22"/>
                <w:lang w:eastAsia="ko-KR"/>
              </w:rPr>
              <w:t xml:space="preserve">e need to check with RAN1 clearly before we change RAN1 conclusion. </w:t>
            </w:r>
          </w:p>
          <w:p w14:paraId="6061F0DE" w14:textId="4FAAA1A9" w:rsidR="00160C04" w:rsidRPr="00953EDA" w:rsidRDefault="00970EE0" w:rsidP="000D0B66">
            <w:pPr>
              <w:rPr>
                <w:rFonts w:eastAsia="Malgun Gothic"/>
                <w:sz w:val="22"/>
                <w:szCs w:val="22"/>
                <w:lang w:eastAsia="ko-KR"/>
              </w:rPr>
            </w:pPr>
            <w:r>
              <w:rPr>
                <w:rFonts w:eastAsia="Malgun Gothic"/>
                <w:sz w:val="22"/>
                <w:szCs w:val="22"/>
                <w:lang w:eastAsia="ko-KR"/>
              </w:rPr>
              <w:t xml:space="preserve">Additional comment is that the perquisition should be </w:t>
            </w:r>
            <w:r w:rsidR="00782D93">
              <w:rPr>
                <w:rFonts w:eastAsia="Malgun Gothic"/>
                <w:sz w:val="22"/>
                <w:szCs w:val="22"/>
                <w:lang w:eastAsia="ko-KR"/>
              </w:rPr>
              <w:t>add</w:t>
            </w:r>
            <w:r>
              <w:rPr>
                <w:rFonts w:eastAsia="Malgun Gothic"/>
                <w:sz w:val="22"/>
                <w:szCs w:val="22"/>
                <w:lang w:eastAsia="ko-KR"/>
              </w:rPr>
              <w:t>ed</w:t>
            </w:r>
            <w:r w:rsidR="00782D93">
              <w:rPr>
                <w:rFonts w:eastAsia="Malgun Gothic"/>
                <w:sz w:val="22"/>
                <w:szCs w:val="22"/>
                <w:lang w:eastAsia="ko-KR"/>
              </w:rPr>
              <w:t xml:space="preserve"> to </w:t>
            </w:r>
            <w:r w:rsidR="00782D93" w:rsidRPr="000E7852">
              <w:rPr>
                <w:rFonts w:eastAsia="Malgun Gothic"/>
                <w:i/>
                <w:iCs/>
                <w:sz w:val="22"/>
                <w:szCs w:val="22"/>
                <w:lang w:eastAsia="ko-KR"/>
              </w:rPr>
              <w:t>uplinkTxSwitching-OptionSupport-r16</w:t>
            </w:r>
            <w:r w:rsidR="00782D93">
              <w:rPr>
                <w:rFonts w:eastAsia="Malgun Gothic"/>
                <w:sz w:val="22"/>
                <w:szCs w:val="22"/>
                <w:lang w:eastAsia="ko-KR"/>
              </w:rPr>
              <w:t xml:space="preserve"> than </w:t>
            </w:r>
            <w:r w:rsidR="00782D93" w:rsidRPr="000E7852">
              <w:rPr>
                <w:i/>
                <w:iCs/>
                <w:sz w:val="22"/>
                <w:szCs w:val="22"/>
              </w:rPr>
              <w:t>supportedBandCombinationList-UplinkTxSwitch-r16</w:t>
            </w:r>
            <w:r w:rsidR="00782D93">
              <w:rPr>
                <w:sz w:val="22"/>
                <w:szCs w:val="22"/>
              </w:rPr>
              <w:t>.</w:t>
            </w:r>
            <w:bookmarkStart w:id="1" w:name="_GoBack"/>
            <w:bookmarkEnd w:id="1"/>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Heading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TableGrid"/>
        <w:tblW w:w="4236" w:type="pct"/>
        <w:tblLook w:val="04A0" w:firstRow="1" w:lastRow="0" w:firstColumn="1" w:lastColumn="0" w:noHBand="0" w:noVBand="1"/>
      </w:tblPr>
      <w:tblGrid>
        <w:gridCol w:w="1453"/>
        <w:gridCol w:w="1439"/>
        <w:gridCol w:w="5267"/>
      </w:tblGrid>
      <w:tr w:rsidR="00293F4D" w14:paraId="032D2D15" w14:textId="77777777" w:rsidTr="000D0B66">
        <w:tc>
          <w:tcPr>
            <w:tcW w:w="890" w:type="pct"/>
          </w:tcPr>
          <w:p w14:paraId="415F06BE"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82"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28"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82"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28"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lastRenderedPageBreak/>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882" w:type="pct"/>
          </w:tcPr>
          <w:p w14:paraId="2C63EDA8" w14:textId="5D4DBC6A" w:rsidR="000D0B66" w:rsidRPr="00716882" w:rsidRDefault="000D0B66" w:rsidP="000D0B66">
            <w:pPr>
              <w:rPr>
                <w:rFonts w:eastAsia="DengXian"/>
                <w:sz w:val="22"/>
                <w:szCs w:val="22"/>
                <w:lang w:eastAsia="zh-CN"/>
              </w:rPr>
            </w:pPr>
            <w:r>
              <w:rPr>
                <w:rFonts w:eastAsia="DengXian"/>
                <w:sz w:val="22"/>
                <w:szCs w:val="22"/>
                <w:lang w:eastAsia="zh-CN"/>
              </w:rPr>
              <w:t>Yes</w:t>
            </w:r>
          </w:p>
        </w:tc>
        <w:tc>
          <w:tcPr>
            <w:tcW w:w="3228" w:type="pct"/>
          </w:tcPr>
          <w:p w14:paraId="0CBB88F1" w14:textId="77777777" w:rsidR="000D0B66" w:rsidRPr="00716882" w:rsidRDefault="000D0B66" w:rsidP="000D0B66">
            <w:pPr>
              <w:rPr>
                <w:rFonts w:eastAsia="DengXian"/>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DengXian"/>
                <w:sz w:val="22"/>
                <w:szCs w:val="22"/>
                <w:lang w:eastAsia="zh-CN"/>
              </w:rPr>
            </w:pPr>
            <w:r>
              <w:rPr>
                <w:rFonts w:eastAsia="DengXian" w:hint="eastAsia"/>
                <w:sz w:val="22"/>
                <w:szCs w:val="22"/>
                <w:lang w:eastAsia="zh-CN"/>
              </w:rPr>
              <w:t>CATT</w:t>
            </w:r>
          </w:p>
        </w:tc>
        <w:tc>
          <w:tcPr>
            <w:tcW w:w="882" w:type="pct"/>
          </w:tcPr>
          <w:p w14:paraId="18A5AE0D" w14:textId="3173EE3B" w:rsidR="000D0B66" w:rsidRDefault="001A3872" w:rsidP="000D0B66">
            <w:pPr>
              <w:rPr>
                <w:rFonts w:eastAsia="DengXian"/>
                <w:sz w:val="22"/>
                <w:szCs w:val="22"/>
                <w:lang w:eastAsia="zh-CN"/>
              </w:rPr>
            </w:pPr>
            <w:r>
              <w:rPr>
                <w:rFonts w:eastAsia="DengXian" w:hint="eastAsia"/>
                <w:sz w:val="22"/>
                <w:szCs w:val="22"/>
                <w:lang w:eastAsia="zh-CN"/>
              </w:rPr>
              <w:t>Yes</w:t>
            </w:r>
          </w:p>
        </w:tc>
        <w:tc>
          <w:tcPr>
            <w:tcW w:w="3228" w:type="pct"/>
          </w:tcPr>
          <w:p w14:paraId="1973E3C1" w14:textId="34DEEB4A" w:rsidR="000D0B66" w:rsidRDefault="00A14EAF" w:rsidP="000D0B66">
            <w:pPr>
              <w:rPr>
                <w:rFonts w:eastAsia="DengXian"/>
                <w:sz w:val="22"/>
                <w:szCs w:val="22"/>
                <w:lang w:eastAsia="zh-CN"/>
              </w:rPr>
            </w:pPr>
            <w:r>
              <w:rPr>
                <w:rFonts w:eastAsia="DengXian"/>
                <w:sz w:val="22"/>
                <w:szCs w:val="22"/>
                <w:lang w:eastAsia="zh-CN"/>
              </w:rPr>
              <w:t>A</w:t>
            </w:r>
            <w:r>
              <w:rPr>
                <w:rFonts w:eastAsia="DengXian" w:hint="eastAsia"/>
                <w:sz w:val="22"/>
                <w:szCs w:val="22"/>
                <w:lang w:eastAsia="zh-CN"/>
              </w:rPr>
              <w:t>gree that this starts from R16.</w:t>
            </w:r>
          </w:p>
        </w:tc>
      </w:tr>
      <w:tr w:rsidR="00840D83" w14:paraId="64A1CD32" w14:textId="77777777" w:rsidTr="00840D83">
        <w:tc>
          <w:tcPr>
            <w:tcW w:w="890" w:type="pct"/>
          </w:tcPr>
          <w:p w14:paraId="017E4515"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882" w:type="pct"/>
          </w:tcPr>
          <w:p w14:paraId="642CF33E" w14:textId="77777777" w:rsidR="00840D83" w:rsidRDefault="00840D83" w:rsidP="00840D83">
            <w:pPr>
              <w:rPr>
                <w:rFonts w:eastAsia="Malgun Gothic"/>
                <w:sz w:val="22"/>
                <w:szCs w:val="22"/>
                <w:lang w:eastAsia="ko-KR"/>
              </w:rPr>
            </w:pPr>
            <w:r>
              <w:rPr>
                <w:rFonts w:eastAsia="Malgun Gothic"/>
                <w:sz w:val="22"/>
                <w:szCs w:val="22"/>
                <w:lang w:eastAsia="ko-KR"/>
              </w:rPr>
              <w:t>Yes</w:t>
            </w:r>
          </w:p>
        </w:tc>
        <w:tc>
          <w:tcPr>
            <w:tcW w:w="3228" w:type="pct"/>
          </w:tcPr>
          <w:p w14:paraId="2B7C8FB5" w14:textId="77777777" w:rsidR="00840D83" w:rsidRDefault="00840D83" w:rsidP="00840D83">
            <w:pPr>
              <w:rPr>
                <w:rFonts w:eastAsia="Malgun Gothic"/>
                <w:sz w:val="22"/>
                <w:szCs w:val="22"/>
                <w:lang w:eastAsia="ko-KR"/>
              </w:rPr>
            </w:pPr>
          </w:p>
        </w:tc>
      </w:tr>
      <w:tr w:rsidR="000D0B66" w14:paraId="55760EDB" w14:textId="77777777" w:rsidTr="000D0B66">
        <w:tc>
          <w:tcPr>
            <w:tcW w:w="890" w:type="pct"/>
          </w:tcPr>
          <w:p w14:paraId="011282EE" w14:textId="349D1620" w:rsidR="000D0B66" w:rsidRPr="00953EDA" w:rsidRDefault="00160C04" w:rsidP="000D0B66">
            <w:pPr>
              <w:rPr>
                <w:rFonts w:eastAsia="Malgun Gothic"/>
                <w:sz w:val="22"/>
                <w:szCs w:val="22"/>
                <w:lang w:eastAsia="ko-KR"/>
              </w:rPr>
            </w:pPr>
            <w:r>
              <w:rPr>
                <w:rFonts w:eastAsia="Malgun Gothic"/>
                <w:sz w:val="22"/>
                <w:szCs w:val="22"/>
                <w:lang w:eastAsia="ko-KR"/>
              </w:rPr>
              <w:t>Intel</w:t>
            </w:r>
          </w:p>
        </w:tc>
        <w:tc>
          <w:tcPr>
            <w:tcW w:w="882" w:type="pct"/>
          </w:tcPr>
          <w:p w14:paraId="3E358BE0" w14:textId="72EA65A2" w:rsidR="000D0B66" w:rsidRPr="00953EDA" w:rsidRDefault="00160C04" w:rsidP="000D0B66">
            <w:pPr>
              <w:rPr>
                <w:rFonts w:eastAsia="Malgun Gothic"/>
                <w:sz w:val="22"/>
                <w:szCs w:val="22"/>
                <w:lang w:eastAsia="ko-KR"/>
              </w:rPr>
            </w:pPr>
            <w:r>
              <w:rPr>
                <w:rFonts w:eastAsia="Malgun Gothic"/>
                <w:sz w:val="22"/>
                <w:szCs w:val="22"/>
                <w:lang w:eastAsia="ko-KR"/>
              </w:rPr>
              <w:t>Yes</w:t>
            </w: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2C8C47BD" w14:textId="0CB3F316" w:rsidR="000B587F" w:rsidRDefault="006535E7" w:rsidP="000B587F">
      <w:pPr>
        <w:pStyle w:val="Reference"/>
        <w:tabs>
          <w:tab w:val="clear" w:pos="567"/>
        </w:tabs>
      </w:pPr>
      <w:hyperlink r:id="rId13"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6535E7" w:rsidP="000B587F">
      <w:pPr>
        <w:pStyle w:val="Reference"/>
      </w:pPr>
      <w:hyperlink r:id="rId14" w:tooltip="D:Documents3GPPtsg_ranWG2TSGR2_112-eDocsR2-2010598.zip" w:history="1">
        <w:r w:rsidR="000B587F" w:rsidRPr="000B587F">
          <w:t>R2-2010598</w:t>
        </w:r>
      </w:hyperlink>
      <w:r w:rsidR="000B587F">
        <w:tab/>
        <w:t>Correction to 38.331 on T321 for autonomous gap based CGI in FR2</w:t>
      </w:r>
      <w:r w:rsidR="000B587F">
        <w:tab/>
        <w:t>ZTE Corporation, Sanechips</w:t>
      </w:r>
      <w:r w:rsidR="000B587F">
        <w:tab/>
      </w:r>
    </w:p>
    <w:p w14:paraId="19C6F431" w14:textId="714B11D2" w:rsidR="000B587F" w:rsidRDefault="006535E7" w:rsidP="000B587F">
      <w:pPr>
        <w:pStyle w:val="Reference"/>
      </w:pPr>
      <w:hyperlink r:id="rId15" w:tooltip="D:Documents3GPPtsg_ranWG2TSGR2_112-eDocsR2-2010599.zip" w:history="1">
        <w:r w:rsidR="000B587F" w:rsidRPr="000B587F">
          <w:t>R2-2010599</w:t>
        </w:r>
      </w:hyperlink>
      <w:r w:rsidR="000B587F">
        <w:tab/>
        <w:t>Correction to 36.331 on T321 for autonomous gap based CGI in FR2</w:t>
      </w:r>
      <w:r w:rsidR="000B587F">
        <w:tab/>
        <w:t>ZTE Corporation, Sanechips</w:t>
      </w:r>
      <w:r w:rsidR="000B587F">
        <w:tab/>
      </w:r>
    </w:p>
    <w:p w14:paraId="0092B679" w14:textId="67F7AB2F" w:rsidR="000B587F" w:rsidRDefault="006535E7" w:rsidP="000B587F">
      <w:pPr>
        <w:pStyle w:val="Reference"/>
      </w:pPr>
      <w:hyperlink r:id="rId16"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17"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6535E7" w:rsidP="003D05A1">
      <w:pPr>
        <w:pStyle w:val="Reference"/>
        <w:tabs>
          <w:tab w:val="clear" w:pos="567"/>
        </w:tabs>
      </w:pPr>
      <w:hyperlink r:id="rId18"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6535E7" w:rsidP="003D05A1">
      <w:pPr>
        <w:pStyle w:val="Reference"/>
        <w:tabs>
          <w:tab w:val="clear" w:pos="567"/>
        </w:tabs>
      </w:pPr>
      <w:hyperlink r:id="rId19"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6535E7" w:rsidP="003D05A1">
      <w:pPr>
        <w:pStyle w:val="Reference"/>
        <w:tabs>
          <w:tab w:val="clear" w:pos="567"/>
        </w:tabs>
      </w:pPr>
      <w:hyperlink r:id="rId20" w:tooltip="D:Documents3GPPtsg_ranWG2TSGR2_112-eDocsR2-2009245.zip" w:history="1">
        <w:r w:rsidR="00293F4D" w:rsidRPr="00293F4D">
          <w:t>R2-2009245</w:t>
        </w:r>
      </w:hyperlink>
      <w:r w:rsidR="00293F4D">
        <w:tab/>
        <w:t>CR to add prerequisite of UL Tx switching capability</w:t>
      </w:r>
      <w:r w:rsidR="00293F4D">
        <w:tab/>
        <w:t>ZTE Corporation, Sanechips</w:t>
      </w:r>
      <w:r w:rsidR="00293F4D">
        <w:tab/>
      </w:r>
    </w:p>
    <w:p w14:paraId="54AD6B9F" w14:textId="7E33399E" w:rsidR="00293F4D" w:rsidRDefault="006535E7" w:rsidP="00293F4D">
      <w:pPr>
        <w:pStyle w:val="Reference"/>
        <w:tabs>
          <w:tab w:val="clear" w:pos="567"/>
        </w:tabs>
      </w:pPr>
      <w:hyperlink r:id="rId21"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23E5" w14:textId="77777777" w:rsidR="006535E7" w:rsidRDefault="006535E7">
      <w:pPr>
        <w:spacing w:after="0"/>
      </w:pPr>
      <w:r>
        <w:separator/>
      </w:r>
    </w:p>
  </w:endnote>
  <w:endnote w:type="continuationSeparator" w:id="0">
    <w:p w14:paraId="26E876F4" w14:textId="77777777" w:rsidR="006535E7" w:rsidRDefault="00653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FC06" w14:textId="77777777" w:rsidR="00970EE0" w:rsidRDefault="00970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840D83" w:rsidRDefault="00840D8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0F83" w14:textId="77777777" w:rsidR="00970EE0" w:rsidRDefault="0097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2A27" w14:textId="77777777" w:rsidR="006535E7" w:rsidRDefault="006535E7">
      <w:pPr>
        <w:spacing w:after="0"/>
      </w:pPr>
      <w:r>
        <w:separator/>
      </w:r>
    </w:p>
  </w:footnote>
  <w:footnote w:type="continuationSeparator" w:id="0">
    <w:p w14:paraId="72C3716A" w14:textId="77777777" w:rsidR="006535E7" w:rsidRDefault="006535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A417" w14:textId="77777777" w:rsidR="00970EE0" w:rsidRDefault="0097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5193" w14:textId="77777777" w:rsidR="00970EE0" w:rsidRDefault="0097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6366" w14:textId="77777777" w:rsidR="00970EE0" w:rsidRDefault="0097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85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C04"/>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2F33"/>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D1D"/>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5E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2D93"/>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87"/>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0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499"/>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0EE0"/>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2F8"/>
    <w:rsid w:val="00C04835"/>
    <w:rsid w:val="00C05111"/>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DefaultParagraphFont"/>
    <w:uiPriority w:val="99"/>
    <w:semiHidden/>
    <w:unhideWhenUsed/>
    <w:rsid w:val="00EA1B21"/>
    <w:rPr>
      <w:color w:val="605E5C"/>
      <w:shd w:val="clear" w:color="auto" w:fill="E1DFDD"/>
    </w:rPr>
  </w:style>
  <w:style w:type="character" w:styleId="UnresolvedMention">
    <w:name w:val="Unresolved Mention"/>
    <w:basedOn w:val="DefaultParagraphFont"/>
    <w:uiPriority w:val="99"/>
    <w:semiHidden/>
    <w:unhideWhenUsed/>
    <w:rsid w:val="00C0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47.zip" TargetMode="External"/><Relationship Id="rId18" Type="http://schemas.openxmlformats.org/officeDocument/2006/relationships/hyperlink" Target="file:///D:/Documents/3GPP/tsg_ran/WG2/TSGR2_112-e/Docs/R2-2009346.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TSGR2_112-e/Docs/R2-2009544.zip" TargetMode="External"/><Relationship Id="rId7" Type="http://schemas.openxmlformats.org/officeDocument/2006/relationships/styles" Target="styles.xml"/><Relationship Id="rId12" Type="http://schemas.openxmlformats.org/officeDocument/2006/relationships/hyperlink" Target="mailto:hakan.l.palm@ericsson.com" TargetMode="External"/><Relationship Id="rId17" Type="http://schemas.openxmlformats.org/officeDocument/2006/relationships/hyperlink" Target="file:///D:/Documents/3GPP/tsg_ran/WG2/TSGR2_112-e/Docs/R2-2008741.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2-e/Docs/R2-2010358.zip" TargetMode="External"/><Relationship Id="rId20" Type="http://schemas.openxmlformats.org/officeDocument/2006/relationships/hyperlink" Target="file:///D:/Documents/3GPP/tsg_ran/WG2/TSGR2_112-e/Docs/R2-200924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2-e/Docs/R2-2010599.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2-e/Docs/R2-20102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8.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2FF4A0-6E56-4E89-A51D-162E5D6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Youn Hyoung</cp:lastModifiedBy>
  <cp:revision>6</cp:revision>
  <cp:lastPrinted>2009-04-22T00:01:00Z</cp:lastPrinted>
  <dcterms:created xsi:type="dcterms:W3CDTF">2020-11-05T12:35:00Z</dcterms:created>
  <dcterms:modified xsi:type="dcterms:W3CDTF">2020-11-05T13:22:00Z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e7b34010-d460-46e8-8ba8-02a013b7b179</vt:lpwstr>
  </property>
</Properties>
</file>