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D8F4" w14:textId="77777777"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14:paraId="1250D36C" w14:textId="77777777" w:rsidR="00905F8A" w:rsidRDefault="00A53FCA">
      <w:pPr>
        <w:pStyle w:val="3GPPHeader"/>
      </w:pPr>
      <w:r>
        <w:rPr>
          <w:rFonts w:cs="Arial"/>
          <w:lang w:val="de-DE"/>
        </w:rPr>
        <w:t>Electronic Meeting, Nov 2-13, 2020</w:t>
      </w:r>
      <w:r>
        <w:tab/>
      </w:r>
    </w:p>
    <w:p w14:paraId="41CB945A" w14:textId="77777777" w:rsidR="00905F8A" w:rsidRDefault="00A53FCA">
      <w:pPr>
        <w:pStyle w:val="3GPPHeader"/>
        <w:rPr>
          <w:sz w:val="22"/>
          <w:szCs w:val="22"/>
          <w:lang w:val="en-US"/>
        </w:rPr>
      </w:pPr>
      <w:r>
        <w:rPr>
          <w:sz w:val="22"/>
          <w:szCs w:val="22"/>
          <w:lang w:val="en-US"/>
        </w:rPr>
        <w:t>Agenda Item:</w:t>
      </w:r>
      <w:r>
        <w:rPr>
          <w:sz w:val="22"/>
          <w:szCs w:val="22"/>
          <w:lang w:val="en-US"/>
        </w:rPr>
        <w:tab/>
        <w:t>5.4.3</w:t>
      </w:r>
    </w:p>
    <w:p w14:paraId="3A070A6D" w14:textId="77777777" w:rsidR="00905F8A" w:rsidRDefault="00A53FCA">
      <w:pPr>
        <w:pStyle w:val="3GPPHeader"/>
        <w:rPr>
          <w:sz w:val="22"/>
          <w:szCs w:val="22"/>
        </w:rPr>
      </w:pPr>
      <w:r>
        <w:rPr>
          <w:sz w:val="22"/>
          <w:szCs w:val="22"/>
        </w:rPr>
        <w:t>Source:</w:t>
      </w:r>
      <w:r>
        <w:rPr>
          <w:sz w:val="22"/>
          <w:szCs w:val="22"/>
        </w:rPr>
        <w:tab/>
        <w:t>Ericsson</w:t>
      </w:r>
    </w:p>
    <w:p w14:paraId="3B27C73F" w14:textId="77777777" w:rsidR="00905F8A" w:rsidRDefault="00A53FCA">
      <w:pPr>
        <w:pStyle w:val="3GPPHeader"/>
        <w:rPr>
          <w:sz w:val="22"/>
          <w:szCs w:val="22"/>
        </w:rPr>
      </w:pPr>
      <w:r>
        <w:rPr>
          <w:sz w:val="22"/>
          <w:szCs w:val="22"/>
        </w:rPr>
        <w:t>Title:</w:t>
      </w:r>
      <w:r>
        <w:rPr>
          <w:sz w:val="22"/>
          <w:szCs w:val="22"/>
        </w:rPr>
        <w:tab/>
        <w:t xml:space="preserve">Summary of offline 011 Rel-15 UE caps I </w:t>
      </w:r>
    </w:p>
    <w:p w14:paraId="001398F4" w14:textId="77777777" w:rsidR="00905F8A" w:rsidRDefault="00A53FCA">
      <w:pPr>
        <w:pStyle w:val="3GPPHeader"/>
        <w:rPr>
          <w:rFonts w:eastAsiaTheme="minorEastAsia"/>
          <w:sz w:val="22"/>
          <w:szCs w:val="22"/>
        </w:rPr>
      </w:pPr>
      <w:r>
        <w:rPr>
          <w:sz w:val="22"/>
          <w:szCs w:val="22"/>
        </w:rPr>
        <w:t>Document for:</w:t>
      </w:r>
      <w:r>
        <w:rPr>
          <w:sz w:val="22"/>
          <w:szCs w:val="22"/>
        </w:rPr>
        <w:tab/>
        <w:t>Discussion, Decision</w:t>
      </w:r>
    </w:p>
    <w:p w14:paraId="0ADF6CAF" w14:textId="77777777" w:rsidR="00905F8A" w:rsidRDefault="00A53FCA">
      <w:pPr>
        <w:pStyle w:val="Heading1"/>
      </w:pPr>
      <w:r>
        <w:t>1</w:t>
      </w:r>
      <w:r>
        <w:tab/>
        <w:t>Introduction</w:t>
      </w:r>
    </w:p>
    <w:p w14:paraId="38593737" w14:textId="77777777" w:rsidR="00905F8A" w:rsidRDefault="00A53FCA">
      <w:pPr>
        <w:spacing w:before="120"/>
        <w:rPr>
          <w:rFonts w:ascii="Arial" w:hAnsi="Arial" w:cs="Arial"/>
        </w:rPr>
      </w:pPr>
      <w:bookmarkStart w:id="0" w:name="_Ref178064866"/>
      <w:r>
        <w:rPr>
          <w:rFonts w:ascii="Arial" w:hAnsi="Arial" w:cs="Arial"/>
        </w:rPr>
        <w:t>This contribution summarizes the following discussion:</w:t>
      </w:r>
    </w:p>
    <w:p w14:paraId="51A7FE9B" w14:textId="77777777" w:rsidR="00905F8A" w:rsidRDefault="00A53FCA">
      <w:pPr>
        <w:pStyle w:val="EmailDiscussion"/>
        <w:overflowPunct/>
        <w:autoSpaceDE/>
        <w:autoSpaceDN/>
        <w:adjustRightInd/>
        <w:textAlignment w:val="auto"/>
      </w:pPr>
      <w:r>
        <w:t>[AT112-e][011][NR15] UE caps I (Ericsson)</w:t>
      </w:r>
    </w:p>
    <w:p w14:paraId="34DF6ED4" w14:textId="77777777" w:rsidR="00905F8A" w:rsidRDefault="00A53FCA">
      <w:pPr>
        <w:pStyle w:val="EmailDiscussion2"/>
        <w:ind w:left="1619" w:firstLine="0"/>
      </w:pPr>
      <w:r>
        <w:t>Treat R2-2010512, R2-2010513, R2-2010238, R2-2009630, R2-2010567, R2-2010568, R2-2010539, R2-2010538, R2-2010517 - R2-2010520, R2-2010084</w:t>
      </w:r>
    </w:p>
    <w:p w14:paraId="7AAB91C8" w14:textId="77777777" w:rsidR="00905F8A" w:rsidRDefault="00A53FCA">
      <w:pPr>
        <w:pStyle w:val="EmailDiscussion2"/>
      </w:pPr>
      <w:r>
        <w:tab/>
        <w:t xml:space="preserve">Intended outcome: Intermediate: Determine agreeable parts. Final: For agreeable parts, agreed CRs. </w:t>
      </w:r>
    </w:p>
    <w:p w14:paraId="23048C89" w14:textId="77777777" w:rsidR="00905F8A" w:rsidRDefault="00A53FCA">
      <w:pPr>
        <w:pStyle w:val="EmailDiscussion2"/>
      </w:pPr>
      <w:r>
        <w:tab/>
        <w:t>Deadline: Intermediate deadline(s) by Rapporteur, Final: Discussion stop at Wed Nov 11, 1200 UTC</w:t>
      </w:r>
    </w:p>
    <w:p w14:paraId="00902663" w14:textId="5DD49ADD" w:rsidR="00905F8A" w:rsidRDefault="00A53FCA">
      <w:pPr>
        <w:pStyle w:val="Heading1"/>
      </w:pPr>
      <w:r>
        <w:t>2</w:t>
      </w:r>
      <w:r>
        <w:tab/>
        <w:t>Discussion</w:t>
      </w:r>
    </w:p>
    <w:p w14:paraId="5575BC52" w14:textId="77777777" w:rsidR="000C218E" w:rsidRDefault="000C218E" w:rsidP="000C218E">
      <w:pPr>
        <w:pStyle w:val="BodyText"/>
        <w:rPr>
          <w:lang w:eastAsia="en-US"/>
        </w:rPr>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0C218E" w14:paraId="270EAC50" w14:textId="77777777" w:rsidTr="00162609">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C6837C" w14:textId="77777777" w:rsidR="000C218E" w:rsidRDefault="000C218E" w:rsidP="00162609">
            <w:pPr>
              <w:pStyle w:val="BodyText"/>
              <w:jc w:val="center"/>
            </w:pPr>
            <w: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F02E3" w14:textId="77777777" w:rsidR="000C218E" w:rsidRDefault="000C218E" w:rsidP="00162609">
            <w:pPr>
              <w:pStyle w:val="BodyText"/>
              <w:jc w:val="center"/>
              <w:rPr>
                <w:sz w:val="22"/>
                <w:szCs w:val="22"/>
              </w:rPr>
            </w:pPr>
            <w:r>
              <w:t>Delegate contact</w:t>
            </w:r>
          </w:p>
        </w:tc>
      </w:tr>
    </w:tbl>
    <w:tbl>
      <w:tblPr>
        <w:tblStyle w:val="TableGrid"/>
        <w:tblW w:w="0" w:type="auto"/>
        <w:tblLook w:val="04A0" w:firstRow="1" w:lastRow="0" w:firstColumn="1" w:lastColumn="0" w:noHBand="0" w:noVBand="1"/>
      </w:tblPr>
      <w:tblGrid>
        <w:gridCol w:w="1980"/>
        <w:gridCol w:w="6373"/>
      </w:tblGrid>
      <w:tr w:rsidR="000C218E" w14:paraId="7DE19F31" w14:textId="77777777" w:rsidTr="00162609">
        <w:tc>
          <w:tcPr>
            <w:tcW w:w="1980" w:type="dxa"/>
            <w:tcBorders>
              <w:top w:val="single" w:sz="4" w:space="0" w:color="auto"/>
              <w:left w:val="single" w:sz="4" w:space="0" w:color="auto"/>
              <w:bottom w:val="single" w:sz="4" w:space="0" w:color="auto"/>
              <w:right w:val="single" w:sz="4" w:space="0" w:color="auto"/>
            </w:tcBorders>
            <w:vAlign w:val="center"/>
            <w:hideMark/>
          </w:tcPr>
          <w:p w14:paraId="78F537A0" w14:textId="77777777" w:rsidR="000C218E" w:rsidRDefault="000C218E" w:rsidP="00162609">
            <w:pPr>
              <w:jc w:val="center"/>
              <w:rPr>
                <w:rFonts w:ascii="Arial" w:eastAsiaTheme="minorHAnsi" w:hAnsi="Arial" w:cs="Arial"/>
                <w:sz w:val="20"/>
                <w:szCs w:val="20"/>
                <w:lang w:eastAsia="en-US"/>
              </w:rPr>
            </w:pPr>
            <w:r>
              <w:rPr>
                <w:rFonts w:ascii="Arial" w:hAnsi="Arial" w:cs="Arial"/>
                <w:sz w:val="20"/>
                <w:szCs w:val="20"/>
              </w:rPr>
              <w:t>Ericsson (Lian)</w:t>
            </w:r>
          </w:p>
        </w:tc>
        <w:tc>
          <w:tcPr>
            <w:tcW w:w="6373" w:type="dxa"/>
            <w:tcBorders>
              <w:top w:val="single" w:sz="4" w:space="0" w:color="auto"/>
              <w:left w:val="single" w:sz="4" w:space="0" w:color="auto"/>
              <w:bottom w:val="single" w:sz="4" w:space="0" w:color="auto"/>
              <w:right w:val="single" w:sz="4" w:space="0" w:color="auto"/>
            </w:tcBorders>
            <w:hideMark/>
          </w:tcPr>
          <w:p w14:paraId="7263E8A9" w14:textId="77777777" w:rsidR="000C218E" w:rsidRDefault="000C218E" w:rsidP="00162609">
            <w:pPr>
              <w:jc w:val="center"/>
              <w:rPr>
                <w:rFonts w:ascii="Arial" w:hAnsi="Arial" w:cs="Arial"/>
              </w:rPr>
            </w:pPr>
            <w:r>
              <w:rPr>
                <w:rFonts w:ascii="Arial" w:hAnsi="Arial" w:cs="Arial"/>
              </w:rPr>
              <w:t>lian.araujo@ericsson.com</w:t>
            </w:r>
          </w:p>
        </w:tc>
      </w:tr>
      <w:tr w:rsidR="000C218E" w:rsidRPr="00D12415" w14:paraId="04D82116"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53A5081F" w14:textId="77777777" w:rsidR="000C218E" w:rsidRDefault="000C218E" w:rsidP="00162609">
            <w:pPr>
              <w:jc w:val="center"/>
              <w:rPr>
                <w:rFonts w:ascii="Arial" w:hAnsi="Arial" w:cs="Arial"/>
                <w:sz w:val="20"/>
                <w:szCs w:val="20"/>
              </w:rPr>
            </w:pPr>
            <w:r>
              <w:rPr>
                <w:rFonts w:ascii="Arial" w:hAnsi="Arial" w:cs="Arial"/>
                <w:sz w:val="20"/>
                <w:szCs w:val="20"/>
              </w:rPr>
              <w:t>Ericsson (Mattias)</w:t>
            </w:r>
          </w:p>
        </w:tc>
        <w:tc>
          <w:tcPr>
            <w:tcW w:w="6373" w:type="dxa"/>
            <w:tcBorders>
              <w:top w:val="single" w:sz="4" w:space="0" w:color="auto"/>
              <w:left w:val="single" w:sz="4" w:space="0" w:color="auto"/>
              <w:bottom w:val="single" w:sz="4" w:space="0" w:color="auto"/>
              <w:right w:val="single" w:sz="4" w:space="0" w:color="auto"/>
            </w:tcBorders>
          </w:tcPr>
          <w:p w14:paraId="7D3567B2" w14:textId="77777777" w:rsidR="000C218E" w:rsidRDefault="000C218E" w:rsidP="00162609">
            <w:pPr>
              <w:jc w:val="center"/>
              <w:rPr>
                <w:rFonts w:ascii="Arial" w:hAnsi="Arial" w:cs="Arial"/>
              </w:rPr>
            </w:pPr>
            <w:r w:rsidRPr="00D12415">
              <w:rPr>
                <w:rFonts w:ascii="Arial" w:hAnsi="Arial" w:cs="Arial"/>
              </w:rPr>
              <w:t>mattias.a.bergstrom@ericsson.com</w:t>
            </w:r>
          </w:p>
        </w:tc>
      </w:tr>
      <w:tr w:rsidR="000C218E" w:rsidRPr="00D12415" w14:paraId="473C7FCF"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727A018F" w14:textId="77777777" w:rsidR="000C218E" w:rsidRDefault="000C218E" w:rsidP="00162609">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4D9AD079" w14:textId="77777777" w:rsidR="000C218E" w:rsidRPr="00D12415" w:rsidRDefault="000C218E" w:rsidP="00162609">
            <w:pPr>
              <w:jc w:val="center"/>
              <w:rPr>
                <w:rFonts w:ascii="Arial" w:hAnsi="Arial" w:cs="Arial"/>
              </w:rPr>
            </w:pPr>
          </w:p>
        </w:tc>
      </w:tr>
      <w:tr w:rsidR="000C218E" w:rsidRPr="00D12415" w14:paraId="41053638"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76FFF778" w14:textId="77777777" w:rsidR="000C218E" w:rsidRDefault="000C218E" w:rsidP="00162609">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54C5BD8A" w14:textId="77777777" w:rsidR="000C218E" w:rsidRPr="00D12415" w:rsidRDefault="000C218E" w:rsidP="00162609">
            <w:pPr>
              <w:jc w:val="center"/>
              <w:rPr>
                <w:rFonts w:ascii="Arial" w:eastAsiaTheme="minorEastAsia" w:hAnsi="Arial" w:cs="Arial"/>
              </w:rPr>
            </w:pPr>
          </w:p>
        </w:tc>
      </w:tr>
      <w:tr w:rsidR="000C218E" w:rsidRPr="00D12415" w14:paraId="19A2A6BC"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7FFDC913" w14:textId="77777777" w:rsidR="000C218E" w:rsidRDefault="000C218E" w:rsidP="00162609">
            <w:pPr>
              <w:jc w:val="center"/>
              <w:rPr>
                <w:rFonts w:ascii="Arial" w:eastAsiaTheme="minorHAnsi"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4617C9B9" w14:textId="77777777" w:rsidR="000C218E" w:rsidRPr="00D12415" w:rsidRDefault="000C218E" w:rsidP="00162609">
            <w:pPr>
              <w:jc w:val="center"/>
              <w:rPr>
                <w:rFonts w:ascii="Arial" w:hAnsi="Arial" w:cs="Arial"/>
              </w:rPr>
            </w:pPr>
          </w:p>
        </w:tc>
      </w:tr>
      <w:tr w:rsidR="000C218E" w:rsidRPr="00D12415" w14:paraId="4574FB94"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0FE33CB0" w14:textId="77777777" w:rsidR="000C218E" w:rsidRDefault="000C218E" w:rsidP="00162609">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B9BDCDE" w14:textId="77777777" w:rsidR="000C218E" w:rsidRPr="00D12415" w:rsidRDefault="000C218E" w:rsidP="00162609">
            <w:pPr>
              <w:jc w:val="center"/>
              <w:rPr>
                <w:rFonts w:ascii="Arial" w:hAnsi="Arial" w:cs="Arial"/>
              </w:rPr>
            </w:pPr>
          </w:p>
        </w:tc>
      </w:tr>
    </w:tbl>
    <w:p w14:paraId="351D4370" w14:textId="77777777" w:rsidR="00905F8A" w:rsidRDefault="00A53FCA">
      <w:pPr>
        <w:pStyle w:val="Heading2"/>
      </w:pPr>
      <w:r>
        <w:t>2.1</w:t>
      </w:r>
      <w:r>
        <w:tab/>
        <w:t>Part 1: Intended to determine agreeable parts</w:t>
      </w:r>
    </w:p>
    <w:p w14:paraId="3EB0DE41" w14:textId="77777777" w:rsidR="00905F8A" w:rsidRDefault="00A53FCA">
      <w:pPr>
        <w:pStyle w:val="BodyText"/>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224B3C4B" w14:textId="77777777" w:rsidR="00905F8A" w:rsidRDefault="00A53FCA">
      <w:pPr>
        <w:pStyle w:val="Heading3"/>
      </w:pPr>
      <w:r>
        <w:t>2.1.1</w:t>
      </w:r>
      <w:r>
        <w:tab/>
        <w:t>Band list for redirection and measurement configuration</w:t>
      </w:r>
    </w:p>
    <w:p w14:paraId="3B54CEC8" w14:textId="77777777"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3F8D97B6" w14:textId="77777777" w:rsidR="00905F8A" w:rsidRDefault="00A53FCA">
      <w:pPr>
        <w:rPr>
          <w:b/>
          <w:bCs/>
        </w:rPr>
      </w:pPr>
      <w:r>
        <w:rPr>
          <w:b/>
          <w:bCs/>
          <w:noProof/>
          <w:lang w:val="en-US" w:eastAsia="zh-CN"/>
        </w:rPr>
        <w:lastRenderedPageBreak/>
        <mc:AlternateContent>
          <mc:Choice Requires="wps">
            <w:drawing>
              <wp:inline distT="0" distB="0" distL="0" distR="0" wp14:anchorId="125CBFB2" wp14:editId="0B32BF52">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6C6984B9" w14:textId="77777777"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2715AB8A" w14:textId="77777777"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05628A34" w14:textId="77777777" w:rsidR="00905F8A" w:rsidRDefault="00905F8A"/>
                        </w:txbxContent>
                      </wps:txbx>
                      <wps:bodyPr rot="0" vert="horz" wrap="square" lIns="91440" tIns="45720" rIns="91440" bIns="45720" anchor="t" anchorCtr="0">
                        <a:noAutofit/>
                      </wps:bodyPr>
                    </wps:wsp>
                  </a:graphicData>
                </a:graphic>
              </wp:inline>
            </w:drawing>
          </mc:Choice>
          <mc:Fallback>
            <w:pict>
              <v:shapetype w14:anchorId="125CBFB2"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14:paraId="6C6984B9" w14:textId="77777777"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2715AB8A" w14:textId="77777777"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05628A34" w14:textId="77777777" w:rsidR="00905F8A" w:rsidRDefault="00905F8A"/>
                  </w:txbxContent>
                </v:textbox>
                <w10:anchorlock/>
              </v:shape>
            </w:pict>
          </mc:Fallback>
        </mc:AlternateContent>
      </w:r>
    </w:p>
    <w:p w14:paraId="305CA1CB" w14:textId="77777777" w:rsidR="00905F8A" w:rsidRDefault="00A53FCA">
      <w:pPr>
        <w:spacing w:after="0"/>
        <w:jc w:val="both"/>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14:paraId="6CB7A55C"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905F8A" w14:paraId="665C6B66" w14:textId="77777777">
        <w:tc>
          <w:tcPr>
            <w:tcW w:w="1838" w:type="dxa"/>
          </w:tcPr>
          <w:p w14:paraId="5C4FB89A"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7969C149" w14:textId="77777777" w:rsidR="00905F8A" w:rsidRDefault="00A53FCA">
            <w:pPr>
              <w:spacing w:after="0"/>
              <w:jc w:val="both"/>
              <w:rPr>
                <w:rFonts w:ascii="Arial" w:hAnsi="Arial"/>
                <w:b/>
                <w:bCs/>
                <w:lang w:val="de-DE"/>
              </w:rPr>
            </w:pPr>
            <w:r>
              <w:rPr>
                <w:rFonts w:ascii="Arial" w:hAnsi="Arial"/>
                <w:b/>
                <w:bCs/>
                <w:lang w:val="de-DE"/>
              </w:rPr>
              <w:t>Yes/No</w:t>
            </w:r>
          </w:p>
        </w:tc>
        <w:tc>
          <w:tcPr>
            <w:tcW w:w="5806" w:type="dxa"/>
          </w:tcPr>
          <w:p w14:paraId="69290973"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19AC655A" w14:textId="77777777">
        <w:tc>
          <w:tcPr>
            <w:tcW w:w="1838" w:type="dxa"/>
          </w:tcPr>
          <w:p w14:paraId="0291141B"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2BD0071" w14:textId="77777777"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77C69E1B" w14:textId="77777777" w:rsidR="00905F8A" w:rsidRDefault="00A53FCA">
            <w:pPr>
              <w:spacing w:after="0"/>
              <w:jc w:val="both"/>
              <w:rPr>
                <w:rFonts w:ascii="Arial" w:eastAsia="Yu Mincho" w:hAnsi="Arial"/>
                <w:lang w:val="de-DE"/>
              </w:rPr>
            </w:pPr>
            <w:r>
              <w:rPr>
                <w:rFonts w:ascii="Arial" w:eastAsia="Yu Mincho" w:hAnsi="Arial"/>
                <w:lang w:val="de-DE"/>
              </w:rPr>
              <w:t>This is non-backward compatible change, and we should stick to the current principle, i.e. the network should be including the NR SA bands in the UE capability filter. We should not change the behaviour for release-16 as well because the network does not even know the UE release at the time it puts together the UE capability filter.</w:t>
            </w:r>
          </w:p>
        </w:tc>
      </w:tr>
      <w:tr w:rsidR="00905F8A" w14:paraId="28470B32" w14:textId="77777777">
        <w:tc>
          <w:tcPr>
            <w:tcW w:w="1838" w:type="dxa"/>
          </w:tcPr>
          <w:p w14:paraId="05B8E4C6" w14:textId="77777777" w:rsidR="00905F8A" w:rsidRDefault="00A53FCA">
            <w:pPr>
              <w:spacing w:after="0"/>
              <w:jc w:val="both"/>
              <w:rPr>
                <w:rFonts w:ascii="Arial" w:hAnsi="Arial"/>
                <w:lang w:val="de-DE"/>
              </w:rPr>
            </w:pPr>
            <w:r>
              <w:rPr>
                <w:rFonts w:ascii="Arial" w:hAnsi="Arial"/>
                <w:lang w:val="de-DE"/>
              </w:rPr>
              <w:t xml:space="preserve">Ericsson </w:t>
            </w:r>
          </w:p>
        </w:tc>
        <w:tc>
          <w:tcPr>
            <w:tcW w:w="1985" w:type="dxa"/>
          </w:tcPr>
          <w:p w14:paraId="212D2073" w14:textId="77777777" w:rsidR="00905F8A" w:rsidRDefault="00A53FCA">
            <w:pPr>
              <w:spacing w:after="0"/>
              <w:jc w:val="both"/>
              <w:rPr>
                <w:rFonts w:ascii="Arial" w:hAnsi="Arial"/>
                <w:lang w:val="de-DE"/>
              </w:rPr>
            </w:pPr>
            <w:r>
              <w:rPr>
                <w:rFonts w:ascii="Arial" w:hAnsi="Arial"/>
                <w:lang w:val="de-DE"/>
              </w:rPr>
              <w:t>No</w:t>
            </w:r>
          </w:p>
        </w:tc>
        <w:tc>
          <w:tcPr>
            <w:tcW w:w="5806" w:type="dxa"/>
          </w:tcPr>
          <w:p w14:paraId="5B42AF2C" w14:textId="77777777" w:rsidR="00905F8A" w:rsidRDefault="00A53FCA">
            <w:pPr>
              <w:spacing w:after="0"/>
              <w:jc w:val="both"/>
              <w:rPr>
                <w:rFonts w:ascii="Arial" w:hAnsi="Arial"/>
                <w:lang w:val="de-DE"/>
              </w:rPr>
            </w:pPr>
            <w:r>
              <w:rPr>
                <w:rFonts w:ascii="Arial" w:hAnsi="Arial"/>
                <w:lang w:val="de-DE"/>
              </w:rPr>
              <w:t>Agree with Qualcomm.</w:t>
            </w:r>
          </w:p>
        </w:tc>
      </w:tr>
      <w:tr w:rsidR="00905F8A" w14:paraId="1487A654" w14:textId="77777777">
        <w:tc>
          <w:tcPr>
            <w:tcW w:w="1838" w:type="dxa"/>
          </w:tcPr>
          <w:p w14:paraId="48853955"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39F54640" w14:textId="77777777" w:rsidR="00905F8A" w:rsidRDefault="00A53FCA">
            <w:pPr>
              <w:spacing w:after="0"/>
              <w:jc w:val="both"/>
              <w:rPr>
                <w:rFonts w:ascii="Arial" w:hAnsi="Arial"/>
                <w:lang w:val="de-DE"/>
              </w:rPr>
            </w:pPr>
            <w:r>
              <w:rPr>
                <w:rFonts w:ascii="Arial" w:hAnsi="Arial"/>
                <w:lang w:val="de-DE"/>
              </w:rPr>
              <w:t>No</w:t>
            </w:r>
          </w:p>
        </w:tc>
        <w:tc>
          <w:tcPr>
            <w:tcW w:w="5806" w:type="dxa"/>
          </w:tcPr>
          <w:p w14:paraId="1194CCF6" w14:textId="77777777" w:rsidR="00905F8A" w:rsidRDefault="00A53FCA">
            <w:pPr>
              <w:spacing w:after="0"/>
              <w:jc w:val="both"/>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905F8A" w14:paraId="39F4DC1D" w14:textId="77777777">
        <w:tc>
          <w:tcPr>
            <w:tcW w:w="1838" w:type="dxa"/>
          </w:tcPr>
          <w:p w14:paraId="33049765"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5230BDFB" w14:textId="77777777" w:rsidR="00905F8A" w:rsidRDefault="00A53FCA">
            <w:pPr>
              <w:spacing w:after="0"/>
              <w:jc w:val="both"/>
              <w:rPr>
                <w:rFonts w:ascii="Arial" w:hAnsi="Arial"/>
                <w:lang w:val="de-DE"/>
              </w:rPr>
            </w:pPr>
            <w:r>
              <w:rPr>
                <w:rFonts w:ascii="Arial" w:hAnsi="Arial"/>
                <w:lang w:val="de-DE"/>
              </w:rPr>
              <w:t>No</w:t>
            </w:r>
          </w:p>
        </w:tc>
        <w:tc>
          <w:tcPr>
            <w:tcW w:w="5806" w:type="dxa"/>
          </w:tcPr>
          <w:p w14:paraId="32F51A2E" w14:textId="77777777" w:rsidR="00905F8A" w:rsidRDefault="00A53FCA">
            <w:pPr>
              <w:spacing w:after="0"/>
              <w:jc w:val="both"/>
              <w:rPr>
                <w:rFonts w:ascii="Arial" w:hAnsi="Arial"/>
                <w:lang w:val="de-DE"/>
              </w:rPr>
            </w:pPr>
            <w:r>
              <w:rPr>
                <w:rFonts w:ascii="Arial" w:hAnsi="Arial"/>
                <w:lang w:val="de-DE"/>
              </w:rPr>
              <w:t>For Rel-15, it is clear NBC change and not accetable to us.</w:t>
            </w:r>
          </w:p>
          <w:p w14:paraId="7FFA21EF" w14:textId="77777777" w:rsidR="00905F8A" w:rsidRDefault="00A53FCA">
            <w:pPr>
              <w:spacing w:after="0"/>
              <w:jc w:val="both"/>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905F8A" w14:paraId="3DDFE3FD" w14:textId="77777777">
        <w:tc>
          <w:tcPr>
            <w:tcW w:w="1838" w:type="dxa"/>
          </w:tcPr>
          <w:p w14:paraId="01AD1BFB"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69171EAF" w14:textId="77777777" w:rsidR="00905F8A" w:rsidRDefault="00A53FCA">
            <w:pPr>
              <w:spacing w:after="0"/>
              <w:jc w:val="both"/>
              <w:rPr>
                <w:rFonts w:ascii="Arial" w:hAnsi="Arial"/>
                <w:lang w:val="de-DE"/>
              </w:rPr>
            </w:pPr>
            <w:r>
              <w:rPr>
                <w:rFonts w:ascii="Arial" w:hAnsi="Arial"/>
                <w:lang w:val="de-DE"/>
              </w:rPr>
              <w:t>No</w:t>
            </w:r>
          </w:p>
        </w:tc>
        <w:tc>
          <w:tcPr>
            <w:tcW w:w="5806" w:type="dxa"/>
          </w:tcPr>
          <w:p w14:paraId="370109C0" w14:textId="77777777" w:rsidR="00905F8A" w:rsidRDefault="00A53FCA">
            <w:pPr>
              <w:spacing w:after="0"/>
              <w:jc w:val="both"/>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905F8A" w14:paraId="0A6FF407" w14:textId="77777777">
        <w:tc>
          <w:tcPr>
            <w:tcW w:w="1838" w:type="dxa"/>
          </w:tcPr>
          <w:p w14:paraId="513A4790"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43D8334F" w14:textId="77777777" w:rsidR="00905F8A" w:rsidRDefault="00A53FCA">
            <w:pPr>
              <w:spacing w:after="0"/>
              <w:jc w:val="both"/>
              <w:rPr>
                <w:rFonts w:ascii="Arial" w:hAnsi="Arial"/>
                <w:lang w:val="de-DE"/>
              </w:rPr>
            </w:pPr>
            <w:r>
              <w:rPr>
                <w:rFonts w:ascii="Arial" w:hAnsi="Arial"/>
                <w:lang w:val="de-DE"/>
              </w:rPr>
              <w:t>No</w:t>
            </w:r>
          </w:p>
        </w:tc>
        <w:tc>
          <w:tcPr>
            <w:tcW w:w="5806" w:type="dxa"/>
          </w:tcPr>
          <w:p w14:paraId="583528ED" w14:textId="77777777" w:rsidR="00905F8A" w:rsidRDefault="00A53FCA">
            <w:pPr>
              <w:spacing w:after="0"/>
              <w:jc w:val="both"/>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905F8A" w14:paraId="3F50C102" w14:textId="77777777">
        <w:tc>
          <w:tcPr>
            <w:tcW w:w="1838" w:type="dxa"/>
          </w:tcPr>
          <w:p w14:paraId="03F1618D"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5E3809C1" w14:textId="77777777"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26DB1F69" w14:textId="77777777" w:rsidR="00905F8A" w:rsidRDefault="00A53FCA">
            <w:pPr>
              <w:spacing w:after="0"/>
              <w:jc w:val="both"/>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905F8A" w14:paraId="4D15A25A" w14:textId="77777777">
        <w:tc>
          <w:tcPr>
            <w:tcW w:w="1838" w:type="dxa"/>
          </w:tcPr>
          <w:p w14:paraId="1809369B"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348099B9"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449617A3"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14:paraId="76749B9A" w14:textId="77777777">
        <w:tc>
          <w:tcPr>
            <w:tcW w:w="1838" w:type="dxa"/>
          </w:tcPr>
          <w:p w14:paraId="5202443D" w14:textId="77777777" w:rsidR="003075A9" w:rsidRPr="00B70C2C" w:rsidRDefault="003075A9" w:rsidP="009E4914">
            <w:pPr>
              <w:spacing w:after="0"/>
              <w:jc w:val="both"/>
              <w:rPr>
                <w:rFonts w:ascii="Arial" w:hAnsi="Arial"/>
                <w:noProof/>
                <w:lang w:eastAsia="zh-CN"/>
              </w:rPr>
            </w:pPr>
            <w:r>
              <w:rPr>
                <w:rFonts w:ascii="Arial" w:hAnsi="Arial" w:hint="eastAsia"/>
                <w:noProof/>
                <w:lang w:eastAsia="zh-CN"/>
              </w:rPr>
              <w:lastRenderedPageBreak/>
              <w:t>CATT</w:t>
            </w:r>
          </w:p>
        </w:tc>
        <w:tc>
          <w:tcPr>
            <w:tcW w:w="1985" w:type="dxa"/>
          </w:tcPr>
          <w:p w14:paraId="3C00C76E" w14:textId="77777777" w:rsidR="003075A9" w:rsidRDefault="003075A9"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14:paraId="04EF96B0" w14:textId="77777777"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r w:rsidR="00DA0A34" w14:paraId="7042CA12" w14:textId="77777777">
        <w:tc>
          <w:tcPr>
            <w:tcW w:w="1838" w:type="dxa"/>
          </w:tcPr>
          <w:p w14:paraId="72824F97"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0C343C62" w14:textId="77777777" w:rsid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14:paraId="4AFD3E10" w14:textId="77777777" w:rsidR="00DA0A34" w:rsidRDefault="00DA0A34" w:rsidP="009E4914">
            <w:pPr>
              <w:spacing w:after="0"/>
              <w:jc w:val="both"/>
              <w:rPr>
                <w:rFonts w:ascii="Arial" w:eastAsiaTheme="minorEastAsia" w:hAnsi="Arial"/>
                <w:noProof/>
                <w:lang w:eastAsia="zh-CN"/>
              </w:rPr>
            </w:pPr>
          </w:p>
        </w:tc>
      </w:tr>
    </w:tbl>
    <w:p w14:paraId="4D4F01B6" w14:textId="77777777" w:rsidR="00905F8A" w:rsidRDefault="00905F8A">
      <w:pPr>
        <w:spacing w:after="0"/>
        <w:jc w:val="both"/>
        <w:rPr>
          <w:rFonts w:ascii="Arial" w:hAnsi="Arial"/>
        </w:rPr>
      </w:pPr>
    </w:p>
    <w:p w14:paraId="6B016F9E" w14:textId="77777777" w:rsidR="00905F8A" w:rsidRDefault="00905F8A">
      <w:pPr>
        <w:spacing w:after="0"/>
        <w:jc w:val="both"/>
        <w:rPr>
          <w:rFonts w:ascii="Arial" w:hAnsi="Arial"/>
          <w:b/>
          <w:bCs/>
        </w:rPr>
      </w:pPr>
    </w:p>
    <w:p w14:paraId="3123EBB2" w14:textId="77777777"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14:paraId="4A15E9B3" w14:textId="77777777" w:rsidR="00905F8A" w:rsidRDefault="00905F8A">
      <w:pPr>
        <w:spacing w:after="0"/>
        <w:jc w:val="both"/>
        <w:rPr>
          <w:rFonts w:ascii="Arial" w:hAnsi="Arial"/>
        </w:rPr>
      </w:pPr>
    </w:p>
    <w:p w14:paraId="45B3504B" w14:textId="77777777" w:rsidR="00905F8A" w:rsidRDefault="00A53FCA">
      <w:pPr>
        <w:spacing w:after="0"/>
        <w:jc w:val="both"/>
        <w:rPr>
          <w:rFonts w:ascii="Arial" w:hAnsi="Arial"/>
        </w:rPr>
      </w:pPr>
      <w:r>
        <w:rPr>
          <w:b/>
          <w:bCs/>
          <w:noProof/>
          <w:lang w:val="en-US" w:eastAsia="zh-CN"/>
        </w:rPr>
        <mc:AlternateContent>
          <mc:Choice Requires="wps">
            <w:drawing>
              <wp:inline distT="0" distB="0" distL="0" distR="0" wp14:anchorId="34E27459" wp14:editId="6E963FB7">
                <wp:extent cx="6120765" cy="1251798"/>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14:paraId="675AB0AD" w14:textId="77777777"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14:paraId="1D38CC32" w14:textId="77777777"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14:paraId="26FE4A7F" w14:textId="77777777" w:rsidR="00905F8A" w:rsidRDefault="00905F8A"/>
                        </w:txbxContent>
                      </wps:txbx>
                      <wps:bodyPr rot="0" vert="horz" wrap="square" lIns="91440" tIns="45720" rIns="91440" bIns="45720" anchor="t" anchorCtr="0">
                        <a:noAutofit/>
                      </wps:bodyPr>
                    </wps:wsp>
                  </a:graphicData>
                </a:graphic>
              </wp:inline>
            </w:drawing>
          </mc:Choice>
          <mc:Fallback>
            <w:pict>
              <v:shape w14:anchorId="34E27459"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14:paraId="675AB0AD" w14:textId="77777777"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14:paraId="1D38CC32" w14:textId="77777777"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14:paraId="26FE4A7F" w14:textId="77777777" w:rsidR="00905F8A" w:rsidRDefault="00905F8A"/>
                  </w:txbxContent>
                </v:textbox>
                <w10:anchorlock/>
              </v:shape>
            </w:pict>
          </mc:Fallback>
        </mc:AlternateContent>
      </w:r>
    </w:p>
    <w:p w14:paraId="047CA3B0" w14:textId="77777777" w:rsidR="00905F8A" w:rsidRDefault="00A53FCA">
      <w:pPr>
        <w:spacing w:after="0"/>
        <w:jc w:val="both"/>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14:paraId="3CA0373B" w14:textId="77777777" w:rsidR="00905F8A" w:rsidRDefault="00905F8A">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905F8A" w14:paraId="6E8A56C5" w14:textId="77777777">
        <w:tc>
          <w:tcPr>
            <w:tcW w:w="1837" w:type="dxa"/>
          </w:tcPr>
          <w:p w14:paraId="6973B749"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174B5818"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407F4BC3"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3B6BC122" w14:textId="77777777">
        <w:tc>
          <w:tcPr>
            <w:tcW w:w="1837" w:type="dxa"/>
          </w:tcPr>
          <w:p w14:paraId="4C2FC917"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0424534" w14:textId="77777777"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14:paraId="6965D187"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022408A1"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905F8A" w14:paraId="7671B9B4" w14:textId="77777777">
        <w:tc>
          <w:tcPr>
            <w:tcW w:w="1837" w:type="dxa"/>
          </w:tcPr>
          <w:p w14:paraId="2FDD1B7C"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50741E44" w14:textId="77777777" w:rsidR="00905F8A" w:rsidRDefault="00A53FCA">
            <w:pPr>
              <w:spacing w:after="0"/>
              <w:jc w:val="both"/>
              <w:rPr>
                <w:rFonts w:ascii="Arial" w:hAnsi="Arial"/>
                <w:lang w:val="de-DE"/>
              </w:rPr>
            </w:pPr>
            <w:r>
              <w:rPr>
                <w:rFonts w:ascii="Arial" w:hAnsi="Arial"/>
                <w:lang w:val="de-DE"/>
              </w:rPr>
              <w:t>P1: Yes, see comment.</w:t>
            </w:r>
          </w:p>
          <w:p w14:paraId="11B9F5B7" w14:textId="77777777" w:rsidR="00905F8A" w:rsidRDefault="00A53FCA">
            <w:pPr>
              <w:spacing w:after="0"/>
              <w:jc w:val="both"/>
              <w:rPr>
                <w:rFonts w:ascii="Arial" w:hAnsi="Arial"/>
                <w:lang w:val="de-DE"/>
              </w:rPr>
            </w:pPr>
            <w:r>
              <w:rPr>
                <w:rFonts w:ascii="Arial" w:hAnsi="Arial"/>
                <w:lang w:val="de-DE"/>
              </w:rPr>
              <w:t>P2: Yes</w:t>
            </w:r>
          </w:p>
        </w:tc>
        <w:tc>
          <w:tcPr>
            <w:tcW w:w="5807" w:type="dxa"/>
          </w:tcPr>
          <w:p w14:paraId="26142D3F" w14:textId="77777777" w:rsidR="00905F8A" w:rsidRDefault="00A53FCA">
            <w:pPr>
              <w:spacing w:after="0"/>
              <w:jc w:val="both"/>
              <w:rPr>
                <w:rFonts w:ascii="Arial" w:hAnsi="Arial"/>
                <w:lang w:val="de-DE"/>
              </w:rPr>
            </w:pPr>
            <w:r>
              <w:rPr>
                <w:rFonts w:ascii="Arial" w:hAnsi="Arial"/>
                <w:lang w:val="de-DE"/>
              </w:rPr>
              <w:t>P1:</w:t>
            </w:r>
          </w:p>
          <w:p w14:paraId="6F189377" w14:textId="77777777" w:rsidR="00905F8A" w:rsidRDefault="00A53FCA">
            <w:pPr>
              <w:spacing w:after="0"/>
              <w:jc w:val="both"/>
              <w:rPr>
                <w:rFonts w:ascii="Arial" w:hAnsi="Arial"/>
                <w:lang w:val="de-DE"/>
              </w:rPr>
            </w:pPr>
            <w:r>
              <w:rPr>
                <w:rFonts w:ascii="Arial" w:hAnsi="Arial"/>
                <w:lang w:val="de-DE"/>
              </w:rPr>
              <w:t>The UE shall accept the Release-message. The UE will not trigger some error.</w:t>
            </w:r>
          </w:p>
          <w:p w14:paraId="1CDE244F" w14:textId="77777777" w:rsidR="00905F8A" w:rsidRDefault="00905F8A">
            <w:pPr>
              <w:spacing w:after="0"/>
              <w:jc w:val="both"/>
              <w:rPr>
                <w:rFonts w:ascii="Arial" w:hAnsi="Arial"/>
                <w:lang w:val="de-DE"/>
              </w:rPr>
            </w:pPr>
          </w:p>
          <w:p w14:paraId="1123A9B8" w14:textId="77777777" w:rsidR="00905F8A" w:rsidRDefault="00A53FCA">
            <w:pPr>
              <w:spacing w:after="0"/>
              <w:jc w:val="both"/>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2032A21B" w14:textId="77777777" w:rsidR="00905F8A" w:rsidRDefault="00905F8A">
            <w:pPr>
              <w:spacing w:after="0"/>
              <w:jc w:val="both"/>
              <w:rPr>
                <w:rFonts w:ascii="Arial" w:hAnsi="Arial"/>
                <w:lang w:val="de-DE"/>
              </w:rPr>
            </w:pPr>
          </w:p>
          <w:p w14:paraId="5181AA5E" w14:textId="77777777" w:rsidR="00905F8A" w:rsidRDefault="00A53FCA">
            <w:pPr>
              <w:spacing w:after="0"/>
              <w:jc w:val="both"/>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905F8A" w14:paraId="5EBAC3CB" w14:textId="77777777">
        <w:tc>
          <w:tcPr>
            <w:tcW w:w="1837" w:type="dxa"/>
          </w:tcPr>
          <w:p w14:paraId="03EE1B44"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6098B054" w14:textId="77777777" w:rsidR="00905F8A" w:rsidRDefault="00A53FCA">
            <w:pPr>
              <w:spacing w:after="0"/>
              <w:jc w:val="both"/>
              <w:rPr>
                <w:rFonts w:ascii="Arial" w:hAnsi="Arial"/>
                <w:lang w:val="de-DE"/>
              </w:rPr>
            </w:pPr>
            <w:r>
              <w:rPr>
                <w:rFonts w:ascii="Arial" w:hAnsi="Arial"/>
                <w:lang w:val="de-DE"/>
              </w:rPr>
              <w:t>P1:no</w:t>
            </w:r>
          </w:p>
          <w:p w14:paraId="5CB1824C" w14:textId="77777777" w:rsidR="00905F8A" w:rsidRDefault="00A53FCA">
            <w:pPr>
              <w:spacing w:after="0"/>
              <w:jc w:val="both"/>
              <w:rPr>
                <w:rFonts w:ascii="Arial" w:hAnsi="Arial"/>
                <w:lang w:val="de-DE"/>
              </w:rPr>
            </w:pPr>
            <w:r>
              <w:rPr>
                <w:rFonts w:ascii="Arial" w:hAnsi="Arial"/>
                <w:lang w:val="de-DE"/>
              </w:rPr>
              <w:t>P2: Ok</w:t>
            </w:r>
          </w:p>
        </w:tc>
        <w:tc>
          <w:tcPr>
            <w:tcW w:w="5807" w:type="dxa"/>
          </w:tcPr>
          <w:p w14:paraId="20E07A26" w14:textId="77777777" w:rsidR="00905F8A" w:rsidRDefault="00A53FCA">
            <w:pPr>
              <w:spacing w:after="0"/>
              <w:jc w:val="both"/>
              <w:rPr>
                <w:rFonts w:ascii="Arial" w:hAnsi="Arial"/>
                <w:lang w:val="de-DE"/>
              </w:rPr>
            </w:pPr>
            <w:r>
              <w:rPr>
                <w:rFonts w:ascii="Arial" w:hAnsi="Arial"/>
                <w:lang w:val="de-DE"/>
              </w:rPr>
              <w:t>Same views as Qualcomm on the redirection for EN-DC only support.</w:t>
            </w:r>
          </w:p>
        </w:tc>
      </w:tr>
      <w:tr w:rsidR="00905F8A" w14:paraId="44762809" w14:textId="77777777">
        <w:tc>
          <w:tcPr>
            <w:tcW w:w="1837" w:type="dxa"/>
          </w:tcPr>
          <w:p w14:paraId="3DF6213B"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2665B026"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262361DF" w14:textId="77777777" w:rsidR="00905F8A" w:rsidRDefault="00A53FCA">
            <w:pPr>
              <w:spacing w:after="0"/>
              <w:jc w:val="both"/>
              <w:rPr>
                <w:rFonts w:ascii="Arial" w:hAnsi="Arial"/>
                <w:lang w:val="de-DE"/>
              </w:rPr>
            </w:pPr>
            <w:r>
              <w:rPr>
                <w:rFonts w:ascii="Arial" w:hAnsi="Arial"/>
                <w:lang w:val="de-DE"/>
              </w:rPr>
              <w:t xml:space="preserve">We are ok with with both proposal 1 and proposal 2 in R2-2010238. </w:t>
            </w:r>
          </w:p>
          <w:p w14:paraId="366E671A" w14:textId="77777777" w:rsidR="00905F8A" w:rsidRDefault="00A53FCA">
            <w:pPr>
              <w:spacing w:after="0"/>
              <w:jc w:val="both"/>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905F8A" w14:paraId="0E96F63B" w14:textId="77777777">
        <w:tc>
          <w:tcPr>
            <w:tcW w:w="1837" w:type="dxa"/>
          </w:tcPr>
          <w:p w14:paraId="03EAC813" w14:textId="77777777" w:rsidR="00905F8A" w:rsidRDefault="00A53FCA">
            <w:pPr>
              <w:spacing w:after="0"/>
              <w:jc w:val="both"/>
              <w:rPr>
                <w:rFonts w:ascii="Arial" w:hAnsi="Arial"/>
                <w:lang w:val="de-DE"/>
              </w:rPr>
            </w:pPr>
            <w:r>
              <w:rPr>
                <w:rFonts w:ascii="Arial" w:hAnsi="Arial"/>
                <w:lang w:val="de-DE"/>
              </w:rPr>
              <w:lastRenderedPageBreak/>
              <w:t>Intel</w:t>
            </w:r>
          </w:p>
        </w:tc>
        <w:tc>
          <w:tcPr>
            <w:tcW w:w="1985" w:type="dxa"/>
          </w:tcPr>
          <w:p w14:paraId="610A3C78" w14:textId="77777777" w:rsidR="00905F8A" w:rsidRDefault="00A53FCA">
            <w:pPr>
              <w:spacing w:after="0"/>
              <w:jc w:val="both"/>
              <w:rPr>
                <w:rFonts w:ascii="Arial" w:hAnsi="Arial"/>
                <w:lang w:val="de-DE"/>
              </w:rPr>
            </w:pPr>
            <w:r>
              <w:rPr>
                <w:rFonts w:ascii="Arial" w:hAnsi="Arial"/>
                <w:lang w:val="de-DE"/>
              </w:rPr>
              <w:t>Yes only to Proposal 2</w:t>
            </w:r>
          </w:p>
        </w:tc>
        <w:tc>
          <w:tcPr>
            <w:tcW w:w="5807" w:type="dxa"/>
          </w:tcPr>
          <w:p w14:paraId="60BEB0F1" w14:textId="77777777" w:rsidR="00905F8A" w:rsidRDefault="00A53FCA">
            <w:pPr>
              <w:spacing w:after="0"/>
              <w:jc w:val="both"/>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905F8A" w14:paraId="5718B67D" w14:textId="77777777">
        <w:tc>
          <w:tcPr>
            <w:tcW w:w="1837" w:type="dxa"/>
          </w:tcPr>
          <w:p w14:paraId="5070DF65"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1536F4BE" w14:textId="77777777" w:rsidR="00905F8A" w:rsidRDefault="00A53FCA">
            <w:pPr>
              <w:spacing w:after="0"/>
              <w:jc w:val="both"/>
              <w:rPr>
                <w:rFonts w:ascii="Arial" w:hAnsi="Arial"/>
                <w:lang w:val="de-DE"/>
              </w:rPr>
            </w:pPr>
            <w:r>
              <w:rPr>
                <w:rFonts w:ascii="Arial" w:hAnsi="Arial"/>
                <w:lang w:val="de-DE"/>
              </w:rPr>
              <w:t>P1:Yes, but</w:t>
            </w:r>
          </w:p>
          <w:p w14:paraId="7857E8B3" w14:textId="77777777" w:rsidR="00905F8A" w:rsidRDefault="00A53FCA">
            <w:pPr>
              <w:spacing w:after="0"/>
              <w:jc w:val="both"/>
              <w:rPr>
                <w:rFonts w:ascii="Arial" w:hAnsi="Arial"/>
                <w:lang w:val="de-DE"/>
              </w:rPr>
            </w:pPr>
            <w:r>
              <w:rPr>
                <w:rFonts w:ascii="Arial" w:hAnsi="Arial"/>
                <w:lang w:val="de-DE"/>
              </w:rPr>
              <w:t>P2:Yes</w:t>
            </w:r>
          </w:p>
        </w:tc>
        <w:tc>
          <w:tcPr>
            <w:tcW w:w="5807" w:type="dxa"/>
          </w:tcPr>
          <w:p w14:paraId="5F870666" w14:textId="77777777" w:rsidR="00905F8A" w:rsidRDefault="00A53FCA">
            <w:pPr>
              <w:spacing w:after="0"/>
              <w:jc w:val="both"/>
              <w:rPr>
                <w:rFonts w:ascii="Arial" w:hAnsi="Arial"/>
                <w:lang w:val="de-DE"/>
              </w:rPr>
            </w:pPr>
            <w:r>
              <w:rPr>
                <w:rFonts w:ascii="Arial" w:hAnsi="Arial"/>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14:paraId="5A0D5C22" w14:textId="77777777" w:rsidR="00905F8A" w:rsidRDefault="00A53FCA">
            <w:pPr>
              <w:spacing w:after="0"/>
              <w:jc w:val="both"/>
              <w:rPr>
                <w:rFonts w:ascii="Arial" w:hAnsi="Arial"/>
                <w:lang w:val="de-DE"/>
              </w:rPr>
            </w:pPr>
            <w:r>
              <w:rPr>
                <w:rFonts w:ascii="Arial" w:hAnsi="Arial"/>
                <w:lang w:val="de-DE"/>
              </w:rPr>
              <w:t>For P2: Yes</w:t>
            </w:r>
          </w:p>
          <w:p w14:paraId="4D945F77" w14:textId="77777777" w:rsidR="00905F8A" w:rsidRDefault="00905F8A">
            <w:pPr>
              <w:spacing w:after="0"/>
              <w:jc w:val="both"/>
              <w:rPr>
                <w:rFonts w:ascii="Arial" w:hAnsi="Arial"/>
                <w:lang w:val="de-DE"/>
              </w:rPr>
            </w:pPr>
          </w:p>
          <w:p w14:paraId="501F2D46" w14:textId="77777777" w:rsidR="00905F8A" w:rsidRDefault="00A53FCA">
            <w:pPr>
              <w:spacing w:after="0"/>
              <w:jc w:val="both"/>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905F8A" w14:paraId="6DB7821E" w14:textId="77777777">
        <w:tc>
          <w:tcPr>
            <w:tcW w:w="1837" w:type="dxa"/>
          </w:tcPr>
          <w:p w14:paraId="6A1DAE01" w14:textId="77777777" w:rsidR="00905F8A" w:rsidRDefault="00A53FCA">
            <w:pPr>
              <w:spacing w:after="0"/>
              <w:jc w:val="both"/>
              <w:rPr>
                <w:rFonts w:ascii="Arial" w:hAnsi="Arial"/>
                <w:lang w:val="de-DE"/>
              </w:rPr>
            </w:pPr>
            <w:r>
              <w:rPr>
                <w:rFonts w:ascii="Arial" w:hAnsi="Arial"/>
                <w:lang w:val="de-DE"/>
              </w:rPr>
              <w:t>Huawei, HiSilicon (Proponent)</w:t>
            </w:r>
          </w:p>
        </w:tc>
        <w:tc>
          <w:tcPr>
            <w:tcW w:w="1985" w:type="dxa"/>
          </w:tcPr>
          <w:p w14:paraId="0FA938FA" w14:textId="77777777" w:rsidR="00905F8A" w:rsidRDefault="00A53FCA">
            <w:pPr>
              <w:spacing w:after="0"/>
              <w:jc w:val="both"/>
              <w:rPr>
                <w:rFonts w:ascii="Arial" w:eastAsia="Yu Mincho" w:hAnsi="Arial"/>
                <w:lang w:val="de-DE"/>
              </w:rPr>
            </w:pPr>
            <w:r>
              <w:rPr>
                <w:rFonts w:ascii="Arial" w:eastAsia="Yu Mincho" w:hAnsi="Arial"/>
                <w:lang w:val="de-DE"/>
              </w:rPr>
              <w:t>P1: Yes</w:t>
            </w:r>
          </w:p>
          <w:p w14:paraId="69FB95C6" w14:textId="77777777" w:rsidR="00905F8A" w:rsidRDefault="00A53FCA">
            <w:pPr>
              <w:spacing w:after="0"/>
              <w:jc w:val="both"/>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73ADCDA7" w14:textId="77777777" w:rsidR="00905F8A" w:rsidRDefault="00A53FCA">
            <w:pPr>
              <w:spacing w:after="0"/>
              <w:jc w:val="both"/>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905F8A" w14:paraId="40A01938" w14:textId="77777777">
        <w:tc>
          <w:tcPr>
            <w:tcW w:w="1837" w:type="dxa"/>
          </w:tcPr>
          <w:p w14:paraId="34079BE1"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22F3DEA2" w14:textId="77777777" w:rsidR="00905F8A" w:rsidRDefault="00A53FCA">
            <w:pPr>
              <w:spacing w:after="0"/>
              <w:jc w:val="both"/>
              <w:rPr>
                <w:rFonts w:ascii="Arial" w:eastAsia="Yu Mincho" w:hAnsi="Arial"/>
                <w:lang w:val="de-DE"/>
              </w:rPr>
            </w:pPr>
            <w:r>
              <w:rPr>
                <w:rFonts w:ascii="Arial" w:eastAsia="Yu Mincho" w:hAnsi="Arial"/>
                <w:lang w:val="de-DE"/>
              </w:rPr>
              <w:t>P1: Yes</w:t>
            </w:r>
          </w:p>
          <w:p w14:paraId="00B0A2CE"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136263EC"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8F64C3" w14:paraId="1ED2326A" w14:textId="77777777">
        <w:tc>
          <w:tcPr>
            <w:tcW w:w="1837" w:type="dxa"/>
          </w:tcPr>
          <w:p w14:paraId="58F45F6F" w14:textId="77777777" w:rsidR="008F64C3" w:rsidRPr="00B70C2C" w:rsidRDefault="008F64C3"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31FDFEA4" w14:textId="77777777" w:rsidR="008F64C3" w:rsidRDefault="008F64C3" w:rsidP="009E4914">
            <w:pPr>
              <w:spacing w:after="0"/>
              <w:jc w:val="both"/>
              <w:rPr>
                <w:rFonts w:ascii="Arial" w:eastAsia="Yu Mincho" w:hAnsi="Arial"/>
                <w:noProof/>
                <w:lang w:eastAsia="zh-CN"/>
              </w:rPr>
            </w:pPr>
            <w:r>
              <w:rPr>
                <w:rFonts w:ascii="Arial" w:eastAsia="Yu Mincho" w:hAnsi="Arial" w:hint="eastAsia"/>
                <w:noProof/>
                <w:lang w:eastAsia="zh-CN"/>
              </w:rPr>
              <w:t>Yes for P1 and P2</w:t>
            </w:r>
          </w:p>
        </w:tc>
        <w:tc>
          <w:tcPr>
            <w:tcW w:w="5807" w:type="dxa"/>
          </w:tcPr>
          <w:p w14:paraId="781EA0D5" w14:textId="77777777" w:rsidR="008F64C3" w:rsidRDefault="008F64C3" w:rsidP="009E4914">
            <w:pPr>
              <w:spacing w:after="0"/>
              <w:jc w:val="both"/>
              <w:rPr>
                <w:rFonts w:ascii="Arial" w:eastAsiaTheme="minorEastAsia" w:hAnsi="Arial"/>
                <w:noProof/>
                <w:lang w:eastAsia="zh-CN"/>
              </w:rPr>
            </w:pPr>
            <w:r w:rsidRPr="00D86D3D">
              <w:rPr>
                <w:rFonts w:ascii="Arial" w:eastAsiaTheme="minorEastAsia" w:hAnsi="Arial"/>
                <w:noProof/>
                <w:lang w:eastAsia="zh-CN"/>
              </w:rPr>
              <w:t>We believes these are scenarios for which configuration ‎freedom can be left to the network. ‎</w:t>
            </w:r>
          </w:p>
          <w:p w14:paraId="4A0D019E" w14:textId="77777777" w:rsidR="008F64C3" w:rsidRDefault="008F64C3" w:rsidP="009E4914">
            <w:pPr>
              <w:spacing w:after="0"/>
              <w:jc w:val="both"/>
              <w:rPr>
                <w:rFonts w:ascii="Arial" w:eastAsiaTheme="minorEastAsia" w:hAnsi="Arial"/>
                <w:noProof/>
                <w:lang w:eastAsia="zh-CN"/>
              </w:rPr>
            </w:pPr>
          </w:p>
          <w:p w14:paraId="7003D626" w14:textId="77777777" w:rsidR="008F64C3" w:rsidRDefault="008F64C3" w:rsidP="009E4914">
            <w:pPr>
              <w:spacing w:after="0"/>
              <w:jc w:val="both"/>
              <w:rPr>
                <w:rFonts w:ascii="Arial" w:eastAsiaTheme="minorEastAsia" w:hAnsi="Arial"/>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14:paraId="5E3B6225" w14:textId="77777777" w:rsidR="008F64C3" w:rsidRDefault="008F64C3" w:rsidP="009E4914">
            <w:pPr>
              <w:spacing w:after="0"/>
              <w:jc w:val="both"/>
              <w:rPr>
                <w:rFonts w:ascii="Arial" w:eastAsiaTheme="minorEastAsia" w:hAnsi="Arial"/>
                <w:noProof/>
                <w:lang w:eastAsia="zh-CN"/>
              </w:rPr>
            </w:pPr>
          </w:p>
          <w:p w14:paraId="2731067A" w14:textId="77777777" w:rsidR="008F64C3" w:rsidRDefault="008F64C3" w:rsidP="009E4914">
            <w:pPr>
              <w:spacing w:after="0"/>
              <w:jc w:val="both"/>
              <w:rPr>
                <w:rFonts w:ascii="Arial" w:eastAsiaTheme="minorEastAsia" w:hAnsi="Arial"/>
                <w:noProof/>
                <w:lang w:eastAsia="zh-CN"/>
              </w:rPr>
            </w:pPr>
          </w:p>
        </w:tc>
      </w:tr>
      <w:tr w:rsidR="00DA0A34" w14:paraId="78EE5151" w14:textId="77777777">
        <w:tc>
          <w:tcPr>
            <w:tcW w:w="1837" w:type="dxa"/>
          </w:tcPr>
          <w:p w14:paraId="00E4D9EA"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888B78" w14:textId="77777777" w:rsid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P1:No</w:t>
            </w:r>
          </w:p>
          <w:p w14:paraId="1F5B73E8"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P2: yes with question</w:t>
            </w:r>
          </w:p>
        </w:tc>
        <w:tc>
          <w:tcPr>
            <w:tcW w:w="5807" w:type="dxa"/>
          </w:tcPr>
          <w:p w14:paraId="127A4D25" w14:textId="77777777" w:rsidR="00DA0A34" w:rsidRPr="00D86D3D"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If network redirect a band which UE doesn’t support, it is not clear what UE will do and we don’t want to introduce such uncertainty. For P2, any spec impct? Current spec an already can do it.</w:t>
            </w:r>
          </w:p>
        </w:tc>
      </w:tr>
    </w:tbl>
    <w:p w14:paraId="69B27833" w14:textId="77777777" w:rsidR="00905F8A" w:rsidRDefault="00905F8A">
      <w:pPr>
        <w:spacing w:after="0"/>
        <w:jc w:val="both"/>
        <w:rPr>
          <w:rFonts w:ascii="Arial" w:hAnsi="Arial"/>
        </w:rPr>
      </w:pPr>
    </w:p>
    <w:p w14:paraId="7EBA2C64" w14:textId="77777777" w:rsidR="00905F8A" w:rsidRDefault="00A53FCA">
      <w:pPr>
        <w:pStyle w:val="Heading3"/>
      </w:pPr>
      <w:r>
        <w:t>2.1.2</w:t>
      </w:r>
      <w:r>
        <w:tab/>
        <w:t>Feature sets and fallback concept</w:t>
      </w:r>
    </w:p>
    <w:p w14:paraId="4745FFCC" w14:textId="77777777"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14:paraId="63731E88" w14:textId="77777777" w:rsidR="00905F8A" w:rsidRDefault="00905F8A">
      <w:pPr>
        <w:spacing w:after="0"/>
        <w:jc w:val="both"/>
        <w:rPr>
          <w:rFonts w:ascii="Arial" w:hAnsi="Arial"/>
        </w:rPr>
      </w:pPr>
    </w:p>
    <w:p w14:paraId="5267370C" w14:textId="77777777" w:rsidR="00905F8A" w:rsidRDefault="00A53FCA">
      <w:pPr>
        <w:spacing w:after="0"/>
        <w:jc w:val="both"/>
        <w:rPr>
          <w:rFonts w:ascii="Arial" w:hAnsi="Arial"/>
          <w:b/>
          <w:bCs/>
        </w:rPr>
      </w:pPr>
      <w:r>
        <w:rPr>
          <w:rFonts w:ascii="Arial" w:hAnsi="Arial"/>
          <w:b/>
          <w:bCs/>
        </w:rPr>
        <w:t>Q3 Do companies agree with the intention of the CRs above?</w:t>
      </w:r>
    </w:p>
    <w:p w14:paraId="5CB7B9EC"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905F8A" w14:paraId="47500E1A" w14:textId="77777777">
        <w:tc>
          <w:tcPr>
            <w:tcW w:w="1838" w:type="dxa"/>
          </w:tcPr>
          <w:p w14:paraId="0F648886"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1ED644D7" w14:textId="77777777" w:rsidR="00905F8A" w:rsidRDefault="00A53FCA">
            <w:pPr>
              <w:spacing w:after="0"/>
              <w:jc w:val="both"/>
              <w:rPr>
                <w:rFonts w:ascii="Arial" w:hAnsi="Arial"/>
                <w:b/>
                <w:bCs/>
                <w:lang w:val="de-DE"/>
              </w:rPr>
            </w:pPr>
            <w:r>
              <w:rPr>
                <w:rFonts w:ascii="Arial" w:hAnsi="Arial"/>
                <w:b/>
                <w:bCs/>
                <w:lang w:val="de-DE"/>
              </w:rPr>
              <w:t>Yes/No</w:t>
            </w:r>
          </w:p>
        </w:tc>
        <w:tc>
          <w:tcPr>
            <w:tcW w:w="5806" w:type="dxa"/>
          </w:tcPr>
          <w:p w14:paraId="1D1B9C83"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4D0566EE" w14:textId="77777777">
        <w:tc>
          <w:tcPr>
            <w:tcW w:w="1838" w:type="dxa"/>
          </w:tcPr>
          <w:p w14:paraId="6539E458"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8F9E932" w14:textId="77777777"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26740C37" w14:textId="77777777" w:rsidR="00905F8A" w:rsidRDefault="00905F8A">
            <w:pPr>
              <w:spacing w:after="0"/>
              <w:jc w:val="both"/>
              <w:rPr>
                <w:rFonts w:ascii="Arial" w:hAnsi="Arial"/>
                <w:lang w:val="de-DE"/>
              </w:rPr>
            </w:pPr>
          </w:p>
        </w:tc>
      </w:tr>
      <w:tr w:rsidR="00905F8A" w14:paraId="5290A7AD" w14:textId="77777777">
        <w:tc>
          <w:tcPr>
            <w:tcW w:w="1838" w:type="dxa"/>
          </w:tcPr>
          <w:p w14:paraId="634AA734"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41FD6190" w14:textId="77777777" w:rsidR="00905F8A" w:rsidRDefault="00A53FCA">
            <w:pPr>
              <w:spacing w:after="0"/>
              <w:jc w:val="both"/>
              <w:rPr>
                <w:rFonts w:ascii="Arial" w:hAnsi="Arial"/>
                <w:lang w:val="de-DE"/>
              </w:rPr>
            </w:pPr>
            <w:r>
              <w:rPr>
                <w:rFonts w:ascii="Arial" w:hAnsi="Arial"/>
                <w:lang w:val="de-DE"/>
              </w:rPr>
              <w:t>Yes (Proponent)</w:t>
            </w:r>
          </w:p>
        </w:tc>
        <w:tc>
          <w:tcPr>
            <w:tcW w:w="5806" w:type="dxa"/>
          </w:tcPr>
          <w:p w14:paraId="3094ABD4" w14:textId="77777777" w:rsidR="00905F8A" w:rsidRDefault="00905F8A">
            <w:pPr>
              <w:spacing w:after="0"/>
              <w:jc w:val="both"/>
              <w:rPr>
                <w:rFonts w:ascii="Arial" w:hAnsi="Arial"/>
                <w:lang w:val="de-DE"/>
              </w:rPr>
            </w:pPr>
          </w:p>
        </w:tc>
      </w:tr>
      <w:tr w:rsidR="00905F8A" w14:paraId="4BC96645" w14:textId="77777777">
        <w:tc>
          <w:tcPr>
            <w:tcW w:w="1838" w:type="dxa"/>
          </w:tcPr>
          <w:p w14:paraId="127D7284"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719EDD2F" w14:textId="77777777" w:rsidR="00905F8A" w:rsidRDefault="00A53FCA">
            <w:pPr>
              <w:spacing w:after="0"/>
              <w:jc w:val="both"/>
              <w:rPr>
                <w:rFonts w:ascii="Arial" w:hAnsi="Arial"/>
                <w:lang w:val="de-DE"/>
              </w:rPr>
            </w:pPr>
            <w:r>
              <w:rPr>
                <w:rFonts w:ascii="Arial" w:hAnsi="Arial"/>
                <w:lang w:val="de-DE"/>
              </w:rPr>
              <w:t>Ok</w:t>
            </w:r>
          </w:p>
        </w:tc>
        <w:tc>
          <w:tcPr>
            <w:tcW w:w="5806" w:type="dxa"/>
          </w:tcPr>
          <w:p w14:paraId="76984CDB" w14:textId="77777777" w:rsidR="00905F8A" w:rsidRDefault="00905F8A">
            <w:pPr>
              <w:spacing w:after="0"/>
              <w:jc w:val="both"/>
              <w:rPr>
                <w:rFonts w:ascii="Arial" w:hAnsi="Arial"/>
                <w:lang w:val="de-DE"/>
              </w:rPr>
            </w:pPr>
          </w:p>
        </w:tc>
      </w:tr>
      <w:tr w:rsidR="00905F8A" w14:paraId="59488F33" w14:textId="77777777">
        <w:tc>
          <w:tcPr>
            <w:tcW w:w="1838" w:type="dxa"/>
          </w:tcPr>
          <w:p w14:paraId="08653086"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2D0334C9"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6F0CCE05" w14:textId="77777777" w:rsidR="00905F8A" w:rsidRDefault="00905F8A">
            <w:pPr>
              <w:spacing w:after="0"/>
              <w:jc w:val="both"/>
              <w:rPr>
                <w:rFonts w:ascii="Arial" w:hAnsi="Arial"/>
                <w:lang w:val="de-DE"/>
              </w:rPr>
            </w:pPr>
          </w:p>
        </w:tc>
      </w:tr>
      <w:tr w:rsidR="00905F8A" w14:paraId="18E63D34" w14:textId="77777777">
        <w:tc>
          <w:tcPr>
            <w:tcW w:w="1838" w:type="dxa"/>
          </w:tcPr>
          <w:p w14:paraId="4FAA7B42" w14:textId="77777777" w:rsidR="00905F8A" w:rsidRDefault="00A53FCA">
            <w:pPr>
              <w:spacing w:after="0"/>
              <w:jc w:val="both"/>
              <w:rPr>
                <w:rFonts w:ascii="Arial" w:hAnsi="Arial"/>
                <w:lang w:val="de-DE"/>
              </w:rPr>
            </w:pPr>
            <w:r>
              <w:rPr>
                <w:rFonts w:ascii="Arial" w:hAnsi="Arial"/>
                <w:lang w:val="de-DE"/>
              </w:rPr>
              <w:lastRenderedPageBreak/>
              <w:t>Intel</w:t>
            </w:r>
          </w:p>
        </w:tc>
        <w:tc>
          <w:tcPr>
            <w:tcW w:w="1985" w:type="dxa"/>
          </w:tcPr>
          <w:p w14:paraId="5A4763BF"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7FCA8F3E" w14:textId="77777777" w:rsidR="00905F8A" w:rsidRDefault="00905F8A">
            <w:pPr>
              <w:spacing w:after="0"/>
              <w:jc w:val="both"/>
              <w:rPr>
                <w:rFonts w:ascii="Arial" w:hAnsi="Arial"/>
                <w:lang w:val="de-DE"/>
              </w:rPr>
            </w:pPr>
          </w:p>
        </w:tc>
      </w:tr>
      <w:tr w:rsidR="00905F8A" w14:paraId="6CFCA5F7" w14:textId="77777777">
        <w:tc>
          <w:tcPr>
            <w:tcW w:w="1838" w:type="dxa"/>
          </w:tcPr>
          <w:p w14:paraId="53C6BB26"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0A0670AF"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341D8ED1" w14:textId="77777777" w:rsidR="00905F8A" w:rsidRDefault="00A53FCA">
            <w:pPr>
              <w:spacing w:after="0"/>
              <w:jc w:val="both"/>
              <w:rPr>
                <w:rFonts w:ascii="Arial" w:hAnsi="Arial"/>
                <w:lang w:val="de-DE"/>
              </w:rPr>
            </w:pPr>
            <w:r>
              <w:rPr>
                <w:rFonts w:ascii="Arial" w:hAnsi="Arial"/>
                <w:lang w:val="de-DE"/>
              </w:rPr>
              <w:t>Proponent</w:t>
            </w:r>
          </w:p>
        </w:tc>
      </w:tr>
      <w:tr w:rsidR="00905F8A" w14:paraId="1A52A7B6" w14:textId="77777777">
        <w:tc>
          <w:tcPr>
            <w:tcW w:w="1838" w:type="dxa"/>
          </w:tcPr>
          <w:p w14:paraId="3377DDDB"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1886EE68" w14:textId="77777777" w:rsidR="00905F8A" w:rsidRDefault="00A53FCA">
            <w:pPr>
              <w:spacing w:after="0"/>
              <w:jc w:val="both"/>
              <w:rPr>
                <w:rFonts w:ascii="Arial" w:hAnsi="Arial"/>
                <w:lang w:val="de-DE"/>
              </w:rPr>
            </w:pPr>
            <w:r>
              <w:rPr>
                <w:rFonts w:ascii="Arial" w:eastAsiaTheme="minorEastAsia" w:hAnsi="Arial"/>
                <w:lang w:val="de-DE" w:eastAsia="zh-CN"/>
              </w:rPr>
              <w:t>Yes but</w:t>
            </w:r>
          </w:p>
        </w:tc>
        <w:tc>
          <w:tcPr>
            <w:tcW w:w="5806" w:type="dxa"/>
          </w:tcPr>
          <w:p w14:paraId="0B74C913" w14:textId="77777777" w:rsidR="00905F8A" w:rsidRDefault="00A53FCA">
            <w:pPr>
              <w:spacing w:after="0"/>
              <w:jc w:val="both"/>
              <w:rPr>
                <w:rFonts w:ascii="Arial" w:hAnsi="Arial"/>
                <w:lang w:val="de-DE"/>
              </w:rPr>
            </w:pPr>
            <w:r>
              <w:rPr>
                <w:rFonts w:ascii="Arial" w:eastAsiaTheme="minorEastAsia" w:hAnsi="Arial"/>
                <w:lang w:val="de-DE" w:eastAsia="zh-CN"/>
              </w:rPr>
              <w:t>Agree with the intention. However, we think the field description in 38.331 can be kept as it is, since it is more related to the signalling structure, and remove the contradiction sentences in 38.306.</w:t>
            </w:r>
          </w:p>
        </w:tc>
      </w:tr>
      <w:tr w:rsidR="00905F8A" w14:paraId="021899BA" w14:textId="77777777">
        <w:tc>
          <w:tcPr>
            <w:tcW w:w="1838" w:type="dxa"/>
          </w:tcPr>
          <w:p w14:paraId="6FF8A15E"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30539274"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112636FF" w14:textId="77777777" w:rsidR="00905F8A" w:rsidRDefault="00905F8A">
            <w:pPr>
              <w:spacing w:after="0"/>
              <w:jc w:val="both"/>
              <w:rPr>
                <w:rFonts w:ascii="Arial" w:eastAsiaTheme="minorEastAsia" w:hAnsi="Arial"/>
                <w:lang w:val="de-DE" w:eastAsia="zh-CN"/>
              </w:rPr>
            </w:pPr>
          </w:p>
        </w:tc>
      </w:tr>
      <w:tr w:rsidR="00460456" w14:paraId="594989DA" w14:textId="77777777">
        <w:tc>
          <w:tcPr>
            <w:tcW w:w="1838" w:type="dxa"/>
          </w:tcPr>
          <w:p w14:paraId="04CE13D2" w14:textId="77777777"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14:paraId="70DB08F3" w14:textId="77777777"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14:paraId="1DF342D0" w14:textId="77777777" w:rsidR="00460456" w:rsidRDefault="00460456" w:rsidP="009E4914">
            <w:pPr>
              <w:spacing w:after="0"/>
              <w:jc w:val="both"/>
              <w:rPr>
                <w:rFonts w:ascii="Arial" w:hAnsi="Arial"/>
                <w:noProof/>
                <w:lang w:eastAsia="zh-CN"/>
              </w:rPr>
            </w:pPr>
            <w:r>
              <w:rPr>
                <w:rFonts w:ascii="Arial" w:hAnsi="Arial"/>
                <w:noProof/>
                <w:lang w:eastAsia="zh-CN"/>
              </w:rPr>
              <w:t>T</w:t>
            </w:r>
            <w:r>
              <w:rPr>
                <w:rFonts w:ascii="Arial" w:hAnsi="Arial" w:hint="eastAsia"/>
                <w:noProof/>
                <w:lang w:eastAsia="zh-CN"/>
              </w:rPr>
              <w:t xml:space="preserve">he changes to 306 seems fine. </w:t>
            </w:r>
          </w:p>
          <w:p w14:paraId="1856E986" w14:textId="77777777"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r w:rsidR="0023757D" w14:paraId="73D3BAAD" w14:textId="77777777">
        <w:tc>
          <w:tcPr>
            <w:tcW w:w="1838" w:type="dxa"/>
          </w:tcPr>
          <w:p w14:paraId="753A57AB"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5A423567"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39079B0B" w14:textId="77777777" w:rsidR="0023757D" w:rsidRDefault="0023757D" w:rsidP="009E4914">
            <w:pPr>
              <w:spacing w:after="0"/>
              <w:jc w:val="both"/>
              <w:rPr>
                <w:rFonts w:ascii="Arial" w:hAnsi="Arial"/>
                <w:noProof/>
                <w:lang w:eastAsia="zh-CN"/>
              </w:rPr>
            </w:pPr>
          </w:p>
        </w:tc>
      </w:tr>
    </w:tbl>
    <w:p w14:paraId="1CAD7C35" w14:textId="77777777" w:rsidR="00905F8A" w:rsidRDefault="00905F8A">
      <w:pPr>
        <w:spacing w:after="0"/>
        <w:jc w:val="both"/>
        <w:rPr>
          <w:rFonts w:ascii="Arial" w:hAnsi="Arial"/>
        </w:rPr>
      </w:pPr>
    </w:p>
    <w:p w14:paraId="4682AC62" w14:textId="77777777"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14:paraId="1E1C0F1C" w14:textId="77777777" w:rsidR="00905F8A" w:rsidRDefault="00A53FCA">
      <w:pPr>
        <w:spacing w:after="0"/>
        <w:jc w:val="both"/>
        <w:rPr>
          <w:rFonts w:ascii="Arial" w:hAnsi="Arial"/>
          <w:b/>
          <w:bCs/>
        </w:rPr>
      </w:pPr>
      <w:r>
        <w:rPr>
          <w:rFonts w:ascii="Arial" w:hAnsi="Arial"/>
          <w:b/>
          <w:bCs/>
        </w:rPr>
        <w:t>Q4 Do companies agree with the intention of the CRs above?</w:t>
      </w:r>
    </w:p>
    <w:p w14:paraId="357C610A"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905F8A" w14:paraId="30A4916C" w14:textId="77777777">
        <w:tc>
          <w:tcPr>
            <w:tcW w:w="1837" w:type="dxa"/>
          </w:tcPr>
          <w:p w14:paraId="7FA39B7D"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429108F7"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5111BDA0"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58CB6116" w14:textId="77777777">
        <w:tc>
          <w:tcPr>
            <w:tcW w:w="1837" w:type="dxa"/>
          </w:tcPr>
          <w:p w14:paraId="346B9E19" w14:textId="77777777" w:rsidR="00905F8A" w:rsidRDefault="00A53FCA">
            <w:pPr>
              <w:spacing w:after="0"/>
              <w:jc w:val="both"/>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F9CF1F6" w14:textId="77777777" w:rsidR="00905F8A" w:rsidRDefault="00A53FCA">
            <w:pPr>
              <w:spacing w:after="0"/>
              <w:jc w:val="both"/>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62FB2BC7" w14:textId="77777777" w:rsidR="00905F8A" w:rsidRDefault="00905F8A">
            <w:pPr>
              <w:spacing w:after="0"/>
              <w:jc w:val="both"/>
              <w:rPr>
                <w:rFonts w:ascii="Arial" w:hAnsi="Arial"/>
                <w:lang w:val="de-DE"/>
              </w:rPr>
            </w:pPr>
          </w:p>
        </w:tc>
      </w:tr>
      <w:tr w:rsidR="00905F8A" w14:paraId="24DDD293" w14:textId="77777777">
        <w:tc>
          <w:tcPr>
            <w:tcW w:w="1837" w:type="dxa"/>
          </w:tcPr>
          <w:p w14:paraId="0D586322"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12DFD689" w14:textId="77777777" w:rsidR="00905F8A" w:rsidRDefault="00A53FCA">
            <w:pPr>
              <w:spacing w:after="0"/>
              <w:jc w:val="both"/>
              <w:rPr>
                <w:rFonts w:ascii="Arial" w:hAnsi="Arial"/>
                <w:lang w:val="de-DE"/>
              </w:rPr>
            </w:pPr>
            <w:r>
              <w:rPr>
                <w:rFonts w:ascii="Arial" w:hAnsi="Arial"/>
                <w:lang w:val="de-DE"/>
              </w:rPr>
              <w:t>Yes (Proponent)</w:t>
            </w:r>
          </w:p>
        </w:tc>
        <w:tc>
          <w:tcPr>
            <w:tcW w:w="5807" w:type="dxa"/>
          </w:tcPr>
          <w:p w14:paraId="30360EAD" w14:textId="77777777" w:rsidR="00905F8A" w:rsidRDefault="00905F8A">
            <w:pPr>
              <w:spacing w:after="0"/>
              <w:jc w:val="both"/>
              <w:rPr>
                <w:rFonts w:ascii="Arial" w:hAnsi="Arial"/>
                <w:lang w:val="de-DE"/>
              </w:rPr>
            </w:pPr>
          </w:p>
        </w:tc>
      </w:tr>
      <w:tr w:rsidR="00905F8A" w14:paraId="6C74774F" w14:textId="77777777">
        <w:tc>
          <w:tcPr>
            <w:tcW w:w="1837" w:type="dxa"/>
          </w:tcPr>
          <w:p w14:paraId="6CE40F11"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0422EBD3" w14:textId="77777777" w:rsidR="00905F8A" w:rsidRDefault="00A53FCA">
            <w:pPr>
              <w:spacing w:after="0"/>
              <w:jc w:val="both"/>
              <w:rPr>
                <w:rFonts w:ascii="Arial" w:hAnsi="Arial"/>
                <w:lang w:val="de-DE"/>
              </w:rPr>
            </w:pPr>
            <w:r>
              <w:rPr>
                <w:rFonts w:ascii="Arial" w:hAnsi="Arial"/>
                <w:lang w:val="de-DE"/>
              </w:rPr>
              <w:t>No</w:t>
            </w:r>
          </w:p>
        </w:tc>
        <w:tc>
          <w:tcPr>
            <w:tcW w:w="5807" w:type="dxa"/>
          </w:tcPr>
          <w:p w14:paraId="4ABDBFD0" w14:textId="77777777" w:rsidR="00905F8A" w:rsidRDefault="00A53FCA">
            <w:pPr>
              <w:spacing w:after="0"/>
              <w:jc w:val="both"/>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905F8A" w14:paraId="7F0CD01B" w14:textId="77777777">
        <w:tc>
          <w:tcPr>
            <w:tcW w:w="1837" w:type="dxa"/>
          </w:tcPr>
          <w:p w14:paraId="4B120F5B"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0EE3E111"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573DF5D5" w14:textId="77777777" w:rsidR="00905F8A" w:rsidRDefault="00905F8A">
            <w:pPr>
              <w:spacing w:after="0"/>
              <w:jc w:val="both"/>
              <w:rPr>
                <w:rFonts w:ascii="Arial" w:hAnsi="Arial"/>
                <w:lang w:val="de-DE"/>
              </w:rPr>
            </w:pPr>
          </w:p>
        </w:tc>
      </w:tr>
      <w:tr w:rsidR="00905F8A" w14:paraId="01E772DD" w14:textId="77777777">
        <w:tc>
          <w:tcPr>
            <w:tcW w:w="1837" w:type="dxa"/>
          </w:tcPr>
          <w:p w14:paraId="299892F2"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5D4A208F" w14:textId="77777777" w:rsidR="00905F8A" w:rsidRDefault="00A53FCA">
            <w:pPr>
              <w:spacing w:after="0"/>
              <w:jc w:val="both"/>
              <w:rPr>
                <w:rFonts w:ascii="Arial" w:hAnsi="Arial"/>
                <w:lang w:val="de-DE"/>
              </w:rPr>
            </w:pPr>
            <w:r>
              <w:rPr>
                <w:rFonts w:ascii="Arial" w:hAnsi="Arial"/>
                <w:lang w:val="de-DE"/>
              </w:rPr>
              <w:t>No</w:t>
            </w:r>
          </w:p>
        </w:tc>
        <w:tc>
          <w:tcPr>
            <w:tcW w:w="5807" w:type="dxa"/>
          </w:tcPr>
          <w:p w14:paraId="7FCFF532" w14:textId="77777777" w:rsidR="00905F8A" w:rsidRDefault="00A53FCA">
            <w:pPr>
              <w:spacing w:after="0"/>
              <w:jc w:val="both"/>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14:paraId="67FE8AE7" w14:textId="77777777" w:rsidR="00905F8A" w:rsidRDefault="00905F8A">
            <w:pPr>
              <w:spacing w:after="0"/>
              <w:jc w:val="both"/>
              <w:rPr>
                <w:rFonts w:ascii="Arial" w:hAnsi="Arial"/>
                <w:lang w:val="de-DE"/>
              </w:rPr>
            </w:pPr>
          </w:p>
          <w:p w14:paraId="2B23B6FB" w14:textId="77777777" w:rsidR="00905F8A" w:rsidRDefault="00A53FCA">
            <w:pPr>
              <w:pStyle w:val="TAL"/>
              <w:ind w:left="567"/>
              <w:rPr>
                <w:b/>
                <w:bCs/>
                <w:i/>
                <w:iCs/>
                <w:szCs w:val="18"/>
              </w:rPr>
            </w:pPr>
            <w:r>
              <w:rPr>
                <w:b/>
                <w:bCs/>
                <w:i/>
                <w:iCs/>
              </w:rPr>
              <w:t>supportedModulationOrderDL</w:t>
            </w:r>
          </w:p>
          <w:p w14:paraId="142F86B7" w14:textId="77777777" w:rsidR="00905F8A" w:rsidRDefault="00A53FCA">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14:paraId="7E4FD18D" w14:textId="77777777" w:rsidR="00905F8A" w:rsidRDefault="00A53FCA">
            <w:pPr>
              <w:pStyle w:val="TAL"/>
              <w:ind w:left="567"/>
            </w:pPr>
            <w:r>
              <w:t xml:space="preserve">-             for FR1, the network uses the modulation order signalled in </w:t>
            </w:r>
            <w:r>
              <w:rPr>
                <w:i/>
                <w:iCs/>
              </w:rPr>
              <w:t>pdsch-256QAM-FR1</w:t>
            </w:r>
            <w:r>
              <w:t>.</w:t>
            </w:r>
          </w:p>
          <w:p w14:paraId="5726FB78" w14:textId="77777777" w:rsidR="00905F8A" w:rsidRDefault="00A53FCA">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0D89FE24" w14:textId="77777777" w:rsidR="00905F8A" w:rsidRDefault="00A53FCA">
            <w:pPr>
              <w:spacing w:after="0"/>
              <w:ind w:left="567"/>
              <w:jc w:val="both"/>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905F8A" w14:paraId="35BA17EC" w14:textId="77777777">
        <w:tc>
          <w:tcPr>
            <w:tcW w:w="1837" w:type="dxa"/>
          </w:tcPr>
          <w:p w14:paraId="272E3C36"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33C8B8BD"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36640254" w14:textId="77777777" w:rsidR="00905F8A" w:rsidRDefault="00A53FCA">
            <w:pPr>
              <w:spacing w:after="0"/>
              <w:jc w:val="both"/>
              <w:rPr>
                <w:rFonts w:ascii="Arial" w:hAnsi="Arial"/>
                <w:lang w:val="de-DE"/>
              </w:rPr>
            </w:pPr>
            <w:r>
              <w:rPr>
                <w:rFonts w:ascii="Arial" w:hAnsi="Arial"/>
                <w:lang w:val="de-DE"/>
              </w:rPr>
              <w:t>Proponent</w:t>
            </w:r>
          </w:p>
        </w:tc>
      </w:tr>
      <w:tr w:rsidR="00905F8A" w14:paraId="2465B445" w14:textId="77777777">
        <w:tc>
          <w:tcPr>
            <w:tcW w:w="1837" w:type="dxa"/>
          </w:tcPr>
          <w:p w14:paraId="3F34968C"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5F803C38" w14:textId="77777777" w:rsidR="00905F8A" w:rsidRDefault="00905F8A">
            <w:pPr>
              <w:spacing w:after="0"/>
              <w:jc w:val="both"/>
              <w:rPr>
                <w:rFonts w:ascii="Arial" w:hAnsi="Arial"/>
                <w:lang w:val="de-DE"/>
              </w:rPr>
            </w:pPr>
          </w:p>
        </w:tc>
        <w:tc>
          <w:tcPr>
            <w:tcW w:w="5807" w:type="dxa"/>
          </w:tcPr>
          <w:p w14:paraId="5593157F" w14:textId="77777777" w:rsidR="00905F8A" w:rsidRDefault="00A53FCA">
            <w:pPr>
              <w:spacing w:after="0"/>
              <w:jc w:val="both"/>
              <w:rPr>
                <w:rFonts w:ascii="Arial" w:hAnsi="Arial"/>
                <w:lang w:val="de-DE"/>
              </w:rPr>
            </w:pPr>
            <w:r>
              <w:rPr>
                <w:rFonts w:ascii="Arial" w:eastAsiaTheme="minorEastAsia" w:hAnsi="Arial"/>
                <w:lang w:val="de-DE" w:eastAsia="zh-CN"/>
              </w:rPr>
              <w:t xml:space="preserve">Agree with Intel that </w:t>
            </w:r>
            <w:r>
              <w:rPr>
                <w:rFonts w:ascii="Arial" w:hAnsi="Arial"/>
                <w:lang w:val="de-DE"/>
              </w:rPr>
              <w:t xml:space="preserve">supportedModulationOrderDL in FSPC is used to calculate the max data rate, rather than the real uased modulation order for scheduling, so the </w:t>
            </w:r>
            <w:r>
              <w:rPr>
                <w:rFonts w:ascii="Arial" w:hAnsi="Arial"/>
                <w:lang w:val="de-DE"/>
              </w:rPr>
              <w:lastRenderedPageBreak/>
              <w:t>correction for Rel-15 is not necessary.</w:t>
            </w:r>
          </w:p>
          <w:p w14:paraId="06AC8B39" w14:textId="77777777" w:rsidR="00905F8A" w:rsidRDefault="00A53FCA">
            <w:pPr>
              <w:spacing w:after="0"/>
              <w:jc w:val="both"/>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905F8A" w14:paraId="57234DE6" w14:textId="77777777">
        <w:tc>
          <w:tcPr>
            <w:tcW w:w="1837" w:type="dxa"/>
          </w:tcPr>
          <w:p w14:paraId="6CC17522" w14:textId="77777777" w:rsidR="00905F8A" w:rsidRDefault="00A53FCA">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54B790C9" w14:textId="77777777" w:rsidR="00905F8A" w:rsidRDefault="00905F8A">
            <w:pPr>
              <w:spacing w:after="0"/>
              <w:jc w:val="both"/>
              <w:rPr>
                <w:rFonts w:ascii="Arial" w:hAnsi="Arial"/>
                <w:lang w:val="de-DE"/>
              </w:rPr>
            </w:pPr>
          </w:p>
        </w:tc>
        <w:tc>
          <w:tcPr>
            <w:tcW w:w="5807" w:type="dxa"/>
          </w:tcPr>
          <w:p w14:paraId="213A5D8A" w14:textId="77777777" w:rsidR="00905F8A" w:rsidRDefault="00A53FCA">
            <w:pPr>
              <w:spacing w:after="0"/>
              <w:jc w:val="both"/>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246EA9" w14:paraId="5D9B2677" w14:textId="77777777">
        <w:tc>
          <w:tcPr>
            <w:tcW w:w="1837" w:type="dxa"/>
          </w:tcPr>
          <w:p w14:paraId="0070576F" w14:textId="77777777" w:rsidR="00246EA9" w:rsidRPr="00B70C2C" w:rsidRDefault="00246EA9"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70D6FFDC" w14:textId="77777777" w:rsidR="00246EA9" w:rsidRDefault="00246EA9" w:rsidP="009E4914">
            <w:pPr>
              <w:spacing w:after="0"/>
              <w:jc w:val="both"/>
              <w:rPr>
                <w:rFonts w:ascii="Arial" w:hAnsi="Arial"/>
                <w:noProof/>
              </w:rPr>
            </w:pPr>
          </w:p>
        </w:tc>
        <w:tc>
          <w:tcPr>
            <w:tcW w:w="5807" w:type="dxa"/>
          </w:tcPr>
          <w:p w14:paraId="03228028" w14:textId="77777777"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r w:rsidR="0023757D" w14:paraId="30165E04" w14:textId="77777777">
        <w:tc>
          <w:tcPr>
            <w:tcW w:w="1837" w:type="dxa"/>
          </w:tcPr>
          <w:p w14:paraId="241F9C52"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BBCAE48"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 with question</w:t>
            </w:r>
          </w:p>
        </w:tc>
        <w:tc>
          <w:tcPr>
            <w:tcW w:w="5807" w:type="dxa"/>
          </w:tcPr>
          <w:p w14:paraId="4076FEB6" w14:textId="77777777" w:rsidR="0023757D" w:rsidRDefault="0023757D" w:rsidP="009E4914">
            <w:pPr>
              <w:spacing w:after="0"/>
              <w:jc w:val="both"/>
              <w:rPr>
                <w:rFonts w:ascii="Arial" w:eastAsiaTheme="minorEastAsia" w:hAnsi="Arial"/>
                <w:noProof/>
                <w:lang w:eastAsia="zh-CN"/>
              </w:rPr>
            </w:pPr>
            <w:r>
              <w:rPr>
                <w:rFonts w:ascii="Arial" w:eastAsiaTheme="minorEastAsia" w:hAnsi="Arial"/>
                <w:noProof/>
                <w:lang w:eastAsia="zh-CN"/>
              </w:rPr>
              <w:t>Just wonder the wording numerology refer to SCS only or SCS</w:t>
            </w:r>
            <w:r>
              <w:rPr>
                <w:rFonts w:ascii="Arial" w:eastAsiaTheme="minorEastAsia" w:hAnsi="Arial" w:hint="eastAsia"/>
                <w:noProof/>
                <w:lang w:eastAsia="zh-CN"/>
              </w:rPr>
              <w:t>&amp;</w:t>
            </w:r>
            <w:r>
              <w:rPr>
                <w:rFonts w:ascii="Arial" w:eastAsiaTheme="minorEastAsia" w:hAnsi="Arial"/>
                <w:noProof/>
                <w:lang w:eastAsia="zh-CN"/>
              </w:rPr>
              <w:t>CP</w:t>
            </w:r>
            <w:r>
              <w:rPr>
                <w:rFonts w:ascii="Arial" w:eastAsiaTheme="minorEastAsia" w:hAnsi="Arial" w:hint="eastAsia"/>
                <w:noProof/>
                <w:lang w:eastAsia="zh-CN"/>
              </w:rPr>
              <w:t>?</w:t>
            </w:r>
          </w:p>
        </w:tc>
      </w:tr>
    </w:tbl>
    <w:p w14:paraId="65218762" w14:textId="77777777" w:rsidR="00905F8A" w:rsidRDefault="00905F8A">
      <w:pPr>
        <w:spacing w:after="0"/>
        <w:jc w:val="both"/>
        <w:rPr>
          <w:rFonts w:ascii="Arial" w:hAnsi="Arial"/>
        </w:rPr>
      </w:pPr>
    </w:p>
    <w:p w14:paraId="5253A2D3" w14:textId="77777777" w:rsidR="00905F8A" w:rsidRDefault="00A53FCA">
      <w:pPr>
        <w:pStyle w:val="Heading3"/>
      </w:pPr>
      <w:r>
        <w:t>2.1.3</w:t>
      </w:r>
      <w:r>
        <w:tab/>
        <w:t>Inter-node coordination</w:t>
      </w:r>
    </w:p>
    <w:p w14:paraId="6D9A6BE4" w14:textId="77777777"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14:paraId="5829F19A" w14:textId="77777777" w:rsidR="00905F8A" w:rsidRDefault="00A53FCA">
      <w:pPr>
        <w:spacing w:after="0"/>
        <w:jc w:val="both"/>
        <w:rPr>
          <w:rFonts w:ascii="Arial" w:hAnsi="Arial"/>
        </w:rPr>
      </w:pPr>
      <w:r>
        <w:rPr>
          <w:b/>
          <w:bCs/>
          <w:noProof/>
          <w:lang w:val="en-US" w:eastAsia="zh-CN"/>
        </w:rPr>
        <mc:AlternateContent>
          <mc:Choice Requires="wps">
            <w:drawing>
              <wp:inline distT="0" distB="0" distL="0" distR="0" wp14:anchorId="151730F7" wp14:editId="35BE3358">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14:paraId="4685F58C" w14:textId="77777777"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w14:anchorId="151730F7"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14:paraId="4685F58C" w14:textId="77777777"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anchorlock/>
              </v:shape>
            </w:pict>
          </mc:Fallback>
        </mc:AlternateContent>
      </w:r>
    </w:p>
    <w:p w14:paraId="1C29C524" w14:textId="77777777" w:rsidR="00905F8A" w:rsidRDefault="00A53FCA">
      <w:pPr>
        <w:spacing w:after="0"/>
        <w:jc w:val="both"/>
        <w:rPr>
          <w:rFonts w:ascii="Arial" w:hAnsi="Arial"/>
          <w:b/>
          <w:bCs/>
        </w:rPr>
      </w:pPr>
      <w:r>
        <w:rPr>
          <w:rFonts w:ascii="Arial" w:hAnsi="Arial"/>
          <w:b/>
          <w:bCs/>
        </w:rPr>
        <w:t>Q5 Do companies agree with the Proposal above?</w:t>
      </w:r>
    </w:p>
    <w:p w14:paraId="097CC249"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905F8A" w14:paraId="5B687D65" w14:textId="77777777">
        <w:tc>
          <w:tcPr>
            <w:tcW w:w="1837" w:type="dxa"/>
          </w:tcPr>
          <w:p w14:paraId="12361395"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3F9A0349"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127CDE4A"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209F7004" w14:textId="77777777">
        <w:tc>
          <w:tcPr>
            <w:tcW w:w="1837" w:type="dxa"/>
          </w:tcPr>
          <w:p w14:paraId="529F7497"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4A48AA15" w14:textId="77777777" w:rsidR="00905F8A" w:rsidRDefault="00A53FCA">
            <w:pPr>
              <w:spacing w:after="0"/>
              <w:jc w:val="both"/>
              <w:rPr>
                <w:rFonts w:ascii="Arial" w:hAnsi="Arial"/>
                <w:lang w:val="de-DE"/>
              </w:rPr>
            </w:pPr>
            <w:r>
              <w:rPr>
                <w:rFonts w:ascii="Arial" w:hAnsi="Arial"/>
                <w:lang w:val="de-DE"/>
              </w:rPr>
              <w:t>No</w:t>
            </w:r>
          </w:p>
        </w:tc>
        <w:tc>
          <w:tcPr>
            <w:tcW w:w="5807" w:type="dxa"/>
          </w:tcPr>
          <w:p w14:paraId="60B1D0AD" w14:textId="77777777" w:rsidR="00905F8A" w:rsidRDefault="00A53FCA">
            <w:pPr>
              <w:spacing w:after="0"/>
              <w:jc w:val="both"/>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905F8A" w14:paraId="4CA73F1B" w14:textId="77777777">
        <w:tc>
          <w:tcPr>
            <w:tcW w:w="1837" w:type="dxa"/>
          </w:tcPr>
          <w:p w14:paraId="1F9903E6"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4C375C1B" w14:textId="77777777" w:rsidR="00905F8A" w:rsidRDefault="00A53FCA">
            <w:pPr>
              <w:spacing w:after="0"/>
              <w:jc w:val="both"/>
              <w:rPr>
                <w:rFonts w:ascii="Arial" w:hAnsi="Arial"/>
                <w:lang w:val="de-DE"/>
              </w:rPr>
            </w:pPr>
            <w:r>
              <w:rPr>
                <w:rFonts w:ascii="Arial" w:hAnsi="Arial"/>
                <w:lang w:val="de-DE"/>
              </w:rPr>
              <w:t>No</w:t>
            </w:r>
          </w:p>
        </w:tc>
        <w:tc>
          <w:tcPr>
            <w:tcW w:w="5807" w:type="dxa"/>
          </w:tcPr>
          <w:p w14:paraId="02D55194" w14:textId="77777777" w:rsidR="00905F8A" w:rsidRDefault="00A53FCA">
            <w:pPr>
              <w:spacing w:after="0"/>
              <w:jc w:val="both"/>
              <w:rPr>
                <w:rFonts w:ascii="Arial" w:hAnsi="Arial"/>
                <w:lang w:val="de-DE"/>
              </w:rPr>
            </w:pPr>
            <w:r>
              <w:rPr>
                <w:rFonts w:ascii="Arial" w:hAnsi="Arial"/>
                <w:lang w:val="de-DE"/>
              </w:rPr>
              <w:t>Yes, agree with Ericsson.</w:t>
            </w:r>
          </w:p>
        </w:tc>
      </w:tr>
      <w:tr w:rsidR="00905F8A" w14:paraId="3FAD2D36" w14:textId="77777777">
        <w:tc>
          <w:tcPr>
            <w:tcW w:w="1837" w:type="dxa"/>
          </w:tcPr>
          <w:p w14:paraId="472CCC52"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1CA74AA5" w14:textId="77777777"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8E76226" w14:textId="77777777" w:rsidR="00905F8A" w:rsidRDefault="00A53FCA">
            <w:pPr>
              <w:spacing w:after="0"/>
              <w:jc w:val="both"/>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w:t>
            </w:r>
            <w:r>
              <w:rPr>
                <w:rFonts w:ascii="Arial" w:eastAsiaTheme="minorEastAsia" w:hAnsi="Arial"/>
                <w:lang w:val="de-DE" w:eastAsia="zh-CN"/>
              </w:rPr>
              <w:lastRenderedPageBreak/>
              <w:t xml:space="preserve">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905F8A" w14:paraId="6370257D" w14:textId="77777777">
        <w:trPr>
          <w:trHeight w:val="1292"/>
        </w:trPr>
        <w:tc>
          <w:tcPr>
            <w:tcW w:w="1837" w:type="dxa"/>
          </w:tcPr>
          <w:p w14:paraId="71AC4F8C" w14:textId="77777777" w:rsidR="00905F8A" w:rsidRDefault="00A53FCA">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7A74B361" w14:textId="77777777" w:rsidR="00905F8A" w:rsidRDefault="00905F8A">
            <w:pPr>
              <w:spacing w:after="0"/>
              <w:jc w:val="both"/>
              <w:rPr>
                <w:rFonts w:ascii="Arial" w:hAnsi="Arial"/>
                <w:lang w:val="en-US" w:eastAsia="zh-CN"/>
              </w:rPr>
            </w:pPr>
          </w:p>
        </w:tc>
        <w:tc>
          <w:tcPr>
            <w:tcW w:w="5807" w:type="dxa"/>
          </w:tcPr>
          <w:p w14:paraId="6A128473" w14:textId="77777777"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14:paraId="5723AFF5" w14:textId="77777777">
        <w:trPr>
          <w:trHeight w:val="1292"/>
        </w:trPr>
        <w:tc>
          <w:tcPr>
            <w:tcW w:w="1837" w:type="dxa"/>
          </w:tcPr>
          <w:p w14:paraId="605B13F6" w14:textId="77777777" w:rsidR="00A53FCA" w:rsidRPr="000005B0" w:rsidRDefault="00A53FCA"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21199F42" w14:textId="77777777" w:rsidR="00A53FCA" w:rsidRPr="000005B0" w:rsidRDefault="00A53FCA" w:rsidP="009E4914">
            <w:pPr>
              <w:spacing w:after="0"/>
              <w:jc w:val="both"/>
              <w:rPr>
                <w:rFonts w:ascii="Arial" w:hAnsi="Arial"/>
                <w:noProof/>
                <w:lang w:eastAsia="zh-CN"/>
              </w:rPr>
            </w:pPr>
            <w:r>
              <w:rPr>
                <w:rFonts w:ascii="Arial" w:hAnsi="Arial" w:hint="eastAsia"/>
                <w:noProof/>
                <w:lang w:eastAsia="zh-CN"/>
              </w:rPr>
              <w:t>No</w:t>
            </w:r>
          </w:p>
        </w:tc>
        <w:tc>
          <w:tcPr>
            <w:tcW w:w="5807" w:type="dxa"/>
          </w:tcPr>
          <w:p w14:paraId="6EFF671D" w14:textId="77777777" w:rsidR="00A53FCA" w:rsidRPr="00246F53" w:rsidRDefault="00A53FCA" w:rsidP="009E4914">
            <w:pPr>
              <w:spacing w:after="0"/>
              <w:jc w:val="both"/>
              <w:rPr>
                <w:rFonts w:ascii="Arial" w:eastAsiaTheme="minorEastAsia" w:hAnsi="Arial"/>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tr w:rsidR="00A53FCA" w14:paraId="63D65DC9" w14:textId="77777777">
        <w:tc>
          <w:tcPr>
            <w:tcW w:w="1837" w:type="dxa"/>
          </w:tcPr>
          <w:p w14:paraId="0F221D8D"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14:paraId="2AD47201"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33266AA7"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 xml:space="preserve">We also think the field description of the </w:t>
            </w:r>
            <w:r w:rsidRPr="00246F53">
              <w:rPr>
                <w:rFonts w:ascii="Arial" w:hAnsi="Arial"/>
                <w:noProof/>
                <w:lang w:eastAsia="zh-CN"/>
              </w:rPr>
              <w:t>allowedFeatureSetsList</w:t>
            </w:r>
            <w:r>
              <w:rPr>
                <w:rFonts w:ascii="Arial" w:hAnsi="Arial"/>
                <w:noProof/>
                <w:lang w:eastAsia="zh-CN"/>
              </w:rPr>
              <w:t xml:space="preserve"> is clear that it only refers to subset of reported featureset combination.</w:t>
            </w:r>
          </w:p>
        </w:tc>
      </w:tr>
    </w:tbl>
    <w:p w14:paraId="31D8CF0C" w14:textId="1B2B27D9" w:rsidR="00905F8A" w:rsidRDefault="00905F8A">
      <w:pPr>
        <w:spacing w:after="0"/>
        <w:jc w:val="both"/>
        <w:rPr>
          <w:rFonts w:ascii="Arial" w:hAnsi="Arial"/>
        </w:rPr>
      </w:pPr>
    </w:p>
    <w:p w14:paraId="719ED409" w14:textId="1FD59322" w:rsidR="00302088" w:rsidRDefault="00302088" w:rsidP="00624BBE">
      <w:pPr>
        <w:pStyle w:val="Heading3"/>
        <w:rPr>
          <w:noProof/>
        </w:rPr>
      </w:pPr>
      <w:r>
        <w:rPr>
          <w:noProof/>
        </w:rPr>
        <w:t xml:space="preserve">2.1.4 </w:t>
      </w:r>
      <w:r>
        <w:rPr>
          <w:noProof/>
        </w:rPr>
        <w:t>Summary of Part 1</w:t>
      </w:r>
    </w:p>
    <w:p w14:paraId="33A7296F" w14:textId="77777777" w:rsidR="00302088" w:rsidRDefault="00302088" w:rsidP="00302088">
      <w:pPr>
        <w:spacing w:after="0"/>
        <w:jc w:val="both"/>
        <w:rPr>
          <w:rFonts w:ascii="Arial" w:hAnsi="Arial"/>
          <w:noProof/>
        </w:rPr>
      </w:pPr>
      <w:r>
        <w:rPr>
          <w:rFonts w:ascii="Arial" w:hAnsi="Arial"/>
          <w:noProof/>
        </w:rPr>
        <w:t>According to the feedback for Q1, there is strong concern that the proposed change would be NBC, and no support was shown for the change (except for the proponent). Hence, it is proposed to not pursue this change, note the paper and not agree on the corresponding CRs.</w:t>
      </w:r>
    </w:p>
    <w:p w14:paraId="2EED52C7" w14:textId="77777777" w:rsidR="00302088" w:rsidRDefault="00302088" w:rsidP="00302088">
      <w:pPr>
        <w:spacing w:after="0"/>
        <w:jc w:val="both"/>
        <w:rPr>
          <w:rFonts w:ascii="Arial" w:hAnsi="Arial"/>
          <w:noProof/>
        </w:rPr>
      </w:pPr>
    </w:p>
    <w:p w14:paraId="618D72C2" w14:textId="77777777" w:rsidR="00302088" w:rsidRDefault="00302088" w:rsidP="00302088">
      <w:pPr>
        <w:pStyle w:val="Proposal"/>
        <w:tabs>
          <w:tab w:val="num" w:pos="1304"/>
        </w:tabs>
        <w:spacing w:line="240" w:lineRule="auto"/>
        <w:rPr>
          <w:noProof/>
        </w:rPr>
      </w:pPr>
      <w:bookmarkStart w:id="1" w:name="_Toc55485171"/>
      <w:r>
        <w:rPr>
          <w:noProof/>
        </w:rPr>
        <w:t xml:space="preserve">Note the paper </w:t>
      </w:r>
      <w:r w:rsidRPr="00BC74E5">
        <w:rPr>
          <w:noProof/>
        </w:rPr>
        <w:t>R2-2009630</w:t>
      </w:r>
      <w:r>
        <w:rPr>
          <w:noProof/>
        </w:rPr>
        <w:t xml:space="preserve">; the related CRs </w:t>
      </w:r>
      <w:r w:rsidRPr="00020A45">
        <w:rPr>
          <w:noProof/>
        </w:rPr>
        <w:t>R2-2010567</w:t>
      </w:r>
      <w:r>
        <w:rPr>
          <w:noProof/>
        </w:rPr>
        <w:t xml:space="preserve"> and </w:t>
      </w:r>
      <w:r w:rsidRPr="00020A45">
        <w:rPr>
          <w:noProof/>
        </w:rPr>
        <w:t>R2-201056</w:t>
      </w:r>
      <w:r>
        <w:rPr>
          <w:noProof/>
        </w:rPr>
        <w:t>8 are not agreed.</w:t>
      </w:r>
      <w:bookmarkEnd w:id="1"/>
    </w:p>
    <w:p w14:paraId="0A786DD9" w14:textId="77777777" w:rsidR="00302088" w:rsidRDefault="00302088" w:rsidP="00302088">
      <w:pPr>
        <w:spacing w:after="0"/>
        <w:jc w:val="both"/>
        <w:rPr>
          <w:rFonts w:ascii="Arial" w:hAnsi="Arial"/>
          <w:noProof/>
        </w:rPr>
      </w:pPr>
      <w:r>
        <w:rPr>
          <w:rFonts w:ascii="Arial" w:hAnsi="Arial"/>
          <w:noProof/>
        </w:rPr>
        <w:t xml:space="preserve">According to the feedback for Q2, all companies support the green highlighted proposal below from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while there are mixed views on the yellow highlighted proposal:</w:t>
      </w:r>
      <w:r>
        <w:rPr>
          <w:rFonts w:ascii="Arial" w:hAnsi="Arial"/>
          <w:noProof/>
        </w:rPr>
        <w:t xml:space="preserve"> </w:t>
      </w:r>
    </w:p>
    <w:p w14:paraId="491ACA7D" w14:textId="77777777" w:rsidR="00302088" w:rsidRDefault="00302088" w:rsidP="00302088">
      <w:pPr>
        <w:spacing w:after="0"/>
        <w:jc w:val="both"/>
        <w:rPr>
          <w:rFonts w:ascii="Arial" w:hAnsi="Arial"/>
          <w:noProof/>
        </w:rPr>
      </w:pPr>
    </w:p>
    <w:p w14:paraId="23D70124" w14:textId="77777777" w:rsidR="00302088" w:rsidRDefault="00302088" w:rsidP="00302088">
      <w:pPr>
        <w:spacing w:after="0"/>
        <w:jc w:val="both"/>
        <w:rPr>
          <w:rFonts w:ascii="Arial" w:hAnsi="Arial"/>
          <w:noProof/>
        </w:rPr>
      </w:pPr>
      <w:r w:rsidRPr="00BB016A">
        <w:rPr>
          <w:b/>
          <w:bCs/>
          <w:noProof/>
        </w:rPr>
        <mc:AlternateContent>
          <mc:Choice Requires="wps">
            <w:drawing>
              <wp:inline distT="0" distB="0" distL="0" distR="0" wp14:anchorId="27A69148" wp14:editId="3C203FB0">
                <wp:extent cx="6120765" cy="1121134"/>
                <wp:effectExtent l="0" t="0" r="1333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7DA49B49" w14:textId="77777777" w:rsidR="00302088" w:rsidRPr="001F3DFD" w:rsidRDefault="00302088" w:rsidP="00302088">
                            <w:pPr>
                              <w:rPr>
                                <w:b/>
                              </w:rPr>
                            </w:pPr>
                            <w:r w:rsidRPr="00FC75AD">
                              <w:rPr>
                                <w:b/>
                                <w:highlight w:val="yellow"/>
                              </w:rPr>
                              <w:t xml:space="preserve">Proposal 1: The network can configure the band that included in </w:t>
                            </w:r>
                            <w:r w:rsidRPr="00FC75AD">
                              <w:rPr>
                                <w:b/>
                                <w:i/>
                                <w:highlight w:val="yellow"/>
                              </w:rPr>
                              <w:t>supportedBandListNR</w:t>
                            </w:r>
                            <w:r w:rsidRPr="00FC75AD">
                              <w:rPr>
                                <w:b/>
                                <w:highlight w:val="yellow"/>
                              </w:rPr>
                              <w:t xml:space="preserve"> (no matter if such band is included in the </w:t>
                            </w:r>
                            <w:r w:rsidRPr="00FC75AD">
                              <w:rPr>
                                <w:b/>
                                <w:i/>
                                <w:highlight w:val="yellow"/>
                              </w:rPr>
                              <w:t>supportedBandCombinationList</w:t>
                            </w:r>
                            <w:r w:rsidRPr="00FC75AD">
                              <w:rPr>
                                <w:b/>
                                <w:highlight w:val="yellow"/>
                              </w:rPr>
                              <w:t xml:space="preserve"> of the </w:t>
                            </w:r>
                            <w:r w:rsidRPr="00FC75AD">
                              <w:rPr>
                                <w:b/>
                                <w:i/>
                                <w:highlight w:val="yellow"/>
                              </w:rPr>
                              <w:t>RF-Parameters</w:t>
                            </w:r>
                            <w:r w:rsidRPr="00FC75AD">
                              <w:rPr>
                                <w:b/>
                                <w:highlight w:val="yellow"/>
                              </w:rPr>
                              <w:t xml:space="preserve"> and/or </w:t>
                            </w:r>
                            <w:r w:rsidRPr="00FC75AD">
                              <w:rPr>
                                <w:b/>
                                <w:i/>
                                <w:highlight w:val="yellow"/>
                              </w:rPr>
                              <w:t>RF-ParametersMRDC</w:t>
                            </w:r>
                            <w:r w:rsidRPr="00FC75AD">
                              <w:rPr>
                                <w:b/>
                                <w:highlight w:val="yellow"/>
                              </w:rPr>
                              <w:t>) as a redirection target band.</w:t>
                            </w:r>
                          </w:p>
                          <w:p w14:paraId="2EE64066" w14:textId="77777777" w:rsidR="00302088" w:rsidRPr="004F0B6C" w:rsidRDefault="00302088" w:rsidP="00302088">
                            <w:pPr>
                              <w:rPr>
                                <w:rFonts w:eastAsia="Yu Mincho"/>
                              </w:rPr>
                            </w:pPr>
                            <w:r w:rsidRPr="00FC75AD">
                              <w:rPr>
                                <w:b/>
                                <w:highlight w:val="green"/>
                              </w:rPr>
                              <w:t xml:space="preserve">Proposal 2: The network can configure the band that included in </w:t>
                            </w:r>
                            <w:r w:rsidRPr="00FC75AD">
                              <w:rPr>
                                <w:b/>
                                <w:i/>
                                <w:highlight w:val="green"/>
                              </w:rPr>
                              <w:t>supportedBandListNR</w:t>
                            </w:r>
                            <w:r w:rsidRPr="00FC75AD">
                              <w:rPr>
                                <w:b/>
                                <w:highlight w:val="green"/>
                              </w:rPr>
                              <w:t xml:space="preserve"> (no matter if such band is included in the </w:t>
                            </w:r>
                            <w:r w:rsidRPr="00FC75AD">
                              <w:rPr>
                                <w:b/>
                                <w:i/>
                                <w:highlight w:val="green"/>
                              </w:rPr>
                              <w:t>supportedBandCombinationList</w:t>
                            </w:r>
                            <w:r w:rsidRPr="00FC75AD">
                              <w:rPr>
                                <w:b/>
                                <w:highlight w:val="green"/>
                              </w:rPr>
                              <w:t xml:space="preserve"> of the </w:t>
                            </w:r>
                            <w:r w:rsidRPr="00FC75AD">
                              <w:rPr>
                                <w:b/>
                                <w:i/>
                                <w:highlight w:val="green"/>
                              </w:rPr>
                              <w:t>RF-Parameters</w:t>
                            </w:r>
                            <w:r w:rsidRPr="00FC75AD">
                              <w:rPr>
                                <w:b/>
                                <w:highlight w:val="green"/>
                              </w:rPr>
                              <w:t xml:space="preserve"> and/or </w:t>
                            </w:r>
                            <w:r w:rsidRPr="00FC75AD">
                              <w:rPr>
                                <w:b/>
                                <w:i/>
                                <w:highlight w:val="green"/>
                              </w:rPr>
                              <w:t>RF-ParametersMRDC</w:t>
                            </w:r>
                            <w:r w:rsidRPr="00FC75AD">
                              <w:rPr>
                                <w:b/>
                                <w:highlight w:val="green"/>
                              </w:rPr>
                              <w:t>) as a measurement object.</w:t>
                            </w:r>
                          </w:p>
                          <w:p w14:paraId="52414CB7" w14:textId="77777777" w:rsidR="00302088" w:rsidRDefault="00302088" w:rsidP="00302088"/>
                        </w:txbxContent>
                      </wps:txbx>
                      <wps:bodyPr rot="0" vert="horz" wrap="square" lIns="91440" tIns="45720" rIns="91440" bIns="45720" anchor="t" anchorCtr="0">
                        <a:noAutofit/>
                      </wps:bodyPr>
                    </wps:wsp>
                  </a:graphicData>
                </a:graphic>
              </wp:inline>
            </w:drawing>
          </mc:Choice>
          <mc:Fallback>
            <w:pict>
              <v:shape w14:anchorId="27A69148" id="_x0000_s1029"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cJwIAAEw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haUGKax&#10;RY9iCOQtDKSI7PTWl+j0YNEtDHiNXU6VensP/JsnBtYdM1tx6xz0nWANZpfHl9nZ0xHHR5C6/wgN&#10;hmG7AAloaJ2O1CEZBNGxS4dTZ2IqHC8XeTG9XMwp4WjL8yLPL2YpBiufn1vnw3sBmkShog5bn+DZ&#10;/t6HmA4rn11iNA9KNhupVFLctl4rR/YMx2STviP6T27KkL6i1/NiPjLwV4hp+v4EoWXAeVdSV/Tq&#10;5MTKyNs706RpDEyqUcaUlTkSGbkbWQxDPaSOXcQAkeQamgMy62Acb1xHFDpwPyjpcbQr6r/vmBOU&#10;qA8Gu3Odz2ZxF5Iym18WqLhzS31uYYYjVEUDJaO4Dml/Im8GbrGLrUz8vmRyTBlHNtF+XK+4E+d6&#10;8nr5CayeAAAA//8DAFBLAwQUAAYACAAAACEArjvHD9wAAAAFAQAADwAAAGRycy9kb3ducmV2Lnht&#10;bEyPwU7DMBBE70j8g7VIXBB1oChtQpwKIYHgBqUqVzfeJhH2OthuGv6ehQtcRlrNaOZttZqcFSOG&#10;2HtScDXLQCA13vTUKti8PVwuQcSkyWjrCRV8YYRVfXpS6dL4I73iuE6t4BKKpVbQpTSUUsamQ6fj&#10;zA9I7O19cDrxGVppgj5yubPyOsty6XRPvNDpAe87bD7WB6dgefM0vsfn+cu2yfe2SBeL8fEzKHV+&#10;Nt3dgkg4pb8w/OAzOtTMtPMHMlFYBfxI+lX2inxegNhxaJHnIOtK/qevvwEAAP//AwBQSwECLQAU&#10;AAYACAAAACEAtoM4kv4AAADhAQAAEwAAAAAAAAAAAAAAAAAAAAAAW0NvbnRlbnRfVHlwZXNdLnht&#10;bFBLAQItABQABgAIAAAAIQA4/SH/1gAAAJQBAAALAAAAAAAAAAAAAAAAAC8BAABfcmVscy8ucmVs&#10;c1BLAQItABQABgAIAAAAIQCTD/4cJwIAAEwEAAAOAAAAAAAAAAAAAAAAAC4CAABkcnMvZTJvRG9j&#10;LnhtbFBLAQItABQABgAIAAAAIQCuO8cP3AAAAAUBAAAPAAAAAAAAAAAAAAAAAIEEAABkcnMvZG93&#10;bnJldi54bWxQSwUGAAAAAAQABADzAAAAigUAAAAA&#10;">
                <v:textbox>
                  <w:txbxContent>
                    <w:p w14:paraId="7DA49B49" w14:textId="77777777" w:rsidR="00302088" w:rsidRPr="001F3DFD" w:rsidRDefault="00302088" w:rsidP="00302088">
                      <w:pPr>
                        <w:rPr>
                          <w:b/>
                        </w:rPr>
                      </w:pPr>
                      <w:r w:rsidRPr="00FC75AD">
                        <w:rPr>
                          <w:b/>
                          <w:highlight w:val="yellow"/>
                        </w:rPr>
                        <w:t xml:space="preserve">Proposal 1: The network can configure the band that included in </w:t>
                      </w:r>
                      <w:r w:rsidRPr="00FC75AD">
                        <w:rPr>
                          <w:b/>
                          <w:i/>
                          <w:highlight w:val="yellow"/>
                        </w:rPr>
                        <w:t>supportedBandListNR</w:t>
                      </w:r>
                      <w:r w:rsidRPr="00FC75AD">
                        <w:rPr>
                          <w:b/>
                          <w:highlight w:val="yellow"/>
                        </w:rPr>
                        <w:t xml:space="preserve"> (no matter if such band is included in the </w:t>
                      </w:r>
                      <w:r w:rsidRPr="00FC75AD">
                        <w:rPr>
                          <w:b/>
                          <w:i/>
                          <w:highlight w:val="yellow"/>
                        </w:rPr>
                        <w:t>supportedBandCombinationList</w:t>
                      </w:r>
                      <w:r w:rsidRPr="00FC75AD">
                        <w:rPr>
                          <w:b/>
                          <w:highlight w:val="yellow"/>
                        </w:rPr>
                        <w:t xml:space="preserve"> of the </w:t>
                      </w:r>
                      <w:r w:rsidRPr="00FC75AD">
                        <w:rPr>
                          <w:b/>
                          <w:i/>
                          <w:highlight w:val="yellow"/>
                        </w:rPr>
                        <w:t>RF-Parameters</w:t>
                      </w:r>
                      <w:r w:rsidRPr="00FC75AD">
                        <w:rPr>
                          <w:b/>
                          <w:highlight w:val="yellow"/>
                        </w:rPr>
                        <w:t xml:space="preserve"> and/or </w:t>
                      </w:r>
                      <w:r w:rsidRPr="00FC75AD">
                        <w:rPr>
                          <w:b/>
                          <w:i/>
                          <w:highlight w:val="yellow"/>
                        </w:rPr>
                        <w:t>RF-ParametersMRDC</w:t>
                      </w:r>
                      <w:r w:rsidRPr="00FC75AD">
                        <w:rPr>
                          <w:b/>
                          <w:highlight w:val="yellow"/>
                        </w:rPr>
                        <w:t>) as a redirection target band.</w:t>
                      </w:r>
                    </w:p>
                    <w:p w14:paraId="2EE64066" w14:textId="77777777" w:rsidR="00302088" w:rsidRPr="004F0B6C" w:rsidRDefault="00302088" w:rsidP="00302088">
                      <w:pPr>
                        <w:rPr>
                          <w:rFonts w:eastAsia="Yu Mincho"/>
                        </w:rPr>
                      </w:pPr>
                      <w:r w:rsidRPr="00FC75AD">
                        <w:rPr>
                          <w:b/>
                          <w:highlight w:val="green"/>
                        </w:rPr>
                        <w:t xml:space="preserve">Proposal 2: The network can configure the band that included in </w:t>
                      </w:r>
                      <w:r w:rsidRPr="00FC75AD">
                        <w:rPr>
                          <w:b/>
                          <w:i/>
                          <w:highlight w:val="green"/>
                        </w:rPr>
                        <w:t>supportedBandListNR</w:t>
                      </w:r>
                      <w:r w:rsidRPr="00FC75AD">
                        <w:rPr>
                          <w:b/>
                          <w:highlight w:val="green"/>
                        </w:rPr>
                        <w:t xml:space="preserve"> (no matter if such band is included in the </w:t>
                      </w:r>
                      <w:r w:rsidRPr="00FC75AD">
                        <w:rPr>
                          <w:b/>
                          <w:i/>
                          <w:highlight w:val="green"/>
                        </w:rPr>
                        <w:t>supportedBandCombinationList</w:t>
                      </w:r>
                      <w:r w:rsidRPr="00FC75AD">
                        <w:rPr>
                          <w:b/>
                          <w:highlight w:val="green"/>
                        </w:rPr>
                        <w:t xml:space="preserve"> of the </w:t>
                      </w:r>
                      <w:r w:rsidRPr="00FC75AD">
                        <w:rPr>
                          <w:b/>
                          <w:i/>
                          <w:highlight w:val="green"/>
                        </w:rPr>
                        <w:t>RF-Parameters</w:t>
                      </w:r>
                      <w:r w:rsidRPr="00FC75AD">
                        <w:rPr>
                          <w:b/>
                          <w:highlight w:val="green"/>
                        </w:rPr>
                        <w:t xml:space="preserve"> and/or </w:t>
                      </w:r>
                      <w:r w:rsidRPr="00FC75AD">
                        <w:rPr>
                          <w:b/>
                          <w:i/>
                          <w:highlight w:val="green"/>
                        </w:rPr>
                        <w:t>RF-ParametersMRDC</w:t>
                      </w:r>
                      <w:r w:rsidRPr="00FC75AD">
                        <w:rPr>
                          <w:b/>
                          <w:highlight w:val="green"/>
                        </w:rPr>
                        <w:t>) as a measurement object.</w:t>
                      </w:r>
                    </w:p>
                    <w:p w14:paraId="52414CB7" w14:textId="77777777" w:rsidR="00302088" w:rsidRDefault="00302088" w:rsidP="00302088"/>
                  </w:txbxContent>
                </v:textbox>
                <w10:anchorlock/>
              </v:shape>
            </w:pict>
          </mc:Fallback>
        </mc:AlternateContent>
      </w:r>
    </w:p>
    <w:p w14:paraId="0A5392DB" w14:textId="77777777" w:rsidR="00302088" w:rsidRDefault="00302088" w:rsidP="00302088">
      <w:pPr>
        <w:spacing w:after="0"/>
        <w:jc w:val="both"/>
        <w:rPr>
          <w:rFonts w:ascii="Arial" w:hAnsi="Arial"/>
          <w:b/>
          <w:bCs/>
          <w:noProof/>
        </w:rPr>
      </w:pPr>
    </w:p>
    <w:p w14:paraId="433587B1" w14:textId="77777777" w:rsidR="00302088" w:rsidRDefault="00302088" w:rsidP="00302088">
      <w:pPr>
        <w:spacing w:after="0"/>
        <w:jc w:val="both"/>
        <w:rPr>
          <w:rFonts w:ascii="Arial" w:hAnsi="Arial"/>
          <w:noProof/>
        </w:rPr>
      </w:pPr>
      <w:r>
        <w:rPr>
          <w:rFonts w:ascii="Arial" w:hAnsi="Arial"/>
          <w:noProof/>
        </w:rPr>
        <w:t>We suggest to agree on the green highlighted proposal above and further discuss the yellow highlighted proposal in Part 2:</w:t>
      </w:r>
    </w:p>
    <w:p w14:paraId="77A36A9D" w14:textId="77777777" w:rsidR="00302088" w:rsidRDefault="00302088" w:rsidP="00302088">
      <w:pPr>
        <w:spacing w:after="0"/>
        <w:jc w:val="both"/>
        <w:rPr>
          <w:rFonts w:ascii="Arial" w:hAnsi="Arial"/>
          <w:noProof/>
        </w:rPr>
      </w:pPr>
    </w:p>
    <w:p w14:paraId="533DF6A8" w14:textId="77777777" w:rsidR="00302088" w:rsidRDefault="00302088" w:rsidP="00302088">
      <w:pPr>
        <w:pStyle w:val="Proposal"/>
        <w:tabs>
          <w:tab w:val="num" w:pos="1304"/>
        </w:tabs>
        <w:spacing w:line="240" w:lineRule="auto"/>
        <w:rPr>
          <w:noProof/>
        </w:rPr>
      </w:pPr>
      <w:bookmarkStart w:id="2" w:name="_Toc55485172"/>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
    </w:p>
    <w:p w14:paraId="0B2C5AFC" w14:textId="77777777" w:rsidR="00302088" w:rsidRDefault="00302088" w:rsidP="00302088">
      <w:pPr>
        <w:spacing w:after="0"/>
        <w:jc w:val="both"/>
        <w:rPr>
          <w:rFonts w:ascii="Arial" w:hAnsi="Arial"/>
          <w:noProof/>
        </w:rPr>
      </w:pPr>
    </w:p>
    <w:p w14:paraId="3FAB21C1" w14:textId="77777777" w:rsidR="00302088" w:rsidRDefault="00302088" w:rsidP="00302088">
      <w:pPr>
        <w:pStyle w:val="Observation"/>
        <w:tabs>
          <w:tab w:val="clear" w:pos="1304"/>
        </w:tabs>
        <w:spacing w:line="240" w:lineRule="auto"/>
        <w:rPr>
          <w:noProof/>
        </w:rPr>
      </w:pPr>
      <w:bookmarkStart w:id="3" w:name="_Toc55485168"/>
      <w:r>
        <w:rPr>
          <w:noProof/>
        </w:rPr>
        <w:lastRenderedPageBreak/>
        <w:t>Continue the discussion on whether t</w:t>
      </w:r>
      <w:r w:rsidRPr="006E4EAF">
        <w:rPr>
          <w:noProof/>
        </w:rPr>
        <w:t xml:space="preserve">he network can configure the band that included in </w:t>
      </w:r>
      <w:r w:rsidRPr="001E5B71">
        <w:rPr>
          <w:i/>
          <w:iCs/>
          <w:noProof/>
        </w:rPr>
        <w:t>supportedBandListNR</w:t>
      </w:r>
      <w:r w:rsidRPr="006E4EAF">
        <w:rPr>
          <w:noProof/>
        </w:rPr>
        <w:t xml:space="preserve"> (no matter if such band is included in the supportedBandCombinationList of the </w:t>
      </w:r>
      <w:r w:rsidRPr="00E24DF9">
        <w:rPr>
          <w:i/>
          <w:iCs/>
          <w:noProof/>
        </w:rPr>
        <w:t>RF-Parameters</w:t>
      </w:r>
      <w:r w:rsidRPr="006E4EAF">
        <w:rPr>
          <w:noProof/>
        </w:rPr>
        <w:t xml:space="preserve"> and/or </w:t>
      </w:r>
      <w:r w:rsidRPr="00E24DF9">
        <w:rPr>
          <w:i/>
          <w:iCs/>
          <w:noProof/>
        </w:rPr>
        <w:t>RF-ParametersMRDC</w:t>
      </w:r>
      <w:r w:rsidRPr="006E4EAF">
        <w:rPr>
          <w:noProof/>
        </w:rPr>
        <w:t>) as a redirection target band.</w:t>
      </w:r>
      <w:bookmarkEnd w:id="3"/>
    </w:p>
    <w:p w14:paraId="233AC966" w14:textId="77777777" w:rsidR="00302088" w:rsidRDefault="00302088" w:rsidP="00302088">
      <w:pPr>
        <w:spacing w:after="0"/>
        <w:jc w:val="both"/>
        <w:rPr>
          <w:rFonts w:ascii="Arial" w:hAnsi="Arial"/>
          <w:noProof/>
        </w:rPr>
      </w:pPr>
      <w:r w:rsidRPr="00797F65">
        <w:rPr>
          <w:rFonts w:ascii="Arial" w:hAnsi="Arial"/>
          <w:noProof/>
        </w:rPr>
        <w:t>It w</w:t>
      </w:r>
      <w:r>
        <w:rPr>
          <w:rFonts w:ascii="Arial" w:hAnsi="Arial"/>
          <w:noProof/>
        </w:rPr>
        <w:t>as also commented by 2 companies in Q2 that the CRs related to the proposal and observation above are not quite related to such discussion, 1 company within those 2 commented also that it would be fine with the CRs, while another company within those 2 commented that the CRs are not essential corrections. It would be good to get feedback from the other companies that also commented on Q2 on those aspects as well, thus it is proposed to further discuss whether the CRs should be agreed.</w:t>
      </w:r>
    </w:p>
    <w:p w14:paraId="214D1131" w14:textId="77777777" w:rsidR="00302088" w:rsidRDefault="00302088" w:rsidP="00302088">
      <w:pPr>
        <w:spacing w:after="0"/>
        <w:jc w:val="both"/>
        <w:rPr>
          <w:rFonts w:ascii="Arial" w:hAnsi="Arial"/>
          <w:noProof/>
        </w:rPr>
      </w:pPr>
    </w:p>
    <w:p w14:paraId="2499550D" w14:textId="77777777" w:rsidR="00302088" w:rsidRPr="00797F65" w:rsidRDefault="00302088" w:rsidP="00302088">
      <w:pPr>
        <w:pStyle w:val="Observation"/>
        <w:tabs>
          <w:tab w:val="clear" w:pos="1304"/>
        </w:tabs>
        <w:spacing w:line="240" w:lineRule="auto"/>
        <w:rPr>
          <w:noProof/>
        </w:rPr>
      </w:pPr>
      <w:bookmarkStart w:id="4" w:name="_Toc55485169"/>
      <w:r w:rsidRPr="00F705D6">
        <w:rPr>
          <w:noProof/>
        </w:rPr>
        <w:t>Continue the discussion on whether</w:t>
      </w:r>
      <w:r>
        <w:rPr>
          <w:noProof/>
        </w:rPr>
        <w:t xml:space="preserve"> </w:t>
      </w:r>
      <w:r w:rsidRPr="00F705D6">
        <w:rPr>
          <w:noProof/>
        </w:rPr>
        <w:t>R2-2010512</w:t>
      </w:r>
      <w:r>
        <w:rPr>
          <w:noProof/>
        </w:rPr>
        <w:t xml:space="preserve"> and </w:t>
      </w:r>
      <w:r w:rsidRPr="00F705D6">
        <w:rPr>
          <w:noProof/>
        </w:rPr>
        <w:t>R2-201051</w:t>
      </w:r>
      <w:r>
        <w:rPr>
          <w:noProof/>
        </w:rPr>
        <w:t>3 should be agreed.</w:t>
      </w:r>
      <w:bookmarkEnd w:id="4"/>
    </w:p>
    <w:p w14:paraId="29609BCE" w14:textId="77777777" w:rsidR="00302088" w:rsidRDefault="00302088" w:rsidP="00302088">
      <w:pPr>
        <w:spacing w:after="0"/>
        <w:jc w:val="both"/>
        <w:rPr>
          <w:rFonts w:ascii="Arial" w:hAnsi="Arial"/>
          <w:noProof/>
        </w:rPr>
      </w:pPr>
    </w:p>
    <w:p w14:paraId="6A201AD9" w14:textId="77777777" w:rsidR="00302088" w:rsidRDefault="00302088" w:rsidP="00302088">
      <w:pPr>
        <w:spacing w:after="0"/>
        <w:jc w:val="both"/>
        <w:rPr>
          <w:rFonts w:ascii="Arial" w:hAnsi="Arial"/>
          <w:noProof/>
        </w:rPr>
      </w:pPr>
      <w:r>
        <w:rPr>
          <w:rFonts w:ascii="Arial" w:hAnsi="Arial"/>
          <w:noProof/>
        </w:rPr>
        <w:t xml:space="preserve">From the feedback to Q3, all companies seem to be fine with the intention of the CRs </w:t>
      </w:r>
      <w:r>
        <w:rPr>
          <w:rFonts w:ascii="Arial" w:hAnsi="Arial"/>
          <w:noProof/>
        </w:rPr>
        <w:fldChar w:fldCharType="begin"/>
      </w:r>
      <w:r>
        <w:rPr>
          <w:rFonts w:ascii="Arial" w:hAnsi="Arial"/>
          <w:noProof/>
        </w:rPr>
        <w:instrText xml:space="preserve"> REF _Ref55220038 \r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r>
        <w:rPr>
          <w:rFonts w:ascii="Arial" w:hAnsi="Arial"/>
          <w:noProof/>
        </w:rPr>
        <w:t>,</w:t>
      </w:r>
      <w:r>
        <w:rPr>
          <w:rFonts w:ascii="Arial" w:hAnsi="Arial"/>
          <w:noProof/>
        </w:rPr>
        <w:fldChar w:fldCharType="begin"/>
      </w:r>
      <w:r>
        <w:rPr>
          <w:rFonts w:ascii="Arial" w:hAnsi="Arial"/>
          <w:noProof/>
        </w:rPr>
        <w:instrText xml:space="preserve"> REF _Ref55220039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w:t>
      </w:r>
      <w:r>
        <w:rPr>
          <w:rFonts w:ascii="Arial" w:hAnsi="Arial"/>
          <w:noProof/>
        </w:rPr>
        <w:fldChar w:fldCharType="begin"/>
      </w:r>
      <w:r>
        <w:rPr>
          <w:rFonts w:ascii="Arial" w:hAnsi="Arial"/>
          <w:noProof/>
        </w:rPr>
        <w:instrText xml:space="preserve"> REF _Ref55220041 \r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r>
        <w:rPr>
          <w:rFonts w:ascii="Arial" w:hAnsi="Arial"/>
          <w:noProof/>
        </w:rPr>
        <w:t xml:space="preserve"> and </w:t>
      </w:r>
      <w:r>
        <w:rPr>
          <w:rFonts w:ascii="Arial" w:hAnsi="Arial"/>
          <w:noProof/>
        </w:rPr>
        <w:fldChar w:fldCharType="begin"/>
      </w:r>
      <w:r>
        <w:rPr>
          <w:rFonts w:ascii="Arial" w:hAnsi="Arial"/>
          <w:noProof/>
        </w:rPr>
        <w:instrText xml:space="preserve"> REF _Ref55220042 \r \h </w:instrText>
      </w:r>
      <w:r>
        <w:rPr>
          <w:rFonts w:ascii="Arial" w:hAnsi="Arial"/>
          <w:noProof/>
        </w:rPr>
      </w:r>
      <w:r>
        <w:rPr>
          <w:rFonts w:ascii="Arial" w:hAnsi="Arial"/>
          <w:noProof/>
        </w:rPr>
        <w:fldChar w:fldCharType="separate"/>
      </w:r>
      <w:r>
        <w:rPr>
          <w:rFonts w:ascii="Arial" w:hAnsi="Arial"/>
          <w:noProof/>
        </w:rPr>
        <w:t>[10]</w:t>
      </w:r>
      <w:r>
        <w:rPr>
          <w:rFonts w:ascii="Arial" w:hAnsi="Arial"/>
          <w:noProof/>
        </w:rPr>
        <w:fldChar w:fldCharType="end"/>
      </w:r>
      <w:r>
        <w:rPr>
          <w:rFonts w:ascii="Arial" w:hAnsi="Arial"/>
          <w:noProof/>
        </w:rPr>
        <w:t xml:space="preserve">, but it was also commented that it would be sufficient to remove from 38.306 the parts that contradict 38.331 - it is thus proposed to pursue a CR to 38.306 only, taking into consideration this comment. </w:t>
      </w:r>
    </w:p>
    <w:p w14:paraId="6CB2DF5B" w14:textId="77777777" w:rsidR="00302088" w:rsidRDefault="00302088" w:rsidP="00302088">
      <w:pPr>
        <w:spacing w:after="0"/>
        <w:jc w:val="both"/>
        <w:rPr>
          <w:rFonts w:ascii="Arial" w:hAnsi="Arial"/>
          <w:noProof/>
        </w:rPr>
      </w:pPr>
    </w:p>
    <w:p w14:paraId="252F8ECF" w14:textId="77777777" w:rsidR="00302088" w:rsidRDefault="00302088" w:rsidP="00302088">
      <w:pPr>
        <w:pStyle w:val="Proposal"/>
        <w:tabs>
          <w:tab w:val="num" w:pos="1304"/>
        </w:tabs>
        <w:spacing w:line="240" w:lineRule="auto"/>
        <w:rPr>
          <w:noProof/>
        </w:rPr>
      </w:pPr>
      <w:bookmarkStart w:id="5" w:name="_Toc55485173"/>
      <w:r>
        <w:rPr>
          <w:noProof/>
        </w:rPr>
        <w:t xml:space="preserve">Revise </w:t>
      </w:r>
      <w:r w:rsidRPr="00A300AD">
        <w:rPr>
          <w:noProof/>
        </w:rPr>
        <w:t>R2-201051</w:t>
      </w:r>
      <w:r>
        <w:rPr>
          <w:noProof/>
        </w:rPr>
        <w:t xml:space="preserve">7 and </w:t>
      </w:r>
      <w:r w:rsidRPr="00A300AD">
        <w:rPr>
          <w:noProof/>
        </w:rPr>
        <w:t>R2-201051</w:t>
      </w:r>
      <w:r>
        <w:rPr>
          <w:noProof/>
        </w:rPr>
        <w:t xml:space="preserve">8 to remove the sentences that contradict 38.331 concerning feature sets per CC and do not agree on the CRs </w:t>
      </w:r>
      <w:r w:rsidRPr="00A300AD">
        <w:rPr>
          <w:noProof/>
        </w:rPr>
        <w:t>R2-201051</w:t>
      </w:r>
      <w:r>
        <w:rPr>
          <w:noProof/>
        </w:rPr>
        <w:t xml:space="preserve">9 and </w:t>
      </w:r>
      <w:r w:rsidRPr="00A300AD">
        <w:rPr>
          <w:noProof/>
        </w:rPr>
        <w:t>R2-20105</w:t>
      </w:r>
      <w:r>
        <w:rPr>
          <w:noProof/>
        </w:rPr>
        <w:t>20.</w:t>
      </w:r>
      <w:bookmarkEnd w:id="5"/>
    </w:p>
    <w:p w14:paraId="2C8672A4" w14:textId="77777777" w:rsidR="00302088" w:rsidRDefault="00302088" w:rsidP="00302088">
      <w:pPr>
        <w:spacing w:after="0"/>
        <w:jc w:val="both"/>
        <w:rPr>
          <w:rFonts w:ascii="Arial" w:hAnsi="Arial"/>
          <w:noProof/>
        </w:rPr>
      </w:pPr>
      <w:r>
        <w:rPr>
          <w:rFonts w:ascii="Arial" w:hAnsi="Arial"/>
          <w:noProof/>
        </w:rPr>
        <w:t>On Q4, some mixed feedback was received on: how to interpret some parameters in feature set per CC as fallback; whether the change is needed for Rel-15; and also how this should be captured for Rel-16 – those details need further discussion in Part 2.</w:t>
      </w:r>
    </w:p>
    <w:p w14:paraId="3CE8D672" w14:textId="77777777" w:rsidR="00302088" w:rsidRDefault="00302088" w:rsidP="00302088">
      <w:pPr>
        <w:pStyle w:val="Observation"/>
        <w:tabs>
          <w:tab w:val="clear" w:pos="1304"/>
        </w:tabs>
        <w:spacing w:line="240" w:lineRule="auto"/>
        <w:rPr>
          <w:noProof/>
        </w:rPr>
      </w:pPr>
      <w:bookmarkStart w:id="6" w:name="_Toc55485170"/>
      <w:r>
        <w:rPr>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bookmarkEnd w:id="6"/>
    </w:p>
    <w:p w14:paraId="4B779739" w14:textId="77777777" w:rsidR="00302088" w:rsidRDefault="00302088" w:rsidP="00302088">
      <w:pPr>
        <w:spacing w:after="0"/>
        <w:jc w:val="both"/>
        <w:rPr>
          <w:rFonts w:ascii="Arial" w:hAnsi="Arial"/>
          <w:noProof/>
        </w:rPr>
      </w:pPr>
      <w:r>
        <w:rPr>
          <w:rFonts w:ascii="Arial" w:hAnsi="Arial"/>
          <w:noProof/>
        </w:rPr>
        <w:t xml:space="preserve"> </w:t>
      </w:r>
    </w:p>
    <w:p w14:paraId="5555F60E" w14:textId="77777777" w:rsidR="00302088" w:rsidRDefault="00302088" w:rsidP="00302088">
      <w:pPr>
        <w:spacing w:after="0"/>
        <w:jc w:val="both"/>
        <w:rPr>
          <w:rFonts w:ascii="Arial" w:hAnsi="Arial"/>
          <w:noProof/>
        </w:rPr>
      </w:pPr>
      <w:r>
        <w:rPr>
          <w:rFonts w:ascii="Arial" w:hAnsi="Arial"/>
          <w:noProof/>
        </w:rPr>
        <w:t xml:space="preserve">From the companies that provided input to Q5, there was no support to the interpretation of UE capability coordination suggested in </w:t>
      </w:r>
      <w:r>
        <w:rPr>
          <w:rFonts w:ascii="Arial" w:hAnsi="Arial"/>
          <w:noProof/>
        </w:rPr>
        <w:fldChar w:fldCharType="begin"/>
      </w:r>
      <w:r>
        <w:rPr>
          <w:rFonts w:ascii="Arial" w:hAnsi="Arial"/>
          <w:noProof/>
        </w:rPr>
        <w:instrText xml:space="preserve"> REF _Ref55227289 \r \h </w:instrText>
      </w:r>
      <w:r>
        <w:rPr>
          <w:rFonts w:ascii="Arial" w:hAnsi="Arial"/>
          <w:noProof/>
        </w:rPr>
      </w:r>
      <w:r>
        <w:rPr>
          <w:rFonts w:ascii="Arial" w:hAnsi="Arial"/>
          <w:noProof/>
        </w:rPr>
        <w:fldChar w:fldCharType="separate"/>
      </w:r>
      <w:r>
        <w:rPr>
          <w:rFonts w:ascii="Arial" w:hAnsi="Arial"/>
          <w:noProof/>
        </w:rPr>
        <w:t>[13]</w:t>
      </w:r>
      <w:r>
        <w:rPr>
          <w:rFonts w:ascii="Arial" w:hAnsi="Arial"/>
          <w:noProof/>
        </w:rPr>
        <w:fldChar w:fldCharType="end"/>
      </w:r>
      <w:r>
        <w:rPr>
          <w:rFonts w:ascii="Arial" w:hAnsi="Arial"/>
          <w:noProof/>
        </w:rPr>
        <w:t xml:space="preserve">, hence the paper can be noted. </w:t>
      </w:r>
    </w:p>
    <w:p w14:paraId="5DCD4A41" w14:textId="77777777" w:rsidR="00302088" w:rsidRDefault="00302088" w:rsidP="00302088">
      <w:pPr>
        <w:pStyle w:val="Proposal"/>
        <w:tabs>
          <w:tab w:val="num" w:pos="1304"/>
        </w:tabs>
        <w:spacing w:line="240" w:lineRule="auto"/>
        <w:rPr>
          <w:noProof/>
        </w:rPr>
      </w:pPr>
      <w:bookmarkStart w:id="7" w:name="_Toc55485174"/>
      <w:r>
        <w:rPr>
          <w:noProof/>
        </w:rPr>
        <w:t xml:space="preserve">Note the paper </w:t>
      </w:r>
      <w:r w:rsidRPr="000C147A">
        <w:rPr>
          <w:noProof/>
        </w:rPr>
        <w:t>R2-2010084</w:t>
      </w:r>
      <w:r>
        <w:rPr>
          <w:noProof/>
        </w:rPr>
        <w:t>.</w:t>
      </w:r>
      <w:bookmarkEnd w:id="7"/>
    </w:p>
    <w:p w14:paraId="61A47836" w14:textId="77777777" w:rsidR="00302088" w:rsidRDefault="00302088">
      <w:pPr>
        <w:spacing w:after="0"/>
        <w:jc w:val="both"/>
        <w:rPr>
          <w:rFonts w:ascii="Arial" w:hAnsi="Arial"/>
        </w:rPr>
      </w:pPr>
    </w:p>
    <w:p w14:paraId="658BCFD5" w14:textId="77777777" w:rsidR="00905F8A" w:rsidRDefault="00A53FCA">
      <w:pPr>
        <w:pStyle w:val="Heading2"/>
      </w:pPr>
      <w:r>
        <w:t>2.2</w:t>
      </w:r>
      <w:r>
        <w:tab/>
        <w:t>Part 2: Intended to progress discussion on agreeable parts</w:t>
      </w:r>
    </w:p>
    <w:p w14:paraId="3FB0FB5E" w14:textId="77777777" w:rsidR="00905F8A" w:rsidRDefault="00A53FCA">
      <w:pPr>
        <w:spacing w:after="0"/>
        <w:jc w:val="both"/>
        <w:rPr>
          <w:rFonts w:ascii="Arial" w:hAnsi="Arial"/>
        </w:rPr>
      </w:pPr>
      <w:r>
        <w:rPr>
          <w:rFonts w:ascii="Arial" w:hAnsi="Arial"/>
        </w:rPr>
        <w:t xml:space="preserve">- To be updated after discussion on part 1 - </w:t>
      </w:r>
    </w:p>
    <w:bookmarkEnd w:id="0"/>
    <w:p w14:paraId="03A80897" w14:textId="77777777" w:rsidR="00905F8A" w:rsidRDefault="00A53FCA">
      <w:pPr>
        <w:pStyle w:val="Heading1"/>
      </w:pPr>
      <w:r>
        <w:t>3</w:t>
      </w:r>
      <w:r>
        <w:tab/>
        <w:t>Conclusion</w:t>
      </w:r>
    </w:p>
    <w:p w14:paraId="605E2840" w14:textId="77777777" w:rsidR="00905F8A" w:rsidRDefault="00905F8A">
      <w:pPr>
        <w:pStyle w:val="BodyText"/>
        <w:rPr>
          <w:lang w:val="en-US"/>
        </w:rPr>
      </w:pPr>
    </w:p>
    <w:p w14:paraId="10EBD71C" w14:textId="77777777" w:rsidR="00087ECB" w:rsidRDefault="00087ECB" w:rsidP="00087ECB">
      <w:pPr>
        <w:pStyle w:val="BodyText"/>
        <w:rPr>
          <w:b/>
          <w:bCs/>
        </w:rPr>
      </w:pPr>
      <w:r>
        <w:t>In the previous sections</w:t>
      </w:r>
      <w:r w:rsidRPr="00CE0424">
        <w:t xml:space="preserve"> we </w:t>
      </w:r>
      <w:r>
        <w:t>made the following observations</w:t>
      </w:r>
      <w:r w:rsidRPr="00CE0424">
        <w:t>:</w:t>
      </w:r>
      <w:r>
        <w:rPr>
          <w:b/>
          <w:bCs/>
        </w:rPr>
        <w:t xml:space="preserve"> </w:t>
      </w:r>
    </w:p>
    <w:p w14:paraId="24BF9637"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5485168" w:history="1">
        <w:r w:rsidRPr="009A642F">
          <w:rPr>
            <w:rStyle w:val="Hyperlink"/>
            <w:noProof/>
          </w:rPr>
          <w:t>Observation 1</w:t>
        </w:r>
        <w:r>
          <w:rPr>
            <w:rFonts w:asciiTheme="minorHAnsi" w:eastAsiaTheme="minorEastAsia" w:hAnsiTheme="minorHAnsi" w:cstheme="minorBidi"/>
            <w:b w:val="0"/>
            <w:noProof/>
            <w:sz w:val="22"/>
            <w:szCs w:val="22"/>
            <w:lang w:val="sv-SE" w:eastAsia="sv-SE"/>
          </w:rPr>
          <w:tab/>
        </w:r>
        <w:r w:rsidRPr="009A642F">
          <w:rPr>
            <w:rStyle w:val="Hyperlink"/>
            <w:noProof/>
          </w:rPr>
          <w:t xml:space="preserve">Continue the discussion on whether the network can configure the band that included in </w:t>
        </w:r>
        <w:r w:rsidRPr="009A642F">
          <w:rPr>
            <w:rStyle w:val="Hyperlink"/>
            <w:i/>
            <w:iCs/>
            <w:noProof/>
          </w:rPr>
          <w:t>supportedBandListNR</w:t>
        </w:r>
        <w:r w:rsidRPr="009A642F">
          <w:rPr>
            <w:rStyle w:val="Hyperlink"/>
            <w:noProof/>
          </w:rPr>
          <w:t xml:space="preserve"> (no matter if such band is included in the supportedBandCombinationList of the </w:t>
        </w:r>
        <w:r w:rsidRPr="009A642F">
          <w:rPr>
            <w:rStyle w:val="Hyperlink"/>
            <w:i/>
            <w:iCs/>
            <w:noProof/>
          </w:rPr>
          <w:t>RF-Parameters</w:t>
        </w:r>
        <w:r w:rsidRPr="009A642F">
          <w:rPr>
            <w:rStyle w:val="Hyperlink"/>
            <w:noProof/>
          </w:rPr>
          <w:t xml:space="preserve"> and/or </w:t>
        </w:r>
        <w:r w:rsidRPr="009A642F">
          <w:rPr>
            <w:rStyle w:val="Hyperlink"/>
            <w:i/>
            <w:iCs/>
            <w:noProof/>
          </w:rPr>
          <w:t>RF-ParametersMRDC</w:t>
        </w:r>
        <w:r w:rsidRPr="009A642F">
          <w:rPr>
            <w:rStyle w:val="Hyperlink"/>
            <w:noProof/>
          </w:rPr>
          <w:t>) as a redirection target band.</w:t>
        </w:r>
      </w:hyperlink>
    </w:p>
    <w:p w14:paraId="64F292E5"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69" w:history="1">
        <w:r w:rsidRPr="009A642F">
          <w:rPr>
            <w:rStyle w:val="Hyperlink"/>
            <w:noProof/>
          </w:rPr>
          <w:t>Observation 2</w:t>
        </w:r>
        <w:r>
          <w:rPr>
            <w:rFonts w:asciiTheme="minorHAnsi" w:eastAsiaTheme="minorEastAsia" w:hAnsiTheme="minorHAnsi" w:cstheme="minorBidi"/>
            <w:b w:val="0"/>
            <w:noProof/>
            <w:sz w:val="22"/>
            <w:szCs w:val="22"/>
            <w:lang w:val="sv-SE" w:eastAsia="sv-SE"/>
          </w:rPr>
          <w:tab/>
        </w:r>
        <w:r w:rsidRPr="009A642F">
          <w:rPr>
            <w:rStyle w:val="Hyperlink"/>
            <w:noProof/>
          </w:rPr>
          <w:t>Continue the discussion on whether R2-2010512 and R2-2010513 should be agreed.</w:t>
        </w:r>
      </w:hyperlink>
    </w:p>
    <w:p w14:paraId="48FA5001"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0" w:history="1">
        <w:r w:rsidRPr="009A642F">
          <w:rPr>
            <w:rStyle w:val="Hyperlink"/>
            <w:noProof/>
          </w:rPr>
          <w:t>Observation 3</w:t>
        </w:r>
        <w:r>
          <w:rPr>
            <w:rFonts w:asciiTheme="minorHAnsi" w:eastAsiaTheme="minorEastAsia" w:hAnsiTheme="minorHAnsi" w:cstheme="minorBidi"/>
            <w:b w:val="0"/>
            <w:noProof/>
            <w:sz w:val="22"/>
            <w:szCs w:val="22"/>
            <w:lang w:val="sv-SE" w:eastAsia="sv-SE"/>
          </w:rPr>
          <w:tab/>
        </w:r>
        <w:r w:rsidRPr="009A642F">
          <w:rPr>
            <w:rStyle w:val="Hyperlink"/>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hyperlink>
    </w:p>
    <w:p w14:paraId="3980E786" w14:textId="45DC1705" w:rsidR="00087ECB" w:rsidRDefault="00087ECB" w:rsidP="00087ECB">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13EE0CA" w14:textId="77777777" w:rsidR="00087ECB" w:rsidRPr="00040095" w:rsidRDefault="00087ECB" w:rsidP="00087ECB">
      <w:pPr>
        <w:pStyle w:val="BodyText"/>
        <w:rPr>
          <w:lang w:val="en-US"/>
        </w:rPr>
      </w:pPr>
    </w:p>
    <w:bookmarkStart w:id="8" w:name="_GoBack"/>
    <w:bookmarkEnd w:id="8"/>
    <w:p w14:paraId="5FEDD279"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Cs/>
          <w:lang w:val="en-US"/>
        </w:rPr>
        <w:instrText xml:space="preserve"> TOC \n \h \z \t "Proposal" \c </w:instrText>
      </w:r>
      <w:r>
        <w:rPr>
          <w:b w:val="0"/>
          <w:bCs/>
          <w:lang w:val="en-US"/>
        </w:rPr>
        <w:fldChar w:fldCharType="separate"/>
      </w:r>
      <w:hyperlink w:anchor="_Toc55485171" w:history="1">
        <w:r w:rsidRPr="001E0F2E">
          <w:rPr>
            <w:rStyle w:val="Hyperlink"/>
            <w:noProof/>
          </w:rPr>
          <w:t>Proposal 1</w:t>
        </w:r>
        <w:r>
          <w:rPr>
            <w:rFonts w:asciiTheme="minorHAnsi" w:eastAsiaTheme="minorEastAsia" w:hAnsiTheme="minorHAnsi" w:cstheme="minorBidi"/>
            <w:b w:val="0"/>
            <w:noProof/>
            <w:sz w:val="22"/>
            <w:szCs w:val="22"/>
            <w:lang w:val="sv-SE" w:eastAsia="sv-SE"/>
          </w:rPr>
          <w:tab/>
        </w:r>
        <w:r w:rsidRPr="001E0F2E">
          <w:rPr>
            <w:rStyle w:val="Hyperlink"/>
            <w:noProof/>
          </w:rPr>
          <w:t>Note the paper R2-2009630; the related CRs R2-2010567 and R2-2010568 are not agreed.</w:t>
        </w:r>
      </w:hyperlink>
    </w:p>
    <w:p w14:paraId="41B05E26"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2" w:history="1">
        <w:r w:rsidRPr="001E0F2E">
          <w:rPr>
            <w:rStyle w:val="Hyperlink"/>
            <w:noProof/>
          </w:rPr>
          <w:t>Proposal 2</w:t>
        </w:r>
        <w:r>
          <w:rPr>
            <w:rFonts w:asciiTheme="minorHAnsi" w:eastAsiaTheme="minorEastAsia" w:hAnsiTheme="minorHAnsi" w:cstheme="minorBidi"/>
            <w:b w:val="0"/>
            <w:noProof/>
            <w:sz w:val="22"/>
            <w:szCs w:val="22"/>
            <w:lang w:val="sv-SE" w:eastAsia="sv-SE"/>
          </w:rPr>
          <w:tab/>
        </w:r>
        <w:r w:rsidRPr="001E0F2E">
          <w:rPr>
            <w:rStyle w:val="Hyperlink"/>
            <w:noProof/>
          </w:rPr>
          <w:t xml:space="preserve">The network can configure the band that included in </w:t>
        </w:r>
        <w:r w:rsidRPr="001E0F2E">
          <w:rPr>
            <w:rStyle w:val="Hyperlink"/>
            <w:i/>
            <w:iCs/>
            <w:noProof/>
          </w:rPr>
          <w:t>supportedBandListNR</w:t>
        </w:r>
        <w:r w:rsidRPr="001E0F2E">
          <w:rPr>
            <w:rStyle w:val="Hyperlink"/>
            <w:noProof/>
          </w:rPr>
          <w:t xml:space="preserve"> (no matter if such band is included in the </w:t>
        </w:r>
        <w:r w:rsidRPr="001E0F2E">
          <w:rPr>
            <w:rStyle w:val="Hyperlink"/>
            <w:i/>
            <w:iCs/>
            <w:noProof/>
          </w:rPr>
          <w:t>supportedBandCombinationList</w:t>
        </w:r>
        <w:r w:rsidRPr="001E0F2E">
          <w:rPr>
            <w:rStyle w:val="Hyperlink"/>
            <w:noProof/>
          </w:rPr>
          <w:t xml:space="preserve"> of the </w:t>
        </w:r>
        <w:r w:rsidRPr="001E0F2E">
          <w:rPr>
            <w:rStyle w:val="Hyperlink"/>
            <w:i/>
            <w:iCs/>
            <w:noProof/>
          </w:rPr>
          <w:t>RF-Parameters</w:t>
        </w:r>
        <w:r w:rsidRPr="001E0F2E">
          <w:rPr>
            <w:rStyle w:val="Hyperlink"/>
            <w:noProof/>
          </w:rPr>
          <w:t xml:space="preserve"> and/or </w:t>
        </w:r>
        <w:r w:rsidRPr="001E0F2E">
          <w:rPr>
            <w:rStyle w:val="Hyperlink"/>
            <w:i/>
            <w:iCs/>
            <w:noProof/>
          </w:rPr>
          <w:t>RF-ParametersMRDC</w:t>
        </w:r>
        <w:r w:rsidRPr="001E0F2E">
          <w:rPr>
            <w:rStyle w:val="Hyperlink"/>
            <w:noProof/>
          </w:rPr>
          <w:t>) as a measurement object.</w:t>
        </w:r>
      </w:hyperlink>
    </w:p>
    <w:p w14:paraId="2618AAC1"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3" w:history="1">
        <w:r w:rsidRPr="001E0F2E">
          <w:rPr>
            <w:rStyle w:val="Hyperlink"/>
            <w:noProof/>
          </w:rPr>
          <w:t>Proposal 3</w:t>
        </w:r>
        <w:r>
          <w:rPr>
            <w:rFonts w:asciiTheme="minorHAnsi" w:eastAsiaTheme="minorEastAsia" w:hAnsiTheme="minorHAnsi" w:cstheme="minorBidi"/>
            <w:b w:val="0"/>
            <w:noProof/>
            <w:sz w:val="22"/>
            <w:szCs w:val="22"/>
            <w:lang w:val="sv-SE" w:eastAsia="sv-SE"/>
          </w:rPr>
          <w:tab/>
        </w:r>
        <w:r w:rsidRPr="001E0F2E">
          <w:rPr>
            <w:rStyle w:val="Hyperlink"/>
            <w:noProof/>
          </w:rPr>
          <w:t>Revise R2-2010517 and R2-2010518 to remove the sentences that contradict 38.331 concerning feature sets per CC and do not agree on the CRs R2-2010519 and R2-2010520.</w:t>
        </w:r>
      </w:hyperlink>
    </w:p>
    <w:p w14:paraId="1B5B6484" w14:textId="77777777" w:rsidR="00087ECB" w:rsidRDefault="00087ECB">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4" w:history="1">
        <w:r w:rsidRPr="001E0F2E">
          <w:rPr>
            <w:rStyle w:val="Hyperlink"/>
            <w:noProof/>
          </w:rPr>
          <w:t>Proposal 4</w:t>
        </w:r>
        <w:r>
          <w:rPr>
            <w:rFonts w:asciiTheme="minorHAnsi" w:eastAsiaTheme="minorEastAsia" w:hAnsiTheme="minorHAnsi" w:cstheme="minorBidi"/>
            <w:b w:val="0"/>
            <w:noProof/>
            <w:sz w:val="22"/>
            <w:szCs w:val="22"/>
            <w:lang w:val="sv-SE" w:eastAsia="sv-SE"/>
          </w:rPr>
          <w:tab/>
        </w:r>
        <w:r w:rsidRPr="001E0F2E">
          <w:rPr>
            <w:rStyle w:val="Hyperlink"/>
            <w:noProof/>
          </w:rPr>
          <w:t>Note the paper R2-2010084.</w:t>
        </w:r>
      </w:hyperlink>
    </w:p>
    <w:p w14:paraId="4D10D1EA" w14:textId="1C2BCA7C" w:rsidR="00905F8A" w:rsidRDefault="00087ECB" w:rsidP="00087ECB">
      <w:pPr>
        <w:pStyle w:val="TableofFigures"/>
        <w:tabs>
          <w:tab w:val="right" w:leader="dot" w:pos="9629"/>
        </w:tabs>
      </w:pPr>
      <w:r>
        <w:rPr>
          <w:b w:val="0"/>
          <w:bCs/>
          <w:lang w:val="en-US"/>
        </w:rPr>
        <w:fldChar w:fldCharType="end"/>
      </w:r>
      <w:r w:rsidR="00A53FCA">
        <w:rPr>
          <w:b w:val="0"/>
          <w:bCs/>
          <w:lang w:val="en-US"/>
        </w:rPr>
        <w:fldChar w:fldCharType="begin"/>
      </w:r>
      <w:r w:rsidR="00A53FCA">
        <w:rPr>
          <w:bCs/>
          <w:lang w:val="en-US"/>
        </w:rPr>
        <w:instrText xml:space="preserve"> TOC \n \h \z \t "Proposal" \c </w:instrText>
      </w:r>
      <w:r w:rsidR="00A53FCA">
        <w:rPr>
          <w:b w:val="0"/>
          <w:bCs/>
          <w:lang w:val="en-US"/>
        </w:rPr>
        <w:fldChar w:fldCharType="separate"/>
      </w:r>
    </w:p>
    <w:p w14:paraId="1951DAEC" w14:textId="77777777" w:rsidR="00905F8A" w:rsidRDefault="00A53FCA">
      <w:pPr>
        <w:pStyle w:val="Heading1"/>
      </w:pPr>
      <w:r>
        <w:rPr>
          <w:b/>
          <w:bCs/>
          <w:lang w:val="en-US"/>
        </w:rPr>
        <w:fldChar w:fldCharType="end"/>
      </w:r>
      <w:r>
        <w:t>4</w:t>
      </w:r>
      <w:r>
        <w:tab/>
        <w:t>References</w:t>
      </w:r>
    </w:p>
    <w:bookmarkStart w:id="9" w:name="_Ref55227454"/>
    <w:p w14:paraId="74484C33"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Hyperlink"/>
          <w:rFonts w:cs="Arial"/>
          <w:szCs w:val="20"/>
        </w:rPr>
        <w:t>R2-2009630</w:t>
      </w:r>
      <w:r>
        <w:rPr>
          <w:rStyle w:val="Hyperlink"/>
          <w:rFonts w:cs="Arial"/>
          <w:szCs w:val="20"/>
        </w:rPr>
        <w:fldChar w:fldCharType="end"/>
      </w:r>
      <w:r>
        <w:rPr>
          <w:rFonts w:cs="Arial"/>
          <w:szCs w:val="20"/>
        </w:rPr>
        <w:tab/>
        <w:t>Further Consideration on the non-CA BC Capability Reporting,</w:t>
      </w:r>
      <w:r>
        <w:rPr>
          <w:rFonts w:cs="Arial"/>
          <w:szCs w:val="20"/>
        </w:rPr>
        <w:tab/>
        <w:t>ZTE Corporation, Sanechips, RAN2 #112-e, 2-13 November 2020</w:t>
      </w:r>
    </w:p>
    <w:bookmarkStart w:id="10" w:name="_Ref55229245"/>
    <w:p w14:paraId="14A030C6"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Hyperlink"/>
          <w:rFonts w:cs="Arial"/>
          <w:szCs w:val="20"/>
        </w:rPr>
        <w:t>R2-2010567</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10"/>
    </w:p>
    <w:bookmarkStart w:id="11" w:name="_Ref55229247"/>
    <w:p w14:paraId="607BD34D"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Hyperlink"/>
          <w:rFonts w:cs="Arial"/>
          <w:szCs w:val="20"/>
        </w:rPr>
        <w:t>R2-2010568</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11"/>
    </w:p>
    <w:bookmarkStart w:id="12" w:name="_Ref55227988"/>
    <w:p w14:paraId="096613BB"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Hyperlink"/>
          <w:rFonts w:ascii="Arial" w:hAnsi="Arial" w:cs="Arial"/>
          <w:sz w:val="20"/>
          <w:szCs w:val="20"/>
        </w:rPr>
        <w:t>R2-2010238</w:t>
      </w:r>
      <w:r>
        <w:rPr>
          <w:rStyle w:val="Hyperlink"/>
          <w:rFonts w:ascii="Arial" w:hAnsi="Arial" w:cs="Arial"/>
          <w:sz w:val="20"/>
          <w:szCs w:val="20"/>
        </w:rPr>
        <w:fldChar w:fldCharType="end"/>
      </w:r>
      <w:r>
        <w:rPr>
          <w:rFonts w:ascii="Arial" w:hAnsi="Arial" w:cs="Arial"/>
          <w:sz w:val="20"/>
          <w:szCs w:val="20"/>
        </w:rPr>
        <w:tab/>
        <w:t>Discussion on band for redirection and measurement configuration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9"/>
      <w:bookmarkEnd w:id="12"/>
    </w:p>
    <w:bookmarkStart w:id="13" w:name="_Ref55229281"/>
    <w:p w14:paraId="2C0FAFD9"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Hyperlink"/>
          <w:rFonts w:ascii="Arial" w:hAnsi="Arial" w:cs="Arial"/>
          <w:sz w:val="20"/>
          <w:szCs w:val="20"/>
        </w:rPr>
        <w:t>R2-2010512</w:t>
      </w:r>
      <w:r>
        <w:rPr>
          <w:rStyle w:val="Hyperlink"/>
          <w:rFonts w:ascii="Arial" w:hAnsi="Arial" w:cs="Arial"/>
          <w:sz w:val="20"/>
          <w:szCs w:val="20"/>
        </w:rPr>
        <w:fldChar w:fldCharType="end"/>
      </w:r>
      <w:r>
        <w:rPr>
          <w:rFonts w:ascii="Arial" w:hAnsi="Arial" w:cs="Arial"/>
          <w:sz w:val="20"/>
          <w:szCs w:val="20"/>
        </w:rPr>
        <w:tab/>
        <w:t>Clarified meaning of band combinations, Ericsson, Huawei, HiSilicon</w:t>
      </w:r>
      <w:r>
        <w:rPr>
          <w:rFonts w:ascii="Arial" w:eastAsia="MS Mincho" w:hAnsi="Arial" w:cs="Arial"/>
          <w:sz w:val="20"/>
          <w:szCs w:val="20"/>
          <w:lang w:val="en-GB" w:eastAsia="en-GB"/>
        </w:rPr>
        <w:t>, RAN2 #112-e, 2-13 November 2020</w:t>
      </w:r>
      <w:bookmarkEnd w:id="13"/>
    </w:p>
    <w:bookmarkStart w:id="14" w:name="_Ref55229282"/>
    <w:p w14:paraId="70D9D32C"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Hyperlink"/>
          <w:rFonts w:ascii="Arial" w:hAnsi="Arial" w:cs="Arial"/>
          <w:sz w:val="20"/>
          <w:szCs w:val="20"/>
        </w:rPr>
        <w:t>R2-2010513</w:t>
      </w:r>
      <w:r>
        <w:rPr>
          <w:rStyle w:val="Hyperlink"/>
          <w:rFonts w:ascii="Arial" w:hAnsi="Arial" w:cs="Arial"/>
          <w:sz w:val="20"/>
          <w:szCs w:val="20"/>
        </w:rPr>
        <w:fldChar w:fldCharType="end"/>
      </w:r>
      <w:r>
        <w:rPr>
          <w:rFonts w:ascii="Arial" w:hAnsi="Arial" w:cs="Arial"/>
          <w:sz w:val="20"/>
          <w:szCs w:val="20"/>
        </w:rPr>
        <w:tab/>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14"/>
    </w:p>
    <w:bookmarkStart w:id="15" w:name="_Ref55220038"/>
    <w:p w14:paraId="6F8739CA"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Hyperlink"/>
          <w:rFonts w:cs="Arial"/>
          <w:szCs w:val="20"/>
        </w:rPr>
        <w:t>R2-2010517</w:t>
      </w:r>
      <w:r>
        <w:rPr>
          <w:rStyle w:val="Hyperlink"/>
          <w:rFonts w:cs="Arial"/>
          <w:szCs w:val="20"/>
        </w:rPr>
        <w:fldChar w:fldCharType="end"/>
      </w:r>
      <w:r>
        <w:rPr>
          <w:rFonts w:cs="Arial"/>
          <w:szCs w:val="20"/>
        </w:rPr>
        <w:tab/>
        <w:t>Removing contradiction on number of FSpUCC and FSpDCC, Ericsson, Nokia, Nokia Shanghai-Bell, RAN2 #112-e, 2-13 November 2020</w:t>
      </w:r>
      <w:r>
        <w:rPr>
          <w:rFonts w:cs="Arial"/>
          <w:szCs w:val="20"/>
        </w:rPr>
        <w:tab/>
        <w:t>NR_newRAT-Core</w:t>
      </w:r>
      <w:bookmarkEnd w:id="15"/>
    </w:p>
    <w:bookmarkStart w:id="16" w:name="_Ref55220039"/>
    <w:p w14:paraId="31C0EF7F"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Hyperlink"/>
          <w:rFonts w:cs="Arial"/>
          <w:szCs w:val="20"/>
        </w:rPr>
        <w:t>R2-2010518</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6"/>
    </w:p>
    <w:bookmarkStart w:id="17" w:name="_Ref55220041"/>
    <w:p w14:paraId="51B0B161"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Hyperlink"/>
          <w:rFonts w:cs="Arial"/>
          <w:szCs w:val="20"/>
        </w:rPr>
        <w:t>R2-2010519</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7"/>
    </w:p>
    <w:bookmarkStart w:id="18" w:name="_Ref55220042"/>
    <w:p w14:paraId="0291B2B4"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Hyperlink"/>
          <w:rFonts w:cs="Arial"/>
          <w:szCs w:val="20"/>
        </w:rPr>
        <w:t>R2-2010520</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8"/>
    </w:p>
    <w:bookmarkStart w:id="19" w:name="_Ref55226495"/>
    <w:p w14:paraId="2A815C6A"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Hyperlink"/>
          <w:rFonts w:cs="Arial"/>
          <w:szCs w:val="20"/>
        </w:rPr>
        <w:t>R2-2010539</w:t>
      </w:r>
      <w:r>
        <w:rPr>
          <w:rStyle w:val="Hyperlink"/>
          <w:rFonts w:cs="Arial"/>
          <w:szCs w:val="20"/>
        </w:rPr>
        <w:fldChar w:fldCharType="end"/>
      </w:r>
      <w:r>
        <w:rPr>
          <w:rFonts w:cs="Arial"/>
          <w:szCs w:val="20"/>
        </w:rPr>
        <w:tab/>
        <w:t>Definition of fallback per CC feature set, Ericsson, RAN2 #112-e, 2-13 November 2020</w:t>
      </w:r>
      <w:bookmarkEnd w:id="19"/>
    </w:p>
    <w:bookmarkStart w:id="20" w:name="_Ref55226496"/>
    <w:p w14:paraId="3FC30AC1"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Hyperlink"/>
          <w:rFonts w:cs="Arial"/>
          <w:szCs w:val="20"/>
        </w:rPr>
        <w:t>R2-2010538</w:t>
      </w:r>
      <w:r>
        <w:rPr>
          <w:rStyle w:val="Hyperlink"/>
          <w:rFonts w:cs="Arial"/>
          <w:szCs w:val="20"/>
        </w:rPr>
        <w:fldChar w:fldCharType="end"/>
      </w:r>
      <w:r>
        <w:rPr>
          <w:rFonts w:cs="Arial"/>
          <w:szCs w:val="20"/>
        </w:rPr>
        <w:tab/>
        <w:t>Definition of fallback per CC feature set, Ericsson, RAN2 #112-e, 2-13 November 2020</w:t>
      </w:r>
      <w:bookmarkEnd w:id="20"/>
    </w:p>
    <w:bookmarkStart w:id="21" w:name="_Ref55227289"/>
    <w:p w14:paraId="38805A17"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Hyperlink"/>
          <w:rFonts w:cs="Arial"/>
          <w:szCs w:val="20"/>
        </w:rPr>
        <w:t>R2-2010084</w:t>
      </w:r>
      <w:r>
        <w:rPr>
          <w:rStyle w:val="Hyperlink"/>
          <w:rFonts w:cs="Arial"/>
          <w:szCs w:val="20"/>
        </w:rPr>
        <w:fldChar w:fldCharType="end"/>
      </w:r>
      <w:r>
        <w:rPr>
          <w:rFonts w:cs="Arial"/>
          <w:szCs w:val="20"/>
        </w:rPr>
        <w:tab/>
        <w:t>Internode coordination for superset BCs reported by UE, Samsung Telecommunications, RAN2 #112-e, 2-13 November 2020</w:t>
      </w:r>
      <w:bookmarkEnd w:id="21"/>
    </w:p>
    <w:sectPr w:rsidR="00905F8A">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CCB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343C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3"/>
  </w:num>
  <w:num w:numId="4">
    <w:abstractNumId w:val="5"/>
  </w:num>
  <w:num w:numId="5">
    <w:abstractNumId w:val="4"/>
  </w:num>
  <w:num w:numId="6">
    <w:abstractNumId w:val="12"/>
  </w:num>
  <w:num w:numId="7">
    <w:abstractNumId w:val="2"/>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ECB"/>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18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088"/>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4BBE"/>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3E63"/>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64A"/>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55B4E8"/>
  <w15:docId w15:val="{B725B4DF-5E24-4627-A89D-0671BD8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1FF6E014-D8E6-4D94-8668-F84C9657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3496</Words>
  <Characters>18534</Characters>
  <Application>Microsoft Office Word</Application>
  <DocSecurity>0</DocSecurity>
  <Lines>154</Lines>
  <Paragraphs>43</Paragraphs>
  <ScaleCrop>false</ScaleCrop>
  <Company>Ericsson</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9</cp:revision>
  <cp:lastPrinted>2008-02-01T05:09:00Z</cp:lastPrinted>
  <dcterms:created xsi:type="dcterms:W3CDTF">2020-11-05T09:53:00Z</dcterms:created>
  <dcterms:modified xsi:type="dcterms:W3CDTF">2020-11-05T15:12:00Z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ies>
</file>