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#112 </w:t>
      </w:r>
      <w:r>
        <w:t>electronic</w:t>
      </w:r>
      <w:r>
        <w:rPr>
          <w:lang w:val="de-DE"/>
        </w:rPr>
        <w:tab/>
      </w:r>
      <w:r>
        <w:rPr>
          <w:sz w:val="32"/>
          <w:szCs w:val="32"/>
          <w:lang w:val="de-DE"/>
        </w:rPr>
        <w:t>R2-200xxxx</w:t>
      </w:r>
    </w:p>
    <w:p>
      <w:pPr>
        <w:pStyle w:val="63"/>
      </w:pPr>
      <w:r>
        <w:rPr>
          <w:rFonts w:cs="Arial"/>
          <w:lang w:val="de-DE"/>
        </w:rPr>
        <w:t>Electronic Meeting, Nov 2-13, 2020</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 xml:space="preserve">Summary of offline 011 Rel-15 UE caps I </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overflowPunct/>
        <w:autoSpaceDE/>
        <w:autoSpaceDN/>
        <w:adjustRightInd/>
        <w:textAlignment w:val="auto"/>
      </w:pPr>
      <w:r>
        <w:t>[AT112-e][011][NR15] UE caps I (Ericsson)</w:t>
      </w:r>
    </w:p>
    <w:p>
      <w:pPr>
        <w:pStyle w:val="162"/>
        <w:ind w:left="1619" w:firstLine="0"/>
      </w:pPr>
      <w:r>
        <w:t>Treat R2-2010512, R2-2010513, R2-2010238, R2-2009630, R2-2010567, R2-2010568, R2-2010539, R2-2010538, R2-2010517 - R2-2010520, R2-2010084</w:t>
      </w:r>
    </w:p>
    <w:p>
      <w:pPr>
        <w:pStyle w:val="162"/>
      </w:pPr>
      <w:r>
        <w:tab/>
      </w:r>
      <w:r>
        <w:t xml:space="preserve">Intended outcome: Intermediate: Determine agreeable parts. Final: For agreeable parts, agreed CRs. </w:t>
      </w:r>
    </w:p>
    <w:p>
      <w:pPr>
        <w:pStyle w:val="162"/>
      </w:pPr>
      <w:r>
        <w:tab/>
      </w:r>
      <w:r>
        <w:t>Deadline: Intermediate deadline(s) by Rapporteur, Final: Discussion stop at Wed Nov 11, 1200 UTC</w:t>
      </w:r>
    </w:p>
    <w:p>
      <w:pPr>
        <w:pStyle w:val="2"/>
      </w:pPr>
      <w:r>
        <w:t>2</w:t>
      </w:r>
      <w:r>
        <w:tab/>
      </w:r>
      <w:r>
        <w:t>Discussion</w:t>
      </w:r>
    </w:p>
    <w:p>
      <w:pPr>
        <w:pStyle w:val="3"/>
      </w:pPr>
      <w:r>
        <w:t>2.1</w:t>
      </w:r>
      <w:r>
        <w:tab/>
      </w:r>
      <w:r>
        <w:t>Part 1: Intended to determine agreeable parts</w:t>
      </w:r>
    </w:p>
    <w:p>
      <w:pPr>
        <w:pStyle w:val="15"/>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pPr>
        <w:pStyle w:val="4"/>
      </w:pPr>
      <w:r>
        <w:t>2.1.1</w:t>
      </w:r>
      <w:r>
        <w:tab/>
      </w:r>
      <w:r>
        <w:t>Band list for redirection and measurement configuration</w:t>
      </w:r>
    </w:p>
    <w:p>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pPr>
        <w:rPr>
          <w:b/>
          <w:bCs/>
        </w:rPr>
      </w:pPr>
      <w:r>
        <w:rPr>
          <w:b/>
          <w:bCs/>
          <w:lang w:val="en-US" w:eastAsia="zh-CN"/>
        </w:rPr>
        <mc:AlternateContent>
          <mc:Choice Requires="wps">
            <w:drawing>
              <wp:inline distT="0" distB="0" distL="0" distR="0">
                <wp:extent cx="6217920" cy="858520"/>
                <wp:effectExtent l="0" t="0" r="11430" b="1778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67.6pt;width:489.6pt;" fillcolor="#FFFFFF" filled="t" stroked="t" coordsize="21600,21600" o:gfxdata="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LntFfWAAAABQEAAA8AAAAAAAAAAQAgAAAA&#10;IgAAAGRycy9kb3ducmV2LnhtbFBLAQIUABQAAAAIAIdO4kCPPvmlDQIAAC4EAAAOAAAAAAAAAAEA&#10;IAAAACUBAABkcnMvZTJvRG9jLnhtbFBLBQYAAAAABgAGAFkBAACkBQAAAAA=&#10;">
                <v:fill on="t" focussize="0,0"/>
                <v:stroke color="#000000" miterlimit="8" joinstyle="miter"/>
                <v:imagedata o:title=""/>
                <o:lock v:ext="edit" aspectratio="f"/>
                <v:textbox>
                  <w:txbxContent>
                    <w:p>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txbxContent>
                </v:textbox>
                <w10:wrap type="none"/>
                <w10:anchorlock/>
              </v:shape>
            </w:pict>
          </mc:Fallback>
        </mc:AlternateContent>
      </w:r>
    </w:p>
    <w:p>
      <w:pPr>
        <w:spacing w:after="0"/>
        <w:jc w:val="both"/>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fldChar w:fldCharType="separate"/>
      </w:r>
      <w:r>
        <w:rPr>
          <w:rFonts w:ascii="Arial" w:hAnsi="Arial"/>
          <w:b/>
          <w:bCs/>
        </w:rPr>
        <w:t>[3]</w:t>
      </w:r>
      <w:r>
        <w:rPr>
          <w:rFonts w:ascii="Arial" w:hAnsi="Arial"/>
          <w:b/>
          <w:bCs/>
        </w:rPr>
        <w:fldChar w:fldCharType="end"/>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N</w:t>
            </w:r>
            <w:r>
              <w:rPr>
                <w:rFonts w:ascii="Arial" w:hAnsi="Arial" w:eastAsia="Yu Mincho"/>
                <w:sz w:val="22"/>
                <w:szCs w:val="22"/>
                <w:lang w:val="de-DE"/>
              </w:rPr>
              <w:t>o</w:t>
            </w:r>
          </w:p>
        </w:tc>
        <w:tc>
          <w:tcPr>
            <w:tcW w:w="5806" w:type="dxa"/>
          </w:tcPr>
          <w:p>
            <w:pPr>
              <w:spacing w:after="0"/>
              <w:jc w:val="both"/>
              <w:rPr>
                <w:rFonts w:ascii="Arial" w:hAnsi="Arial" w:eastAsia="Yu Mincho"/>
                <w:sz w:val="22"/>
                <w:szCs w:val="22"/>
                <w:lang w:val="de-DE"/>
              </w:rPr>
            </w:pPr>
            <w:r>
              <w:rPr>
                <w:rFonts w:ascii="Arial" w:hAnsi="Arial" w:eastAsia="Yu Mincho"/>
                <w:sz w:val="22"/>
                <w:szCs w:val="22"/>
                <w:lang w:val="de-DE"/>
              </w:rPr>
              <w:t>This is non-backward compatible change, and we should stick to the current principle, i.e. the network should be including the NR SA bands in the UE capability filter. We should not change the behaviour for release-16 as well because the network does not even know the UE release at the time it puts together the UE capability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 xml:space="preserve">Ericsson </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Agree with Qualcomm and Ericsson. NW should be able to provide the NR SA bands as well. We already have priority in the NW requested filter and these can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MediaTek</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For Rel-15, it is clear NBC change and not accetable to us.</w:t>
            </w:r>
          </w:p>
          <w:p>
            <w:pPr>
              <w:spacing w:after="0"/>
              <w:jc w:val="both"/>
              <w:rPr>
                <w:rFonts w:ascii="Arial" w:hAnsi="Arial" w:eastAsia="Calibri"/>
                <w:sz w:val="22"/>
                <w:szCs w:val="22"/>
                <w:lang w:val="de-DE"/>
              </w:rPr>
            </w:pPr>
            <w:r>
              <w:rPr>
                <w:rFonts w:ascii="Arial" w:hAnsi="Arial" w:eastAsia="Calibri"/>
                <w:sz w:val="22"/>
                <w:szCs w:val="22"/>
                <w:lang w:val="de-DE"/>
              </w:rPr>
              <w:t xml:space="preserve">For Rel-16, we don’t see the need to have the CR either. We don’t understand why NW want to handover to band but does not want to set the </w:t>
            </w:r>
            <w:r>
              <w:rPr>
                <w:rFonts w:ascii="Arial" w:hAnsi="Arial" w:eastAsia="Calibri"/>
                <w:i/>
                <w:sz w:val="22"/>
                <w:szCs w:val="22"/>
                <w:lang w:val="de-DE"/>
              </w:rPr>
              <w:t>frequencyBandListFilter</w:t>
            </w:r>
            <w:r>
              <w:rPr>
                <w:rFonts w:ascii="Arial" w:hAnsi="Arial" w:eastAsia="Calibri"/>
                <w:sz w:val="22"/>
                <w:szCs w:val="22"/>
                <w:lang w:val="de-DE"/>
              </w:rPr>
              <w:t xml:space="preserve"> to include that band. It also preferable to have same behavior as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Indeed this is quite NBC to network implementation and changes fundamental principles. One cannot expect the filter to be bypassed.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w:t>
            </w:r>
            <w:r>
              <w:rPr>
                <w:rFonts w:ascii="Arial" w:hAnsi="Arial" w:eastAsiaTheme="minorEastAsia"/>
                <w:sz w:val="22"/>
                <w:szCs w:val="22"/>
                <w:lang w:val="de-DE" w:eastAsia="zh-CN"/>
              </w:rPr>
              <w:t>o</w:t>
            </w:r>
          </w:p>
        </w:tc>
        <w:tc>
          <w:tcPr>
            <w:tcW w:w="5806"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It is an NBC change. Besides, for the NR band that can only be configured as SCG in EN-DC, there is no single CC capability, such NR band can only be included in a MR-DC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Theme="minorEastAsia"/>
                <w:sz w:val="22"/>
                <w:szCs w:val="22"/>
                <w:lang w:val="en-US" w:eastAsia="zh-CN"/>
              </w:rPr>
            </w:pPr>
            <w:r>
              <w:rPr>
                <w:rFonts w:hint="eastAsia" w:ascii="Arial" w:hAnsi="Arial" w:eastAsiaTheme="minorEastAsia"/>
                <w:sz w:val="22"/>
                <w:szCs w:val="22"/>
                <w:lang w:val="en-US" w:eastAsia="zh-CN"/>
              </w:rPr>
              <w:t>Yes</w:t>
            </w:r>
          </w:p>
        </w:tc>
        <w:tc>
          <w:tcPr>
            <w:tcW w:w="5806" w:type="dxa"/>
          </w:tcPr>
          <w:p>
            <w:pPr>
              <w:spacing w:after="0"/>
              <w:jc w:val="both"/>
              <w:rPr>
                <w:rFonts w:hint="default" w:ascii="Arial" w:hAnsi="Arial" w:eastAsiaTheme="minorEastAsia"/>
                <w:sz w:val="22"/>
                <w:szCs w:val="22"/>
                <w:lang w:val="en-US" w:eastAsia="zh-CN"/>
              </w:rPr>
            </w:pPr>
            <w:r>
              <w:rPr>
                <w:rFonts w:hint="eastAsia" w:ascii="Arial" w:hAnsi="Arial" w:eastAsiaTheme="minorEastAsia"/>
                <w:sz w:val="22"/>
                <w:szCs w:val="22"/>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hint="default" w:ascii="Arial" w:hAnsi="Arial" w:eastAsiaTheme="minorEastAsia"/>
                <w:sz w:val="22"/>
                <w:szCs w:val="22"/>
                <w:lang w:val="en-US" w:eastAsia="zh-CN"/>
              </w:rPr>
              <w:t>’</w:t>
            </w:r>
            <w:r>
              <w:rPr>
                <w:rFonts w:hint="eastAsia" w:ascii="Arial" w:hAnsi="Arial" w:eastAsiaTheme="minorEastAsia"/>
                <w:sz w:val="22"/>
                <w:szCs w:val="22"/>
                <w:lang w:val="en-US" w:eastAsia="zh-CN"/>
              </w:rPr>
              <w:t xml:space="preserve"> view</w:t>
            </w:r>
          </w:p>
        </w:tc>
      </w:tr>
    </w:tbl>
    <w:p>
      <w:pPr>
        <w:spacing w:after="0"/>
        <w:jc w:val="both"/>
        <w:rPr>
          <w:rFonts w:ascii="Arial" w:hAnsi="Arial"/>
        </w:rPr>
      </w:pPr>
    </w:p>
    <w:p>
      <w:pPr>
        <w:spacing w:after="0"/>
        <w:jc w:val="both"/>
        <w:rPr>
          <w:rFonts w:ascii="Arial" w:hAnsi="Arial"/>
          <w:b/>
          <w:bCs/>
        </w:rPr>
      </w:pPr>
    </w:p>
    <w:p>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pPr>
        <w:spacing w:after="0"/>
        <w:jc w:val="both"/>
        <w:rPr>
          <w:rFonts w:ascii="Arial" w:hAnsi="Arial"/>
        </w:rPr>
      </w:pPr>
    </w:p>
    <w:p>
      <w:pPr>
        <w:spacing w:after="0"/>
        <w:jc w:val="both"/>
        <w:rPr>
          <w:rFonts w:ascii="Arial" w:hAnsi="Arial"/>
        </w:rPr>
      </w:pPr>
      <w:r>
        <w:rPr>
          <w:b/>
          <w:bCs/>
          <w:lang w:val="en-US" w:eastAsia="zh-CN"/>
        </w:rPr>
        <mc:AlternateContent>
          <mc:Choice Requires="wps">
            <w:drawing>
              <wp:inline distT="0" distB="0" distL="0" distR="0">
                <wp:extent cx="6120765" cy="1120775"/>
                <wp:effectExtent l="0" t="0" r="13335" b="22225"/>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ln>
                      </wps:spPr>
                      <wps:txbx>
                        <w:txbxContent>
                          <w:p>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88.25pt;width:481.95pt;" fillcolor="#FFFFFF" filled="t" stroked="t" coordsize="21600,21600" o:gfxdata="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Xhj71gAAAAUBAAAPAAAAAAAAAAEAIAAA&#10;ACIAAABkcnMvZG93bnJldi54bWxQSwECFAAUAAAACACHTuJAPVB+vg4CAAAtBAAADgAAAAAAAAAB&#10;ACAAAAAlAQAAZHJzL2Uyb0RvYy54bWxQSwUGAAAAAAYABgBZAQAApQUAAAAA&#10;">
                <v:fill on="t" focussize="0,0"/>
                <v:stroke color="#000000" miterlimit="8" joinstyle="miter"/>
                <v:imagedata o:title=""/>
                <o:lock v:ext="edit" aspectratio="f"/>
                <v:textbox>
                  <w:txbxContent>
                    <w:p>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txbxContent>
                </v:textbox>
                <w10:wrap type="none"/>
                <w10:anchorlock/>
              </v:shape>
            </w:pict>
          </mc:Fallback>
        </mc:AlternateContent>
      </w:r>
    </w:p>
    <w:p>
      <w:pPr>
        <w:spacing w:after="0"/>
        <w:jc w:val="both"/>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pPr>
        <w:spacing w:after="0"/>
        <w:jc w:val="both"/>
        <w:rPr>
          <w:rFonts w:ascii="Arial" w:hAnsi="Arial"/>
          <w:b/>
          <w:b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 xml:space="preserve">P1: </w:t>
            </w:r>
            <w:r>
              <w:rPr>
                <w:rFonts w:hint="eastAsia" w:ascii="Arial" w:hAnsi="Arial" w:eastAsia="Yu Mincho"/>
                <w:sz w:val="22"/>
                <w:szCs w:val="22"/>
                <w:lang w:val="de-DE"/>
              </w:rPr>
              <w:t>N</w:t>
            </w:r>
            <w:r>
              <w:rPr>
                <w:rFonts w:ascii="Arial" w:hAnsi="Arial" w:eastAsia="Yu Mincho"/>
                <w:sz w:val="22"/>
                <w:szCs w:val="22"/>
                <w:lang w:val="de-DE"/>
              </w:rPr>
              <w:t>o</w:t>
            </w:r>
          </w:p>
          <w:p>
            <w:pPr>
              <w:spacing w:after="0"/>
              <w:jc w:val="both"/>
              <w:rPr>
                <w:rFonts w:ascii="Arial" w:hAnsi="Arial" w:eastAsia="Yu Mincho"/>
                <w:sz w:val="22"/>
                <w:szCs w:val="22"/>
                <w:lang w:val="de-DE"/>
              </w:rPr>
            </w:pPr>
            <w:r>
              <w:rPr>
                <w:rFonts w:hint="eastAsia" w:ascii="Arial" w:hAnsi="Arial" w:eastAsia="Yu Mincho"/>
                <w:sz w:val="22"/>
                <w:szCs w:val="22"/>
                <w:lang w:val="de-DE"/>
              </w:rPr>
              <w:t>P</w:t>
            </w:r>
            <w:r>
              <w:rPr>
                <w:rFonts w:ascii="Arial" w:hAnsi="Arial" w:eastAsia="Yu Mincho"/>
                <w:sz w:val="22"/>
                <w:szCs w:val="22"/>
                <w:lang w:val="de-DE"/>
              </w:rPr>
              <w:t>2: Yes</w:t>
            </w:r>
          </w:p>
        </w:tc>
        <w:tc>
          <w:tcPr>
            <w:tcW w:w="5807" w:type="dxa"/>
          </w:tcPr>
          <w:p>
            <w:pPr>
              <w:spacing w:after="0"/>
              <w:jc w:val="both"/>
              <w:rPr>
                <w:rFonts w:ascii="Arial" w:hAnsi="Arial" w:eastAsia="Yu Mincho"/>
                <w:sz w:val="22"/>
                <w:szCs w:val="22"/>
                <w:lang w:val="de-DE"/>
              </w:rPr>
            </w:pPr>
            <w:r>
              <w:rPr>
                <w:rFonts w:hint="eastAsia" w:ascii="Arial" w:hAnsi="Arial" w:eastAsia="Yu Mincho"/>
                <w:sz w:val="22"/>
                <w:szCs w:val="22"/>
                <w:lang w:val="de-DE"/>
              </w:rPr>
              <w:t>P</w:t>
            </w:r>
            <w:r>
              <w:rPr>
                <w:rFonts w:ascii="Arial" w:hAnsi="Arial" w:eastAsia="Yu Mincho"/>
                <w:sz w:val="22"/>
                <w:szCs w:val="22"/>
                <w:lang w:val="de-DE"/>
              </w:rPr>
              <w:t>1: If a band is not included in supportedBandCombinationList of RF-Parameters and is included in</w:t>
            </w:r>
            <w:r>
              <w:rPr>
                <w:rFonts w:eastAsia="Calibri"/>
                <w:sz w:val="22"/>
                <w:szCs w:val="22"/>
                <w:lang w:val="de-DE"/>
              </w:rPr>
              <w:t xml:space="preserve"> </w:t>
            </w:r>
            <w:r>
              <w:rPr>
                <w:rFonts w:ascii="Arial" w:hAnsi="Arial" w:eastAsia="Yu Mincho"/>
                <w:sz w:val="22"/>
                <w:szCs w:val="22"/>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P1: Yes, see comment.</w:t>
            </w:r>
          </w:p>
          <w:p>
            <w:pPr>
              <w:spacing w:after="0"/>
              <w:jc w:val="both"/>
              <w:rPr>
                <w:rFonts w:ascii="Arial" w:hAnsi="Arial" w:eastAsia="Calibri"/>
                <w:sz w:val="22"/>
                <w:szCs w:val="22"/>
                <w:lang w:val="de-DE"/>
              </w:rPr>
            </w:pPr>
            <w:r>
              <w:rPr>
                <w:rFonts w:ascii="Arial" w:hAnsi="Arial" w:eastAsia="Calibri"/>
                <w:sz w:val="22"/>
                <w:szCs w:val="22"/>
                <w:lang w:val="de-DE"/>
              </w:rPr>
              <w:t>P2: 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P1:</w:t>
            </w:r>
          </w:p>
          <w:p>
            <w:pPr>
              <w:spacing w:after="0"/>
              <w:jc w:val="both"/>
              <w:rPr>
                <w:rFonts w:ascii="Arial" w:hAnsi="Arial" w:eastAsia="Calibri"/>
                <w:sz w:val="22"/>
                <w:szCs w:val="22"/>
                <w:lang w:val="de-DE"/>
              </w:rPr>
            </w:pPr>
            <w:r>
              <w:rPr>
                <w:rFonts w:ascii="Arial" w:hAnsi="Arial" w:eastAsia="Calibri"/>
                <w:sz w:val="22"/>
                <w:szCs w:val="22"/>
                <w:lang w:val="de-DE"/>
              </w:rPr>
              <w:t>The UE shall accept the Release-message. The UE will not trigger some error.</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lang w:val="de-DE"/>
              </w:rPr>
              <w:t>Of course there is no guarantee to the network that, in this situation, the UE will end up on the indicated frequency, but again, the UE will accept the release-message.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P1:no</w:t>
            </w:r>
          </w:p>
          <w:p>
            <w:pPr>
              <w:spacing w:after="0"/>
              <w:jc w:val="both"/>
              <w:rPr>
                <w:rFonts w:ascii="Arial" w:hAnsi="Arial" w:eastAsia="Calibri"/>
                <w:sz w:val="22"/>
                <w:szCs w:val="22"/>
                <w:lang w:val="de-DE"/>
              </w:rPr>
            </w:pPr>
            <w:r>
              <w:rPr>
                <w:rFonts w:ascii="Arial" w:hAnsi="Arial" w:eastAsia="Calibri"/>
                <w:sz w:val="22"/>
                <w:szCs w:val="22"/>
                <w:lang w:val="de-DE"/>
              </w:rPr>
              <w:t>P2: Ok</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Same views as Qualcomm on the redirection for EN-DC only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MediaTek</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 xml:space="preserve">We are ok with with both proposal 1 and proposal 2 in R2-2010238. </w:t>
            </w:r>
          </w:p>
          <w:p>
            <w:pPr>
              <w:spacing w:after="0"/>
              <w:jc w:val="both"/>
              <w:rPr>
                <w:rFonts w:ascii="Arial" w:hAnsi="Arial" w:eastAsia="Calibri"/>
                <w:sz w:val="22"/>
                <w:szCs w:val="22"/>
                <w:lang w:val="de-DE"/>
              </w:rPr>
            </w:pPr>
            <w:r>
              <w:rPr>
                <w:rFonts w:ascii="Arial" w:hAnsi="Arial" w:eastAsia="Calibri"/>
                <w:sz w:val="22"/>
                <w:szCs w:val="22"/>
                <w:lang w:val="de-DE"/>
              </w:rPr>
              <w:t xml:space="preserve">The CR from [5] and [6] is also fine. However, we don’t really know while CR from [5] and [6] is linked to P1 and P2. It seems not directly 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only to Proposal 2</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As explained above, for redirection, network should use the supportedBandCombinationList and not supportedBandListNR. Hence we do not think Proposal 1 aligned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P1:Yes, but</w:t>
            </w:r>
          </w:p>
          <w:p>
            <w:pPr>
              <w:spacing w:after="0"/>
              <w:jc w:val="both"/>
              <w:rPr>
                <w:rFonts w:ascii="Arial" w:hAnsi="Arial" w:eastAsia="Calibri"/>
                <w:sz w:val="22"/>
                <w:szCs w:val="22"/>
                <w:lang w:val="de-DE"/>
              </w:rPr>
            </w:pPr>
            <w:r>
              <w:rPr>
                <w:rFonts w:ascii="Arial" w:hAnsi="Arial" w:eastAsia="Calibri"/>
                <w:sz w:val="22"/>
                <w:szCs w:val="22"/>
                <w:lang w:val="de-DE"/>
              </w:rPr>
              <w:t>P2:Yes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pPr>
              <w:spacing w:after="0"/>
              <w:jc w:val="both"/>
              <w:rPr>
                <w:rFonts w:ascii="Arial" w:hAnsi="Arial" w:eastAsia="Calibri"/>
                <w:sz w:val="22"/>
                <w:szCs w:val="22"/>
                <w:lang w:val="de-DE"/>
              </w:rPr>
            </w:pPr>
            <w:r>
              <w:rPr>
                <w:rFonts w:ascii="Arial" w:hAnsi="Arial" w:eastAsia="Calibri"/>
                <w:sz w:val="22"/>
                <w:szCs w:val="22"/>
                <w:lang w:val="de-DE"/>
              </w:rPr>
              <w:t>For P2: Yes</w:t>
            </w:r>
          </w:p>
          <w:p>
            <w:pPr>
              <w:spacing w:after="0"/>
              <w:jc w:val="both"/>
              <w:rPr>
                <w:rFonts w:ascii="Arial" w:hAnsi="Arial" w:eastAsia="Calibri"/>
                <w:sz w:val="22"/>
                <w:szCs w:val="22"/>
                <w:lang w:val="de-DE"/>
              </w:rPr>
            </w:pPr>
          </w:p>
          <w:p>
            <w:pPr>
              <w:spacing w:after="0"/>
              <w:jc w:val="both"/>
              <w:rPr>
                <w:rFonts w:ascii="Arial" w:hAnsi="Arial" w:eastAsia="Calibri"/>
                <w:sz w:val="22"/>
                <w:szCs w:val="22"/>
                <w:lang w:val="de-DE"/>
              </w:rPr>
            </w:pPr>
            <w:r>
              <w:rPr>
                <w:rFonts w:ascii="Arial" w:hAnsi="Arial" w:eastAsia="Calibri"/>
                <w:sz w:val="22"/>
                <w:szCs w:val="22"/>
                <w:highlight w:val="yellow"/>
                <w:lang w:val="de-DE"/>
              </w:rPr>
              <w:t xml:space="preserve">The CRs in </w:t>
            </w:r>
            <w:r>
              <w:rPr>
                <w:rFonts w:ascii="Arial" w:hAnsi="Arial" w:eastAsia="Calibri"/>
                <w:sz w:val="22"/>
                <w:szCs w:val="22"/>
                <w:highlight w:val="yellow"/>
                <w:lang w:val="de-DE"/>
              </w:rPr>
              <w:fldChar w:fldCharType="begin"/>
            </w:r>
            <w:r>
              <w:rPr>
                <w:rFonts w:ascii="Arial" w:hAnsi="Arial" w:eastAsia="Calibri"/>
                <w:sz w:val="22"/>
                <w:szCs w:val="22"/>
                <w:highlight w:val="yellow"/>
                <w:lang w:val="de-DE"/>
              </w:rPr>
              <w:instrText xml:space="preserve"> REF _Ref55229281 \r \h  \* MERGEFORMAT </w:instrText>
            </w:r>
            <w:r>
              <w:rPr>
                <w:rFonts w:ascii="Arial" w:hAnsi="Arial" w:eastAsia="Calibri"/>
                <w:sz w:val="22"/>
                <w:szCs w:val="22"/>
                <w:highlight w:val="yellow"/>
                <w:lang w:val="de-DE"/>
              </w:rPr>
              <w:fldChar w:fldCharType="separate"/>
            </w:r>
            <w:r>
              <w:rPr>
                <w:rFonts w:ascii="Arial" w:hAnsi="Arial" w:eastAsia="Calibri"/>
                <w:sz w:val="22"/>
                <w:szCs w:val="22"/>
                <w:highlight w:val="yellow"/>
                <w:lang w:val="de-DE"/>
              </w:rPr>
              <w:t>[5]</w:t>
            </w:r>
            <w:r>
              <w:rPr>
                <w:rFonts w:ascii="Arial" w:hAnsi="Arial" w:eastAsia="Calibri"/>
                <w:sz w:val="22"/>
                <w:szCs w:val="22"/>
                <w:highlight w:val="yellow"/>
                <w:lang w:val="de-DE"/>
              </w:rPr>
              <w:fldChar w:fldCharType="end"/>
            </w:r>
            <w:r>
              <w:rPr>
                <w:rFonts w:ascii="Arial" w:hAnsi="Arial" w:eastAsia="Calibri"/>
                <w:sz w:val="22"/>
                <w:szCs w:val="22"/>
                <w:highlight w:val="yellow"/>
                <w:lang w:val="de-DE"/>
              </w:rPr>
              <w:t xml:space="preserve"> and </w:t>
            </w:r>
            <w:r>
              <w:rPr>
                <w:rFonts w:ascii="Arial" w:hAnsi="Arial" w:eastAsia="Calibri"/>
                <w:sz w:val="22"/>
                <w:szCs w:val="22"/>
                <w:highlight w:val="yellow"/>
                <w:lang w:val="de-DE"/>
              </w:rPr>
              <w:fldChar w:fldCharType="begin"/>
            </w:r>
            <w:r>
              <w:rPr>
                <w:rFonts w:ascii="Arial" w:hAnsi="Arial" w:eastAsia="Calibri"/>
                <w:sz w:val="22"/>
                <w:szCs w:val="22"/>
                <w:highlight w:val="yellow"/>
                <w:lang w:val="de-DE"/>
              </w:rPr>
              <w:instrText xml:space="preserve"> REF _Ref55229282 \r \h  \* MERGEFORMAT </w:instrText>
            </w:r>
            <w:r>
              <w:rPr>
                <w:rFonts w:ascii="Arial" w:hAnsi="Arial" w:eastAsia="Calibri"/>
                <w:sz w:val="22"/>
                <w:szCs w:val="22"/>
                <w:highlight w:val="yellow"/>
                <w:lang w:val="de-DE"/>
              </w:rPr>
              <w:fldChar w:fldCharType="separate"/>
            </w:r>
            <w:r>
              <w:rPr>
                <w:rFonts w:ascii="Arial" w:hAnsi="Arial" w:eastAsia="Calibri"/>
                <w:sz w:val="22"/>
                <w:szCs w:val="22"/>
                <w:highlight w:val="yellow"/>
                <w:lang w:val="de-DE"/>
              </w:rPr>
              <w:t>[6]</w:t>
            </w:r>
            <w:r>
              <w:rPr>
                <w:rFonts w:ascii="Arial" w:hAnsi="Arial" w:eastAsia="Calibri"/>
                <w:sz w:val="22"/>
                <w:szCs w:val="22"/>
                <w:highlight w:val="yellow"/>
                <w:lang w:val="de-DE"/>
              </w:rPr>
              <w:fldChar w:fldCharType="end"/>
            </w:r>
            <w:r>
              <w:rPr>
                <w:rFonts w:ascii="Arial" w:hAnsi="Arial" w:eastAsia="Calibri"/>
                <w:sz w:val="22"/>
                <w:szCs w:val="22"/>
                <w:highlight w:val="yellow"/>
                <w:lang w:val="de-DE"/>
              </w:rPr>
              <w:t xml:space="preserve"> are not required as they are non-essential correction and not even related to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Huawei, HiSilicon (Proponent)</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P1: Yes</w:t>
            </w:r>
          </w:p>
          <w:p>
            <w:pPr>
              <w:spacing w:after="0"/>
              <w:jc w:val="both"/>
              <w:rPr>
                <w:rFonts w:ascii="Arial" w:hAnsi="Arial" w:eastAsia="Calibri"/>
                <w:sz w:val="22"/>
                <w:szCs w:val="22"/>
                <w:lang w:val="de-DE"/>
              </w:rPr>
            </w:pPr>
            <w:r>
              <w:rPr>
                <w:rFonts w:hint="eastAsia" w:ascii="Arial" w:hAnsi="Arial" w:eastAsia="Yu Mincho"/>
                <w:sz w:val="22"/>
                <w:szCs w:val="22"/>
                <w:lang w:val="de-DE"/>
              </w:rPr>
              <w:t>P</w:t>
            </w:r>
            <w:r>
              <w:rPr>
                <w:rFonts w:ascii="Arial" w:hAnsi="Arial" w:eastAsia="Yu Mincho"/>
                <w:sz w:val="22"/>
                <w:szCs w:val="22"/>
                <w:lang w:val="de-DE"/>
              </w:rPr>
              <w:t>2: Yes</w:t>
            </w:r>
          </w:p>
        </w:tc>
        <w:tc>
          <w:tcPr>
            <w:tcW w:w="580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For Proposal 1,</w:t>
            </w:r>
            <w:r>
              <w:rPr>
                <w:rFonts w:hint="eastAsia" w:ascii="Arial" w:hAnsi="Arial" w:eastAsiaTheme="minorEastAsia"/>
                <w:sz w:val="22"/>
                <w:szCs w:val="22"/>
                <w:lang w:val="de-DE" w:eastAsia="zh-CN"/>
              </w:rPr>
              <w:t xml:space="preserve"> </w:t>
            </w:r>
            <w:r>
              <w:rPr>
                <w:rFonts w:ascii="Arial" w:hAnsi="Arial" w:eastAsiaTheme="minorEastAsia"/>
                <w:sz w:val="22"/>
                <w:szCs w:val="22"/>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Yu Mincho"/>
                <w:sz w:val="22"/>
                <w:szCs w:val="22"/>
                <w:lang w:val="de-DE"/>
              </w:rPr>
            </w:pPr>
            <w:r>
              <w:rPr>
                <w:rFonts w:ascii="Arial" w:hAnsi="Arial" w:eastAsia="Yu Mincho"/>
                <w:sz w:val="22"/>
                <w:szCs w:val="22"/>
                <w:lang w:val="de-DE"/>
              </w:rPr>
              <w:t>P1: Yes</w:t>
            </w:r>
          </w:p>
          <w:p>
            <w:pPr>
              <w:spacing w:after="0"/>
              <w:jc w:val="both"/>
              <w:rPr>
                <w:rFonts w:hint="eastAsia" w:ascii="Arial" w:hAnsi="Arial" w:eastAsia="Yu Mincho"/>
                <w:sz w:val="22"/>
                <w:szCs w:val="22"/>
                <w:lang w:val="de-DE"/>
              </w:rPr>
            </w:pPr>
            <w:r>
              <w:rPr>
                <w:rFonts w:hint="eastAsia" w:ascii="Arial" w:hAnsi="Arial" w:eastAsia="Yu Mincho"/>
                <w:sz w:val="22"/>
                <w:szCs w:val="22"/>
                <w:lang w:val="de-DE"/>
              </w:rPr>
              <w:t>P</w:t>
            </w:r>
            <w:r>
              <w:rPr>
                <w:rFonts w:ascii="Arial" w:hAnsi="Arial" w:eastAsia="Yu Mincho"/>
                <w:sz w:val="22"/>
                <w:szCs w:val="22"/>
                <w:lang w:val="de-DE"/>
              </w:rPr>
              <w:t>2: Yes</w:t>
            </w:r>
          </w:p>
        </w:tc>
        <w:tc>
          <w:tcPr>
            <w:tcW w:w="5807" w:type="dxa"/>
          </w:tcPr>
          <w:p>
            <w:pPr>
              <w:spacing w:after="0"/>
              <w:jc w:val="both"/>
              <w:rPr>
                <w:rFonts w:hint="default" w:ascii="Arial" w:hAnsi="Arial" w:eastAsiaTheme="minorEastAsia"/>
                <w:sz w:val="22"/>
                <w:szCs w:val="22"/>
                <w:lang w:val="en-US" w:eastAsia="zh-CN"/>
              </w:rPr>
            </w:pPr>
            <w:r>
              <w:rPr>
                <w:rFonts w:hint="eastAsia" w:ascii="Arial" w:hAnsi="Arial" w:eastAsiaTheme="minorEastAsia"/>
                <w:sz w:val="22"/>
                <w:szCs w:val="22"/>
                <w:lang w:val="en-US" w:eastAsia="zh-CN"/>
              </w:rPr>
              <w:t>Share the same view as Huawei</w:t>
            </w:r>
          </w:p>
        </w:tc>
      </w:tr>
    </w:tbl>
    <w:p>
      <w:pPr>
        <w:spacing w:after="0"/>
        <w:jc w:val="both"/>
        <w:rPr>
          <w:rFonts w:ascii="Arial" w:hAnsi="Arial"/>
        </w:rPr>
      </w:pPr>
    </w:p>
    <w:p>
      <w:pPr>
        <w:pStyle w:val="4"/>
      </w:pPr>
      <w:r>
        <w:t>2.1.2</w:t>
      </w:r>
      <w:r>
        <w:tab/>
      </w:r>
      <w:r>
        <w:t>Feature sets and fallback concept</w:t>
      </w:r>
    </w:p>
    <w:p>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pPr>
        <w:spacing w:after="0"/>
        <w:jc w:val="both"/>
        <w:rPr>
          <w:rFonts w:ascii="Arial" w:hAnsi="Arial"/>
        </w:rPr>
      </w:pPr>
    </w:p>
    <w:p>
      <w:pPr>
        <w:spacing w:after="0"/>
        <w:jc w:val="both"/>
        <w:rPr>
          <w:rFonts w:ascii="Arial" w:hAnsi="Arial"/>
          <w:b/>
          <w:bCs/>
        </w:rPr>
      </w:pPr>
      <w:r>
        <w:rPr>
          <w:rFonts w:ascii="Arial" w:hAnsi="Arial"/>
          <w:b/>
          <w:bCs/>
        </w:rPr>
        <w:t>Q3 Do companies agree with the intention of the CRs above?</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6"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Yu Mincho"/>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Yu Mincho"/>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Ok</w:t>
            </w:r>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MediaTek</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6"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6" w:type="dxa"/>
          </w:tcPr>
          <w:p>
            <w:pPr>
              <w:spacing w:after="0"/>
              <w:jc w:val="both"/>
              <w:rPr>
                <w:rFonts w:ascii="Arial" w:hAnsi="Arial" w:eastAsia="Calibri"/>
                <w:sz w:val="22"/>
                <w:szCs w:val="22"/>
                <w:lang w:val="de-DE"/>
              </w:rPr>
            </w:pPr>
            <w:r>
              <w:rPr>
                <w:rFonts w:ascii="Arial" w:hAnsi="Arial" w:eastAsia="Calibri"/>
                <w:sz w:val="22"/>
                <w:szCs w:val="22"/>
                <w:lang w:val="de-DE"/>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Yes but</w:t>
            </w:r>
          </w:p>
        </w:tc>
        <w:tc>
          <w:tcPr>
            <w:tcW w:w="5806"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Agree with the intention. However, we think the field description in 38.331 can be kept as it is, since it is more related to the signalling structure, and remove the contradiction sentences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Theme="minorEastAsia"/>
                <w:sz w:val="22"/>
                <w:szCs w:val="22"/>
                <w:lang w:val="en-US" w:eastAsia="zh-CN"/>
              </w:rPr>
            </w:pPr>
            <w:r>
              <w:rPr>
                <w:rFonts w:hint="eastAsia" w:ascii="Arial" w:hAnsi="Arial" w:eastAsiaTheme="minorEastAsia"/>
                <w:sz w:val="22"/>
                <w:szCs w:val="22"/>
                <w:lang w:val="en-US" w:eastAsia="zh-CN"/>
              </w:rPr>
              <w:t>Yes</w:t>
            </w:r>
          </w:p>
        </w:tc>
        <w:tc>
          <w:tcPr>
            <w:tcW w:w="5806" w:type="dxa"/>
          </w:tcPr>
          <w:p>
            <w:pPr>
              <w:spacing w:after="0"/>
              <w:jc w:val="both"/>
              <w:rPr>
                <w:rFonts w:ascii="Arial" w:hAnsi="Arial" w:eastAsiaTheme="minorEastAsia"/>
                <w:sz w:val="22"/>
                <w:szCs w:val="22"/>
                <w:lang w:val="de-DE" w:eastAsia="zh-CN"/>
              </w:rPr>
            </w:pPr>
          </w:p>
        </w:tc>
      </w:tr>
    </w:tbl>
    <w:p>
      <w:pPr>
        <w:spacing w:after="0"/>
        <w:jc w:val="both"/>
        <w:rPr>
          <w:rFonts w:ascii="Arial" w:hAnsi="Arial"/>
        </w:rPr>
      </w:pPr>
    </w:p>
    <w:p>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pPr>
        <w:spacing w:after="0"/>
        <w:jc w:val="both"/>
        <w:rPr>
          <w:rFonts w:ascii="Arial" w:hAnsi="Arial"/>
          <w:b/>
          <w:bCs/>
        </w:rPr>
      </w:pPr>
      <w:r>
        <w:rPr>
          <w:rFonts w:ascii="Arial" w:hAnsi="Arial"/>
          <w:b/>
          <w:bCs/>
        </w:rPr>
        <w:t>Q4 Do companies agree with the intention of the CRs above?</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hint="eastAsia" w:ascii="Arial" w:hAnsi="Arial" w:eastAsia="Yu Mincho"/>
                <w:sz w:val="22"/>
                <w:szCs w:val="22"/>
                <w:lang w:val="de-DE"/>
              </w:rPr>
              <w:t>Q</w:t>
            </w:r>
            <w:r>
              <w:rPr>
                <w:rFonts w:ascii="Arial" w:hAnsi="Arial" w:eastAsia="Yu Mincho"/>
                <w:sz w:val="22"/>
                <w:szCs w:val="22"/>
                <w:lang w:val="de-DE"/>
              </w:rPr>
              <w:t>ualcomm Incorporated</w:t>
            </w:r>
          </w:p>
        </w:tc>
        <w:tc>
          <w:tcPr>
            <w:tcW w:w="1985" w:type="dxa"/>
          </w:tcPr>
          <w:p>
            <w:pPr>
              <w:spacing w:after="0"/>
              <w:jc w:val="both"/>
              <w:rPr>
                <w:rFonts w:ascii="Arial" w:hAnsi="Arial" w:eastAsia="Calibri"/>
                <w:sz w:val="22"/>
                <w:szCs w:val="22"/>
                <w:lang w:val="de-DE"/>
              </w:rPr>
            </w:pPr>
            <w:r>
              <w:rPr>
                <w:rFonts w:hint="eastAsia" w:ascii="Arial" w:hAnsi="Arial" w:eastAsia="Yu Mincho"/>
                <w:sz w:val="22"/>
                <w:szCs w:val="22"/>
                <w:lang w:val="de-DE"/>
              </w:rPr>
              <w:t>Y</w:t>
            </w:r>
            <w:r>
              <w:rPr>
                <w:rFonts w:ascii="Arial" w:hAnsi="Arial" w:eastAsia="Yu Mincho"/>
                <w:sz w:val="22"/>
                <w:szCs w:val="22"/>
                <w:lang w:val="de-DE"/>
              </w:rPr>
              <w:t>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 (Proponent)</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Apple</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While we agree with the MCS part, there are other parameters that were (getting) added through R16 and so generalization is dangerous. We prefer to add MCS explicitly if needed, as this was the agreement in Rel-15 for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MediaTek</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Intel</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Our understanding is that supportedModulationOrderDL in FSPC is used to calculate the max data rate.  However the network</w:t>
            </w:r>
            <w:r>
              <w:rPr>
                <w:rFonts w:eastAsia="Calibri"/>
                <w:sz w:val="22"/>
                <w:szCs w:val="22"/>
                <w:lang w:val="de-DE"/>
              </w:rPr>
              <w:t xml:space="preserve"> </w:t>
            </w:r>
            <w:r>
              <w:rPr>
                <w:rFonts w:ascii="Arial" w:hAnsi="Arial" w:eastAsia="Calibri"/>
                <w:sz w:val="22"/>
                <w:szCs w:val="22"/>
                <w:lang w:val="de-DE"/>
              </w:rPr>
              <w:t>can use modulation order higher than this based on pdsch-256QAM-FR1 or pdsch-256QAM-FR2. See below from TS38.306:</w:t>
            </w:r>
          </w:p>
          <w:p>
            <w:pPr>
              <w:spacing w:after="0"/>
              <w:jc w:val="both"/>
              <w:rPr>
                <w:rFonts w:ascii="Arial" w:hAnsi="Arial" w:eastAsia="Calibri"/>
                <w:sz w:val="22"/>
                <w:szCs w:val="22"/>
                <w:lang w:val="de-DE"/>
              </w:rPr>
            </w:pPr>
          </w:p>
          <w:p>
            <w:pPr>
              <w:pStyle w:val="78"/>
              <w:ind w:left="567"/>
              <w:rPr>
                <w:rFonts w:eastAsia="Calibri"/>
                <w:b/>
                <w:bCs/>
                <w:i/>
                <w:iCs/>
                <w:szCs w:val="18"/>
                <w:lang w:eastAsia="zh-CN"/>
              </w:rPr>
            </w:pPr>
            <w:r>
              <w:rPr>
                <w:rFonts w:eastAsia="Calibri"/>
                <w:b/>
                <w:bCs/>
                <w:i/>
                <w:iCs/>
                <w:szCs w:val="22"/>
              </w:rPr>
              <w:t>supportedModulationOrderDL</w:t>
            </w:r>
          </w:p>
          <w:p>
            <w:pPr>
              <w:pStyle w:val="78"/>
              <w:ind w:left="567"/>
              <w:rPr>
                <w:rFonts w:eastAsia="Calibri"/>
                <w:sz w:val="20"/>
                <w:szCs w:val="20"/>
              </w:rPr>
            </w:pPr>
            <w:r>
              <w:rPr>
                <w:rFonts w:eastAsia="Calibri"/>
                <w:szCs w:val="22"/>
              </w:rPr>
              <w:t xml:space="preserve">Indicates </w:t>
            </w:r>
            <w:r>
              <w:rPr>
                <w:rFonts w:eastAsia="Calibri"/>
                <w:szCs w:val="22"/>
                <w:highlight w:val="yellow"/>
              </w:rPr>
              <w:t>the maximum supported modulation order to be applied for downlink in the carrier in the max data rate calculation as defined in 4.1.2.</w:t>
            </w:r>
            <w:r>
              <w:rPr>
                <w:rFonts w:eastAsia="Calibri"/>
                <w:szCs w:val="22"/>
              </w:rPr>
              <w:t xml:space="preserve"> If included, the network may use a modulation order on this serving cell which is higher than the value indicated in this field as long as UE supports the modulation of higher value for downlink. If not included:</w:t>
            </w:r>
          </w:p>
          <w:p>
            <w:pPr>
              <w:pStyle w:val="78"/>
              <w:ind w:left="567"/>
              <w:rPr>
                <w:rFonts w:eastAsia="Calibri"/>
                <w:szCs w:val="22"/>
              </w:rPr>
            </w:pPr>
            <w:r>
              <w:rPr>
                <w:rFonts w:eastAsia="Calibri"/>
                <w:szCs w:val="22"/>
              </w:rPr>
              <w:t xml:space="preserve">-             for FR1, the network uses the modulation order signalled in </w:t>
            </w:r>
            <w:r>
              <w:rPr>
                <w:rFonts w:eastAsia="Calibri"/>
                <w:i/>
                <w:iCs/>
                <w:szCs w:val="22"/>
              </w:rPr>
              <w:t>pdsch-256QAM-FR1</w:t>
            </w:r>
            <w:r>
              <w:rPr>
                <w:rFonts w:eastAsia="Calibri"/>
                <w:szCs w:val="22"/>
              </w:rPr>
              <w:t>.</w:t>
            </w:r>
          </w:p>
          <w:p>
            <w:pPr>
              <w:pStyle w:val="78"/>
              <w:ind w:left="567"/>
              <w:rPr>
                <w:rFonts w:eastAsia="Calibri"/>
                <w:szCs w:val="22"/>
              </w:rPr>
            </w:pPr>
            <w:r>
              <w:rPr>
                <w:rFonts w:eastAsia="Calibri"/>
                <w:szCs w:val="22"/>
              </w:rPr>
              <w:t xml:space="preserve">-             for FR2, the network uses the modulation order signalled per band i.e. </w:t>
            </w:r>
            <w:r>
              <w:rPr>
                <w:rFonts w:eastAsia="Calibri"/>
                <w:i/>
                <w:iCs/>
                <w:szCs w:val="22"/>
              </w:rPr>
              <w:t>pdsch-256QAM-FR2</w:t>
            </w:r>
            <w:r>
              <w:rPr>
                <w:rFonts w:eastAsia="Calibri"/>
                <w:szCs w:val="22"/>
              </w:rPr>
              <w:t xml:space="preserve"> if signalled. If not signalled in a given band, the network shall use the modulation order 64QAM.</w:t>
            </w:r>
          </w:p>
          <w:p>
            <w:pPr>
              <w:spacing w:after="0"/>
              <w:ind w:left="567"/>
              <w:jc w:val="both"/>
              <w:rPr>
                <w:rFonts w:ascii="Arial" w:hAnsi="Arial" w:eastAsia="Calibri" w:cs="Arial"/>
                <w:sz w:val="18"/>
                <w:szCs w:val="18"/>
                <w:lang w:val="de-DE"/>
              </w:rPr>
            </w:pPr>
            <w:r>
              <w:rPr>
                <w:rFonts w:ascii="Arial" w:hAnsi="Arial" w:eastAsia="Calibri" w:cs="Arial"/>
                <w:sz w:val="18"/>
                <w:szCs w:val="18"/>
                <w:lang w:val="de-DE"/>
              </w:rPr>
              <w:t>In all the cases, it shall be ensured that the data rate does not exceed the max data rate (</w:t>
            </w:r>
            <w:r>
              <w:rPr>
                <w:rFonts w:ascii="Arial" w:hAnsi="Arial" w:eastAsia="Calibri" w:cs="Arial"/>
                <w:i/>
                <w:iCs/>
                <w:sz w:val="18"/>
                <w:szCs w:val="18"/>
                <w:lang w:val="de-DE"/>
              </w:rPr>
              <w:t>DataRate</w:t>
            </w:r>
            <w:r>
              <w:rPr>
                <w:rFonts w:ascii="Arial" w:hAnsi="Arial" w:eastAsia="Calibri" w:cs="Arial"/>
                <w:sz w:val="18"/>
                <w:szCs w:val="18"/>
                <w:lang w:val="de-DE"/>
              </w:rPr>
              <w:t>) and max data rate per CC (</w:t>
            </w:r>
            <w:r>
              <w:rPr>
                <w:rFonts w:ascii="Arial" w:hAnsi="Arial" w:eastAsia="Calibri" w:cs="Arial"/>
                <w:i/>
                <w:iCs/>
                <w:sz w:val="18"/>
                <w:szCs w:val="18"/>
                <w:lang w:val="de-DE"/>
              </w:rPr>
              <w:t>DataRateCC</w:t>
            </w:r>
            <w:r>
              <w:rPr>
                <w:rFonts w:ascii="Arial" w:hAnsi="Arial" w:eastAsia="Calibri" w:cs="Arial"/>
                <w:sz w:val="18"/>
                <w:szCs w:val="18"/>
                <w:lang w:val="de-DE"/>
              </w:rPr>
              <w:t>) according to TS 38.214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Yes</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 xml:space="preserve">Agree with Intel that </w:t>
            </w:r>
            <w:r>
              <w:rPr>
                <w:rFonts w:ascii="Arial" w:hAnsi="Arial" w:eastAsia="Calibri"/>
                <w:sz w:val="22"/>
                <w:szCs w:val="22"/>
                <w:lang w:val="de-DE"/>
              </w:rPr>
              <w:t>supportedModulationOrderDL in FSPC is used to calculate the max data rate, rather than the real uased modulation order for scheduling, so the correction for Rel-15 is not necessary.</w:t>
            </w:r>
          </w:p>
          <w:p>
            <w:pPr>
              <w:spacing w:after="0"/>
              <w:jc w:val="both"/>
              <w:rPr>
                <w:rFonts w:hint="eastAsia" w:ascii="Arial" w:hAnsi="Arial" w:eastAsiaTheme="minorEastAsia"/>
                <w:sz w:val="22"/>
                <w:szCs w:val="22"/>
                <w:lang w:val="de-DE" w:eastAsia="zh-CN"/>
              </w:rPr>
            </w:pPr>
            <w:r>
              <w:rPr>
                <w:rFonts w:ascii="Arial" w:hAnsi="Arial" w:eastAsia="Calibri"/>
                <w:sz w:val="22"/>
                <w:szCs w:val="22"/>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eastAsia="Calibri"/>
                <w:i/>
                <w:sz w:val="22"/>
                <w:szCs w:val="22"/>
                <w:lang w:val="de-DE"/>
              </w:rPr>
              <w:t>supportFDM-SchemeB-r16 ENUMERATED {supported}</w:t>
            </w:r>
            <w:r>
              <w:rPr>
                <w:rFonts w:ascii="Arial" w:hAnsi="Arial" w:eastAsia="Calibri"/>
                <w:sz w:val="22"/>
                <w:szCs w:val="22"/>
                <w:lang w:val="de-DE"/>
              </w:rPr>
              <w:t>, how to understand the fallback capabiltiy for such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We think the current wording is too general, if needed for the Rel16, the parameters can be explicitly indicated as other companies suggested.</w:t>
            </w:r>
          </w:p>
        </w:tc>
      </w:tr>
    </w:tbl>
    <w:p>
      <w:pPr>
        <w:spacing w:after="0"/>
        <w:jc w:val="both"/>
        <w:rPr>
          <w:rFonts w:ascii="Arial" w:hAnsi="Arial"/>
        </w:rPr>
      </w:pPr>
    </w:p>
    <w:p>
      <w:pPr>
        <w:pStyle w:val="4"/>
      </w:pPr>
      <w:r>
        <w:t>2.1.3</w:t>
      </w:r>
      <w:r>
        <w:tab/>
      </w:r>
      <w:r>
        <w:t>Inter-node coordination</w:t>
      </w:r>
    </w:p>
    <w:p>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pPr>
        <w:spacing w:after="0"/>
        <w:jc w:val="both"/>
        <w:rPr>
          <w:rFonts w:ascii="Arial" w:hAnsi="Arial"/>
        </w:rPr>
      </w:pPr>
      <w:r>
        <w:rPr>
          <w:b/>
          <w:bCs/>
          <w:lang w:val="en-US" w:eastAsia="zh-CN"/>
        </w:rPr>
        <mc:AlternateContent>
          <mc:Choice Requires="wps">
            <w:drawing>
              <wp:inline distT="0" distB="0" distL="0" distR="0">
                <wp:extent cx="6120765" cy="635635"/>
                <wp:effectExtent l="0" t="0" r="13335" b="12065"/>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50.05pt;width:481.95pt;" fillcolor="#FFFFFF" filled="t" stroked="t" coordsize="21600,21600" o:gfxdata="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pItP/VAAAABQEAAA8AAAAAAAAAAQAgAAAA&#10;IgAAAGRycy9kb3ducmV2LnhtbFBLAQIUABQAAAAIAIdO4kBUo6+rDgIAACwEAAAOAAAAAAAAAAEA&#10;IAAAACQBAABkcnMvZTJvRG9jLnhtbFBLBQYAAAAABgAGAFkBAACkBQAAAAA=&#10;">
                <v:fill on="t" focussize="0,0"/>
                <v:stroke color="#000000" miterlimit="8" joinstyle="miter"/>
                <v:imagedata o:title=""/>
                <o:lock v:ext="edit" aspectratio="f"/>
                <v:textbox>
                  <w:txbxContent>
                    <w:p>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wrap type="none"/>
                <w10:anchorlock/>
              </v:shape>
            </w:pict>
          </mc:Fallback>
        </mc:AlternateContent>
      </w:r>
    </w:p>
    <w:p>
      <w:pPr>
        <w:spacing w:after="0"/>
        <w:jc w:val="both"/>
        <w:rPr>
          <w:rFonts w:ascii="Arial" w:hAnsi="Arial"/>
          <w:b/>
          <w:bCs/>
        </w:rPr>
      </w:pPr>
      <w:r>
        <w:rPr>
          <w:rFonts w:ascii="Arial" w:hAnsi="Arial"/>
          <w:b/>
          <w:bCs/>
        </w:rPr>
        <w:t>Q5 Do companies agree with the Proposal above?</w:t>
      </w:r>
    </w:p>
    <w:p>
      <w:pPr>
        <w:spacing w:after="0"/>
        <w:jc w:val="both"/>
        <w:rPr>
          <w:rFonts w:ascii="Arial" w:hAnsi="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Company</w:t>
            </w:r>
          </w:p>
        </w:tc>
        <w:tc>
          <w:tcPr>
            <w:tcW w:w="1985" w:type="dxa"/>
          </w:tcPr>
          <w:p>
            <w:pPr>
              <w:spacing w:after="0"/>
              <w:jc w:val="both"/>
              <w:rPr>
                <w:rFonts w:ascii="Arial" w:hAnsi="Arial" w:eastAsia="Calibri"/>
                <w:b/>
                <w:bCs/>
                <w:sz w:val="22"/>
                <w:szCs w:val="22"/>
                <w:lang w:val="de-DE"/>
              </w:rPr>
            </w:pPr>
            <w:r>
              <w:rPr>
                <w:rFonts w:ascii="Arial" w:hAnsi="Arial" w:eastAsia="Calibri"/>
                <w:b/>
                <w:bCs/>
                <w:sz w:val="22"/>
                <w:szCs w:val="22"/>
                <w:lang w:val="de-DE"/>
              </w:rPr>
              <w:t>Yes/No</w:t>
            </w:r>
          </w:p>
        </w:tc>
        <w:tc>
          <w:tcPr>
            <w:tcW w:w="5807" w:type="dxa"/>
          </w:tcPr>
          <w:p>
            <w:pPr>
              <w:spacing w:after="0"/>
              <w:jc w:val="both"/>
              <w:rPr>
                <w:rFonts w:ascii="Arial" w:hAnsi="Arial" w:eastAsia="Calibri"/>
                <w:b/>
                <w:bCs/>
                <w:sz w:val="22"/>
                <w:szCs w:val="22"/>
                <w:lang w:val="de-DE"/>
              </w:rPr>
            </w:pPr>
            <w:r>
              <w:rPr>
                <w:rFonts w:ascii="Arial" w:hAnsi="Arial"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Ericsson</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Nokia</w:t>
            </w:r>
          </w:p>
        </w:tc>
        <w:tc>
          <w:tcPr>
            <w:tcW w:w="1985" w:type="dxa"/>
          </w:tcPr>
          <w:p>
            <w:pPr>
              <w:spacing w:after="0"/>
              <w:jc w:val="both"/>
              <w:rPr>
                <w:rFonts w:ascii="Arial" w:hAnsi="Arial" w:eastAsia="Calibri"/>
                <w:sz w:val="22"/>
                <w:szCs w:val="22"/>
                <w:lang w:val="de-DE"/>
              </w:rPr>
            </w:pPr>
            <w:r>
              <w:rPr>
                <w:rFonts w:ascii="Arial" w:hAnsi="Arial" w:eastAsia="Calibri"/>
                <w:sz w:val="22"/>
                <w:szCs w:val="22"/>
                <w:lang w:val="de-DE"/>
              </w:rPr>
              <w:t>No</w:t>
            </w:r>
          </w:p>
        </w:tc>
        <w:tc>
          <w:tcPr>
            <w:tcW w:w="5807" w:type="dxa"/>
          </w:tcPr>
          <w:p>
            <w:pPr>
              <w:spacing w:after="0"/>
              <w:jc w:val="both"/>
              <w:rPr>
                <w:rFonts w:ascii="Arial" w:hAnsi="Arial" w:eastAsia="Calibri"/>
                <w:sz w:val="22"/>
                <w:szCs w:val="22"/>
                <w:lang w:val="de-DE"/>
              </w:rPr>
            </w:pPr>
            <w:r>
              <w:rPr>
                <w:rFonts w:ascii="Arial" w:hAnsi="Arial" w:eastAsia="Calibri"/>
                <w:sz w:val="22"/>
                <w:szCs w:val="22"/>
                <w:lang w:val="de-DE"/>
              </w:rPr>
              <w:t>Yes,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r>
              <w:rPr>
                <w:rFonts w:ascii="Arial" w:hAnsi="Arial" w:eastAsia="Calibri"/>
                <w:sz w:val="22"/>
                <w:szCs w:val="22"/>
                <w:lang w:val="de-DE"/>
              </w:rPr>
              <w:t>Huawei, HiSilicon</w:t>
            </w:r>
          </w:p>
        </w:tc>
        <w:tc>
          <w:tcPr>
            <w:tcW w:w="1985" w:type="dxa"/>
          </w:tcPr>
          <w:p>
            <w:pPr>
              <w:spacing w:after="0"/>
              <w:jc w:val="both"/>
              <w:rPr>
                <w:rFonts w:ascii="Arial" w:hAnsi="Arial" w:eastAsia="Calibri"/>
                <w:sz w:val="22"/>
                <w:szCs w:val="22"/>
                <w:lang w:val="de-DE"/>
              </w:rPr>
            </w:pPr>
            <w:r>
              <w:rPr>
                <w:rFonts w:hint="eastAsia" w:ascii="Arial" w:hAnsi="Arial" w:eastAsiaTheme="minorEastAsia"/>
                <w:sz w:val="22"/>
                <w:szCs w:val="22"/>
                <w:lang w:val="de-DE" w:eastAsia="zh-CN"/>
              </w:rPr>
              <w:t>N</w:t>
            </w:r>
            <w:r>
              <w:rPr>
                <w:rFonts w:ascii="Arial" w:hAnsi="Arial" w:eastAsiaTheme="minorEastAsia"/>
                <w:sz w:val="22"/>
                <w:szCs w:val="22"/>
                <w:lang w:val="de-DE" w:eastAsia="zh-CN"/>
              </w:rPr>
              <w:t>o</w:t>
            </w:r>
          </w:p>
        </w:tc>
        <w:tc>
          <w:tcPr>
            <w:tcW w:w="5807" w:type="dxa"/>
          </w:tcPr>
          <w:p>
            <w:pPr>
              <w:spacing w:after="0"/>
              <w:jc w:val="both"/>
              <w:rPr>
                <w:rFonts w:ascii="Arial" w:hAnsi="Arial" w:eastAsia="Calibri"/>
                <w:sz w:val="22"/>
                <w:szCs w:val="22"/>
                <w:lang w:val="de-DE"/>
              </w:rPr>
            </w:pPr>
            <w:r>
              <w:rPr>
                <w:rFonts w:ascii="Arial" w:hAnsi="Arial" w:eastAsiaTheme="minorEastAsia"/>
                <w:sz w:val="22"/>
                <w:szCs w:val="22"/>
                <w:lang w:val="de-DE" w:eastAsia="zh-CN"/>
              </w:rPr>
              <w:t xml:space="preserve">The index in </w:t>
            </w:r>
            <w:r>
              <w:rPr>
                <w:rFonts w:ascii="Arial" w:hAnsi="Arial" w:eastAsiaTheme="minorEastAsia"/>
                <w:i/>
                <w:sz w:val="22"/>
                <w:szCs w:val="22"/>
                <w:lang w:val="de-DE" w:eastAsia="zh-CN"/>
              </w:rPr>
              <w:t>allowedFeatureSetsList</w:t>
            </w:r>
            <w:r>
              <w:rPr>
                <w:rFonts w:ascii="Arial" w:hAnsi="Arial" w:eastAsiaTheme="minorEastAsia"/>
                <w:sz w:val="22"/>
                <w:szCs w:val="22"/>
                <w:lang w:val="de-DE" w:eastAsia="zh-CN"/>
              </w:rPr>
              <w:t xml:space="preserve"> identifies a position in the </w:t>
            </w:r>
            <w:r>
              <w:rPr>
                <w:rFonts w:ascii="Arial" w:hAnsi="Arial" w:eastAsiaTheme="minorEastAsia"/>
                <w:i/>
                <w:sz w:val="22"/>
                <w:szCs w:val="22"/>
                <w:lang w:val="de-DE" w:eastAsia="zh-CN"/>
              </w:rPr>
              <w:t>FeatureSetCombination</w:t>
            </w:r>
            <w:r>
              <w:rPr>
                <w:rFonts w:ascii="Arial" w:hAnsi="Arial" w:eastAsiaTheme="minorEastAsia"/>
                <w:sz w:val="22"/>
                <w:szCs w:val="22"/>
                <w:lang w:val="de-DE" w:eastAsia="zh-CN"/>
              </w:rPr>
              <w:t>, if the MN wants to indicate a fallback BC by signalling 0 for some bands, it requires the UE reports such FeatureSetCombination so the MN can ref</w:t>
            </w:r>
            <w:r>
              <w:rPr>
                <w:rFonts w:ascii="Arial" w:hAnsi="Arial" w:eastAsiaTheme="minorEastAsia"/>
                <w:sz w:val="22"/>
                <w:szCs w:val="22"/>
                <w:lang w:val="de-DE" w:eastAsia="zh-CN"/>
              </w:rPr>
              <w:t>er to it. But the UE dose not report the fallback BC with same capability, so the MN may not be able to find the corres</w:t>
            </w:r>
            <w:r>
              <w:rPr>
                <w:rFonts w:ascii="Arial" w:hAnsi="Arial" w:eastAsiaTheme="minorEastAsia"/>
                <w:sz w:val="22"/>
                <w:szCs w:val="22"/>
                <w:lang w:val="de-DE" w:eastAsia="zh-CN"/>
              </w:rPr>
              <w:t xml:space="preserve">ponding index in </w:t>
            </w:r>
            <w:r>
              <w:rPr>
                <w:rFonts w:ascii="Arial" w:hAnsi="Arial" w:eastAsiaTheme="minorEastAsia"/>
                <w:i/>
                <w:sz w:val="22"/>
                <w:szCs w:val="22"/>
                <w:lang w:val="de-DE" w:eastAsia="zh-CN"/>
              </w:rPr>
              <w:t>FeatureSetCombination</w:t>
            </w:r>
            <w:r>
              <w:rPr>
                <w:rFonts w:ascii="Arial" w:hAnsi="Arial" w:eastAsiaTheme="minorEastAsia"/>
                <w:sz w:val="22"/>
                <w:szCs w:val="22"/>
                <w:lang w:val="de-DE" w:eastAsia="zh-CN"/>
              </w:rPr>
              <w:t xml:space="preserve"> to indicate a fallback BC. In addition, in EN-DC, the MN is invisible to the NR capability, the MN cannot restrict the NR capability (e.g. BW, MIMO) by signalling a specific FeatureSetDownlink/FeatureSetUplink.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837" w:type="dxa"/>
          </w:tcPr>
          <w:p>
            <w:pPr>
              <w:spacing w:after="0"/>
              <w:jc w:val="both"/>
              <w:rPr>
                <w:rFonts w:hint="default" w:ascii="Arial" w:hAnsi="Arial" w:eastAsia="宋体"/>
                <w:sz w:val="22"/>
                <w:szCs w:val="22"/>
                <w:lang w:val="en-US" w:eastAsia="zh-CN"/>
              </w:rPr>
            </w:pPr>
            <w:r>
              <w:rPr>
                <w:rFonts w:hint="eastAsia" w:ascii="Arial" w:hAnsi="Arial"/>
                <w:sz w:val="22"/>
                <w:szCs w:val="22"/>
                <w:lang w:val="en-US" w:eastAsia="zh-CN"/>
              </w:rPr>
              <w:t>ZTE</w:t>
            </w:r>
          </w:p>
        </w:tc>
        <w:tc>
          <w:tcPr>
            <w:tcW w:w="1985" w:type="dxa"/>
          </w:tcPr>
          <w:p>
            <w:pPr>
              <w:spacing w:after="0"/>
              <w:jc w:val="both"/>
              <w:rPr>
                <w:rFonts w:hint="default" w:ascii="Arial" w:hAnsi="Arial" w:eastAsia="宋体"/>
                <w:sz w:val="22"/>
                <w:szCs w:val="22"/>
                <w:lang w:val="en-US" w:eastAsia="zh-CN"/>
              </w:rPr>
            </w:pPr>
          </w:p>
        </w:tc>
        <w:tc>
          <w:tcPr>
            <w:tcW w:w="5807" w:type="dxa"/>
          </w:tcPr>
          <w:p>
            <w:pPr>
              <w:spacing w:after="0"/>
              <w:ind w:left="220" w:hanging="220" w:hangingChars="100"/>
              <w:jc w:val="both"/>
              <w:rPr>
                <w:rFonts w:hint="default" w:ascii="Arial" w:hAnsi="Arial" w:eastAsia="宋体"/>
                <w:sz w:val="22"/>
                <w:szCs w:val="22"/>
                <w:lang w:val="en-US" w:eastAsia="zh-CN"/>
              </w:rPr>
            </w:pPr>
            <w:r>
              <w:rPr>
                <w:rFonts w:hint="eastAsia" w:ascii="Arial" w:hAnsi="Arial"/>
                <w:sz w:val="22"/>
                <w:szCs w:val="22"/>
                <w:lang w:val="en-US" w:eastAsia="zh-CN"/>
              </w:rPr>
              <w:t xml:space="preserve">We share the same view as Ericsson, but we are not sure whether the [13] wants to express the same thing as Ericsson described. </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Pr>
          <w:p>
            <w:pPr>
              <w:spacing w:after="0"/>
              <w:jc w:val="both"/>
              <w:rPr>
                <w:rFonts w:ascii="Arial" w:hAnsi="Arial" w:eastAsia="Calibri"/>
                <w:sz w:val="22"/>
                <w:szCs w:val="22"/>
                <w:lang w:val="de-DE"/>
              </w:rPr>
            </w:pPr>
          </w:p>
        </w:tc>
        <w:tc>
          <w:tcPr>
            <w:tcW w:w="1985" w:type="dxa"/>
          </w:tcPr>
          <w:p>
            <w:pPr>
              <w:spacing w:after="0"/>
              <w:jc w:val="both"/>
              <w:rPr>
                <w:rFonts w:ascii="Arial" w:hAnsi="Arial" w:eastAsia="Calibri"/>
                <w:sz w:val="22"/>
                <w:szCs w:val="22"/>
                <w:lang w:val="de-DE"/>
              </w:rPr>
            </w:pPr>
          </w:p>
        </w:tc>
        <w:tc>
          <w:tcPr>
            <w:tcW w:w="5807" w:type="dxa"/>
          </w:tcPr>
          <w:p>
            <w:pPr>
              <w:spacing w:after="0"/>
              <w:jc w:val="both"/>
              <w:rPr>
                <w:rFonts w:ascii="Arial" w:hAnsi="Arial" w:eastAsia="Calibri"/>
                <w:sz w:val="22"/>
                <w:szCs w:val="22"/>
                <w:lang w:val="de-DE"/>
              </w:rPr>
            </w:pPr>
          </w:p>
        </w:tc>
      </w:tr>
    </w:tbl>
    <w:p>
      <w:pPr>
        <w:spacing w:after="0"/>
        <w:jc w:val="both"/>
        <w:rPr>
          <w:rFonts w:ascii="Arial" w:hAnsi="Arial"/>
        </w:rPr>
      </w:pPr>
    </w:p>
    <w:p>
      <w:pPr>
        <w:pStyle w:val="3"/>
      </w:pPr>
      <w:r>
        <w:t>2.2</w:t>
      </w:r>
      <w:r>
        <w:tab/>
      </w:r>
      <w:r>
        <w:t>Part 2: Intended to progress discussion on agreeable parts</w:t>
      </w:r>
    </w:p>
    <w:p>
      <w:pPr>
        <w:spacing w:after="0"/>
        <w:jc w:val="both"/>
        <w:rPr>
          <w:rFonts w:ascii="Arial" w:hAnsi="Arial"/>
        </w:rPr>
      </w:pPr>
      <w:r>
        <w:rPr>
          <w:rFonts w:ascii="Arial" w:hAnsi="Arial"/>
        </w:rPr>
        <w:t xml:space="preserve">- To be updated after discussion on part 1 - </w:t>
      </w:r>
    </w:p>
    <w:bookmarkEnd w:id="0"/>
    <w:p>
      <w:pPr>
        <w:pStyle w:val="2"/>
      </w:pPr>
      <w:r>
        <w:t>3</w:t>
      </w:r>
      <w:r>
        <w:tab/>
      </w:r>
      <w:r>
        <w:t>Conclusion</w:t>
      </w:r>
    </w:p>
    <w:p>
      <w:pPr>
        <w:pStyle w:val="15"/>
        <w:rPr>
          <w:lang w:val="en-US"/>
        </w:rPr>
      </w:pPr>
    </w:p>
    <w:p>
      <w:pPr>
        <w:spacing w:after="0"/>
        <w:jc w:val="both"/>
        <w:rPr>
          <w:rFonts w:ascii="Arial" w:hAnsi="Arial"/>
        </w:rPr>
      </w:pPr>
      <w:r>
        <w:rPr>
          <w:rFonts w:ascii="Arial" w:hAnsi="Arial"/>
        </w:rPr>
        <w:t xml:space="preserve">- To be updated after discussion on part 1 - </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4"/>
        </w:numPr>
        <w:rPr>
          <w:rFonts w:cs="Arial"/>
          <w:szCs w:val="20"/>
        </w:rPr>
      </w:pPr>
      <w:bookmarkStart w:id="1" w:name="_Ref55227454"/>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58"/>
          <w:rFonts w:cs="Arial"/>
          <w:szCs w:val="20"/>
        </w:rPr>
        <w:t>R2-2009630</w:t>
      </w:r>
      <w:r>
        <w:rPr>
          <w:rStyle w:val="58"/>
          <w:rFonts w:cs="Arial"/>
          <w:szCs w:val="20"/>
        </w:rPr>
        <w:fldChar w:fldCharType="end"/>
      </w:r>
      <w:r>
        <w:rPr>
          <w:rFonts w:cs="Arial"/>
          <w:szCs w:val="20"/>
        </w:rPr>
        <w:tab/>
      </w:r>
      <w:r>
        <w:rPr>
          <w:rFonts w:cs="Arial"/>
          <w:szCs w:val="20"/>
        </w:rPr>
        <w:t>Further Consideration on the non-CA BC Capability Reporting,</w:t>
      </w:r>
      <w:r>
        <w:rPr>
          <w:rFonts w:cs="Arial"/>
          <w:szCs w:val="20"/>
        </w:rPr>
        <w:tab/>
      </w:r>
      <w:r>
        <w:rPr>
          <w:rFonts w:cs="Arial"/>
          <w:szCs w:val="20"/>
        </w:rPr>
        <w:t>ZTE Corporation, Sanechips, RAN2 #112-e, 2-13 November 2020</w:t>
      </w:r>
    </w:p>
    <w:p>
      <w:pPr>
        <w:pStyle w:val="163"/>
        <w:numPr>
          <w:ilvl w:val="0"/>
          <w:numId w:val="14"/>
        </w:numPr>
        <w:rPr>
          <w:rFonts w:cs="Arial"/>
          <w:szCs w:val="20"/>
        </w:rPr>
      </w:pPr>
      <w:bookmarkStart w:id="2" w:name="_Ref55229245"/>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58"/>
          <w:rFonts w:cs="Arial"/>
          <w:szCs w:val="20"/>
        </w:rPr>
        <w:t>R2-2010567</w:t>
      </w:r>
      <w:r>
        <w:rPr>
          <w:rStyle w:val="58"/>
          <w:rFonts w:cs="Arial"/>
          <w:szCs w:val="20"/>
        </w:rPr>
        <w:fldChar w:fldCharType="end"/>
      </w:r>
      <w:r>
        <w:rPr>
          <w:rFonts w:cs="Arial"/>
          <w:szCs w:val="20"/>
        </w:rPr>
        <w:tab/>
      </w:r>
      <w:r>
        <w:rPr>
          <w:rFonts w:cs="Arial"/>
          <w:szCs w:val="20"/>
        </w:rPr>
        <w:t>CR on the non-CA BC Capability Reporting,</w:t>
      </w:r>
      <w:r>
        <w:rPr>
          <w:rFonts w:cs="Arial"/>
          <w:szCs w:val="20"/>
        </w:rPr>
        <w:tab/>
      </w:r>
      <w:r>
        <w:rPr>
          <w:rFonts w:cs="Arial"/>
          <w:szCs w:val="20"/>
        </w:rPr>
        <w:t>ZTE Corporation, Sanechips, RAN2 #112-e, 2-13 November 2020</w:t>
      </w:r>
      <w:bookmarkEnd w:id="2"/>
    </w:p>
    <w:p>
      <w:pPr>
        <w:pStyle w:val="163"/>
        <w:numPr>
          <w:ilvl w:val="0"/>
          <w:numId w:val="14"/>
        </w:numPr>
        <w:rPr>
          <w:rFonts w:cs="Arial"/>
          <w:szCs w:val="20"/>
        </w:rPr>
      </w:pPr>
      <w:bookmarkStart w:id="3" w:name="_Ref55229247"/>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58"/>
          <w:rFonts w:cs="Arial"/>
          <w:szCs w:val="20"/>
        </w:rPr>
        <w:t>R2-2010568</w:t>
      </w:r>
      <w:r>
        <w:rPr>
          <w:rStyle w:val="58"/>
          <w:rFonts w:cs="Arial"/>
          <w:szCs w:val="20"/>
        </w:rPr>
        <w:fldChar w:fldCharType="end"/>
      </w:r>
      <w:r>
        <w:rPr>
          <w:rFonts w:cs="Arial"/>
          <w:szCs w:val="20"/>
        </w:rPr>
        <w:tab/>
      </w:r>
      <w:r>
        <w:rPr>
          <w:rFonts w:cs="Arial"/>
          <w:szCs w:val="20"/>
        </w:rPr>
        <w:t>CR on the non-CA BC Capability Reporting,</w:t>
      </w:r>
      <w:r>
        <w:rPr>
          <w:rFonts w:cs="Arial"/>
          <w:szCs w:val="20"/>
        </w:rPr>
        <w:tab/>
      </w:r>
      <w:r>
        <w:rPr>
          <w:rFonts w:cs="Arial"/>
          <w:szCs w:val="20"/>
        </w:rPr>
        <w:t>ZTE Corporation, Sanechips, RAN2 #112-e, 2-13 November 2020</w:t>
      </w:r>
      <w:bookmarkEnd w:id="3"/>
    </w:p>
    <w:p>
      <w:pPr>
        <w:pStyle w:val="133"/>
        <w:numPr>
          <w:ilvl w:val="0"/>
          <w:numId w:val="14"/>
        </w:numPr>
        <w:rPr>
          <w:rFonts w:ascii="Arial" w:hAnsi="Arial" w:eastAsia="MS Mincho" w:cs="Arial"/>
          <w:sz w:val="20"/>
          <w:szCs w:val="20"/>
          <w:lang w:val="en-GB" w:eastAsia="en-GB"/>
        </w:rPr>
      </w:pPr>
      <w:bookmarkStart w:id="4" w:name="_Ref55227988"/>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58"/>
          <w:rFonts w:ascii="Arial" w:hAnsi="Arial" w:cs="Arial"/>
          <w:sz w:val="20"/>
          <w:szCs w:val="20"/>
        </w:rPr>
        <w:t>R2-2010238</w:t>
      </w:r>
      <w:r>
        <w:rPr>
          <w:rStyle w:val="58"/>
          <w:rFonts w:ascii="Arial" w:hAnsi="Arial" w:cs="Arial"/>
          <w:sz w:val="20"/>
          <w:szCs w:val="20"/>
        </w:rPr>
        <w:fldChar w:fldCharType="end"/>
      </w:r>
      <w:r>
        <w:rPr>
          <w:rFonts w:ascii="Arial" w:hAnsi="Arial" w:cs="Arial"/>
          <w:sz w:val="20"/>
          <w:szCs w:val="20"/>
        </w:rPr>
        <w:tab/>
      </w:r>
      <w:r>
        <w:rPr>
          <w:rFonts w:ascii="Arial" w:hAnsi="Arial" w:cs="Arial"/>
          <w:sz w:val="20"/>
          <w:szCs w:val="20"/>
        </w:rPr>
        <w:t>Discussion on band for redirection and measurement configuration</w:t>
      </w:r>
      <w:r>
        <w:rPr>
          <w:rFonts w:ascii="Arial" w:hAnsi="Arial" w:cs="Arial"/>
          <w:sz w:val="20"/>
          <w:szCs w:val="20"/>
        </w:rPr>
        <w:tab/>
      </w:r>
      <w:r>
        <w:rPr>
          <w:rFonts w:ascii="Arial" w:hAnsi="Arial" w:cs="Arial"/>
          <w:sz w:val="20"/>
          <w:szCs w:val="20"/>
        </w:rPr>
        <w:t>Huawei, HiSilicon, Ericsson</w:t>
      </w:r>
      <w:r>
        <w:rPr>
          <w:rFonts w:ascii="Arial" w:hAnsi="Arial" w:eastAsia="MS Mincho" w:cs="Arial"/>
          <w:sz w:val="20"/>
          <w:szCs w:val="20"/>
          <w:lang w:val="en-GB" w:eastAsia="en-GB"/>
        </w:rPr>
        <w:t>, RAN2 #112-e, 2-13 November 2020</w:t>
      </w:r>
      <w:bookmarkEnd w:id="1"/>
      <w:bookmarkEnd w:id="4"/>
    </w:p>
    <w:p>
      <w:pPr>
        <w:pStyle w:val="133"/>
        <w:numPr>
          <w:ilvl w:val="0"/>
          <w:numId w:val="14"/>
        </w:numPr>
        <w:rPr>
          <w:rFonts w:ascii="Arial" w:hAnsi="Arial" w:eastAsia="MS Mincho" w:cs="Arial"/>
          <w:sz w:val="20"/>
          <w:szCs w:val="20"/>
          <w:lang w:val="en-GB" w:eastAsia="en-GB"/>
        </w:rPr>
      </w:pPr>
      <w:bookmarkStart w:id="5" w:name="_Ref55229281"/>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58"/>
          <w:rFonts w:ascii="Arial" w:hAnsi="Arial" w:cs="Arial"/>
          <w:sz w:val="20"/>
          <w:szCs w:val="20"/>
        </w:rPr>
        <w:t>R2-2010512</w:t>
      </w:r>
      <w:r>
        <w:rPr>
          <w:rStyle w:val="58"/>
          <w:rFonts w:ascii="Arial" w:hAnsi="Arial" w:cs="Arial"/>
          <w:sz w:val="20"/>
          <w:szCs w:val="20"/>
        </w:rPr>
        <w:fldChar w:fldCharType="end"/>
      </w:r>
      <w:r>
        <w:rPr>
          <w:rFonts w:ascii="Arial" w:hAnsi="Arial" w:cs="Arial"/>
          <w:sz w:val="20"/>
          <w:szCs w:val="20"/>
        </w:rPr>
        <w:tab/>
      </w:r>
      <w:r>
        <w:rPr>
          <w:rFonts w:ascii="Arial" w:hAnsi="Arial" w:cs="Arial"/>
          <w:sz w:val="20"/>
          <w:szCs w:val="20"/>
        </w:rPr>
        <w:t>Clarified meaning of band combinations, Ericsson, Huawei, HiSilicon</w:t>
      </w:r>
      <w:r>
        <w:rPr>
          <w:rFonts w:ascii="Arial" w:hAnsi="Arial" w:eastAsia="MS Mincho" w:cs="Arial"/>
          <w:sz w:val="20"/>
          <w:szCs w:val="20"/>
          <w:lang w:val="en-GB" w:eastAsia="en-GB"/>
        </w:rPr>
        <w:t>, RAN2 #112-e, 2-13 November 2020</w:t>
      </w:r>
      <w:bookmarkEnd w:id="5"/>
    </w:p>
    <w:p>
      <w:pPr>
        <w:pStyle w:val="133"/>
        <w:numPr>
          <w:ilvl w:val="0"/>
          <w:numId w:val="14"/>
        </w:numPr>
        <w:rPr>
          <w:rFonts w:ascii="Arial" w:hAnsi="Arial" w:eastAsia="MS Mincho" w:cs="Arial"/>
          <w:sz w:val="20"/>
          <w:szCs w:val="20"/>
          <w:lang w:val="en-GB" w:eastAsia="en-GB"/>
        </w:rPr>
      </w:pPr>
      <w:bookmarkStart w:id="6" w:name="_Ref55229282"/>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58"/>
          <w:rFonts w:ascii="Arial" w:hAnsi="Arial" w:cs="Arial"/>
          <w:sz w:val="20"/>
          <w:szCs w:val="20"/>
        </w:rPr>
        <w:t>R2-2010513</w:t>
      </w:r>
      <w:r>
        <w:rPr>
          <w:rStyle w:val="58"/>
          <w:rFonts w:ascii="Arial" w:hAnsi="Arial" w:cs="Arial"/>
          <w:sz w:val="20"/>
          <w:szCs w:val="20"/>
        </w:rPr>
        <w:fldChar w:fldCharType="end"/>
      </w:r>
      <w:r>
        <w:rPr>
          <w:rFonts w:ascii="Arial" w:hAnsi="Arial" w:cs="Arial"/>
          <w:sz w:val="20"/>
          <w:szCs w:val="20"/>
        </w:rPr>
        <w:tab/>
      </w:r>
      <w:r>
        <w:rPr>
          <w:rFonts w:ascii="Arial" w:hAnsi="Arial" w:cs="Arial"/>
          <w:sz w:val="20"/>
          <w:szCs w:val="20"/>
        </w:rPr>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hAnsi="Arial" w:eastAsia="MS Mincho" w:cs="Arial"/>
          <w:sz w:val="20"/>
          <w:szCs w:val="20"/>
          <w:lang w:val="en-GB" w:eastAsia="en-GB"/>
        </w:rPr>
        <w:t>, RAN2 #112-e, 2-13 November 2020</w:t>
      </w:r>
      <w:bookmarkEnd w:id="6"/>
    </w:p>
    <w:p>
      <w:pPr>
        <w:pStyle w:val="163"/>
        <w:numPr>
          <w:ilvl w:val="0"/>
          <w:numId w:val="14"/>
        </w:numPr>
        <w:rPr>
          <w:rFonts w:cs="Arial"/>
          <w:szCs w:val="20"/>
        </w:rPr>
      </w:pPr>
      <w:bookmarkStart w:id="7" w:name="_Ref55220038"/>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58"/>
          <w:rFonts w:cs="Arial"/>
          <w:szCs w:val="20"/>
        </w:rPr>
        <w:t>R2-2010517</w:t>
      </w:r>
      <w:r>
        <w:rPr>
          <w:rStyle w:val="58"/>
          <w:rFonts w:cs="Arial"/>
          <w:szCs w:val="20"/>
        </w:rPr>
        <w:fldChar w:fldCharType="end"/>
      </w:r>
      <w:r>
        <w:rPr>
          <w:rFonts w:cs="Arial"/>
          <w:szCs w:val="20"/>
        </w:rPr>
        <w:tab/>
      </w:r>
      <w:r>
        <w:rPr>
          <w:rFonts w:cs="Arial"/>
          <w:szCs w:val="20"/>
        </w:rPr>
        <w:t>Removing contradiction on number of FSpUCC and FSpDCC, Ericsson, Nokia, Nokia Shanghai-Bell, RAN2 #112-e, 2-13 November 2020</w:t>
      </w:r>
      <w:r>
        <w:rPr>
          <w:rFonts w:cs="Arial"/>
          <w:szCs w:val="20"/>
        </w:rPr>
        <w:tab/>
      </w:r>
      <w:r>
        <w:rPr>
          <w:rFonts w:cs="Arial"/>
          <w:szCs w:val="20"/>
        </w:rPr>
        <w:t>NR_newRAT-Core</w:t>
      </w:r>
      <w:bookmarkEnd w:id="7"/>
    </w:p>
    <w:p>
      <w:pPr>
        <w:pStyle w:val="163"/>
        <w:numPr>
          <w:ilvl w:val="0"/>
          <w:numId w:val="14"/>
        </w:numPr>
        <w:rPr>
          <w:rFonts w:cs="Arial"/>
          <w:szCs w:val="20"/>
        </w:rPr>
      </w:pPr>
      <w:bookmarkStart w:id="8" w:name="_Ref55220039"/>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58"/>
          <w:rFonts w:cs="Arial"/>
          <w:szCs w:val="20"/>
        </w:rPr>
        <w:t>R2-2010518</w:t>
      </w:r>
      <w:r>
        <w:rPr>
          <w:rStyle w:val="58"/>
          <w:rFonts w:cs="Arial"/>
          <w:szCs w:val="20"/>
        </w:rPr>
        <w:fldChar w:fldCharType="end"/>
      </w:r>
      <w:r>
        <w:rPr>
          <w:rFonts w:cs="Arial"/>
          <w:szCs w:val="20"/>
        </w:rPr>
        <w:tab/>
      </w:r>
      <w:r>
        <w:rPr>
          <w:rFonts w:cs="Arial"/>
          <w:szCs w:val="20"/>
        </w:rPr>
        <w:t>Removing contradiction on number of FSpUCC and FSpDCC</w:t>
      </w:r>
      <w:r>
        <w:rPr>
          <w:rFonts w:cs="Arial"/>
          <w:szCs w:val="20"/>
        </w:rPr>
        <w:tab/>
      </w:r>
      <w:r>
        <w:rPr>
          <w:rFonts w:cs="Arial"/>
          <w:szCs w:val="20"/>
        </w:rPr>
        <w:t>Ericsson, Nokia, Nokia Shanghai-Bell, RAN2 #112-e, 2-13 November 2020</w:t>
      </w:r>
      <w:bookmarkEnd w:id="8"/>
    </w:p>
    <w:p>
      <w:pPr>
        <w:pStyle w:val="163"/>
        <w:numPr>
          <w:ilvl w:val="0"/>
          <w:numId w:val="14"/>
        </w:numPr>
        <w:rPr>
          <w:rFonts w:cs="Arial"/>
          <w:szCs w:val="20"/>
        </w:rPr>
      </w:pPr>
      <w:bookmarkStart w:id="9" w:name="_Ref55220041"/>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58"/>
          <w:rFonts w:cs="Arial"/>
          <w:szCs w:val="20"/>
        </w:rPr>
        <w:t>R2-2010519</w:t>
      </w:r>
      <w:r>
        <w:rPr>
          <w:rStyle w:val="58"/>
          <w:rFonts w:cs="Arial"/>
          <w:szCs w:val="20"/>
        </w:rPr>
        <w:fldChar w:fldCharType="end"/>
      </w:r>
      <w:r>
        <w:rPr>
          <w:rFonts w:cs="Arial"/>
          <w:szCs w:val="20"/>
        </w:rPr>
        <w:tab/>
      </w:r>
      <w:r>
        <w:rPr>
          <w:rFonts w:cs="Arial"/>
          <w:szCs w:val="20"/>
        </w:rPr>
        <w:t>Removing contradiction on number of FSpUCC and FSpDCC</w:t>
      </w:r>
      <w:r>
        <w:rPr>
          <w:rFonts w:cs="Arial"/>
          <w:szCs w:val="20"/>
        </w:rPr>
        <w:tab/>
      </w:r>
      <w:r>
        <w:rPr>
          <w:rFonts w:cs="Arial"/>
          <w:szCs w:val="20"/>
        </w:rPr>
        <w:t>Ericsson, Nokia, Nokia Shanghai-Bell, RAN2 #112-e, 2-13 November 2020</w:t>
      </w:r>
      <w:bookmarkEnd w:id="9"/>
    </w:p>
    <w:p>
      <w:pPr>
        <w:pStyle w:val="163"/>
        <w:numPr>
          <w:ilvl w:val="0"/>
          <w:numId w:val="14"/>
        </w:numPr>
        <w:rPr>
          <w:rFonts w:cs="Arial"/>
          <w:szCs w:val="20"/>
        </w:rPr>
      </w:pPr>
      <w:bookmarkStart w:id="10" w:name="_Ref55220042"/>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58"/>
          <w:rFonts w:cs="Arial"/>
          <w:szCs w:val="20"/>
        </w:rPr>
        <w:t>R2-2010520</w:t>
      </w:r>
      <w:r>
        <w:rPr>
          <w:rStyle w:val="58"/>
          <w:rFonts w:cs="Arial"/>
          <w:szCs w:val="20"/>
        </w:rPr>
        <w:fldChar w:fldCharType="end"/>
      </w:r>
      <w:r>
        <w:rPr>
          <w:rFonts w:cs="Arial"/>
          <w:szCs w:val="20"/>
        </w:rPr>
        <w:tab/>
      </w:r>
      <w:r>
        <w:rPr>
          <w:rFonts w:cs="Arial"/>
          <w:szCs w:val="20"/>
        </w:rPr>
        <w:t>Removing contradiction on number of FSpUCC and FSpDCC</w:t>
      </w:r>
      <w:r>
        <w:rPr>
          <w:rFonts w:cs="Arial"/>
          <w:szCs w:val="20"/>
        </w:rPr>
        <w:tab/>
      </w:r>
      <w:r>
        <w:rPr>
          <w:rFonts w:cs="Arial"/>
          <w:szCs w:val="20"/>
        </w:rPr>
        <w:t>Ericsson, Nokia, Nokia Shanghai-Bell, RAN2 #112-e, 2-13 November 2020</w:t>
      </w:r>
      <w:bookmarkEnd w:id="10"/>
    </w:p>
    <w:p>
      <w:pPr>
        <w:pStyle w:val="163"/>
        <w:numPr>
          <w:ilvl w:val="0"/>
          <w:numId w:val="14"/>
        </w:numPr>
        <w:rPr>
          <w:rFonts w:cs="Arial"/>
          <w:szCs w:val="20"/>
        </w:rPr>
      </w:pPr>
      <w:bookmarkStart w:id="11" w:name="_Ref55226495"/>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58"/>
          <w:rFonts w:cs="Arial"/>
          <w:szCs w:val="20"/>
        </w:rPr>
        <w:t>R2-2010539</w:t>
      </w:r>
      <w:r>
        <w:rPr>
          <w:rStyle w:val="58"/>
          <w:rFonts w:cs="Arial"/>
          <w:szCs w:val="20"/>
        </w:rPr>
        <w:fldChar w:fldCharType="end"/>
      </w:r>
      <w:r>
        <w:rPr>
          <w:rFonts w:cs="Arial"/>
          <w:szCs w:val="20"/>
        </w:rPr>
        <w:tab/>
      </w:r>
      <w:r>
        <w:rPr>
          <w:rFonts w:cs="Arial"/>
          <w:szCs w:val="20"/>
        </w:rPr>
        <w:t>Definition of fallback per CC feature set, Ericsson, RAN2 #112-e, 2-13 November 2020</w:t>
      </w:r>
      <w:bookmarkEnd w:id="11"/>
    </w:p>
    <w:p>
      <w:pPr>
        <w:pStyle w:val="163"/>
        <w:numPr>
          <w:ilvl w:val="0"/>
          <w:numId w:val="14"/>
        </w:numPr>
        <w:rPr>
          <w:rFonts w:cs="Arial"/>
          <w:szCs w:val="20"/>
        </w:rPr>
      </w:pPr>
      <w:bookmarkStart w:id="12" w:name="_Ref55226496"/>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58"/>
          <w:rFonts w:cs="Arial"/>
          <w:szCs w:val="20"/>
        </w:rPr>
        <w:t>R2-2010538</w:t>
      </w:r>
      <w:r>
        <w:rPr>
          <w:rStyle w:val="58"/>
          <w:rFonts w:cs="Arial"/>
          <w:szCs w:val="20"/>
        </w:rPr>
        <w:fldChar w:fldCharType="end"/>
      </w:r>
      <w:r>
        <w:rPr>
          <w:rFonts w:cs="Arial"/>
          <w:szCs w:val="20"/>
        </w:rPr>
        <w:tab/>
      </w:r>
      <w:r>
        <w:rPr>
          <w:rFonts w:cs="Arial"/>
          <w:szCs w:val="20"/>
        </w:rPr>
        <w:t>Definition of fallback per CC feature set, Ericsson, RAN2 #112-e, 2-13 November 2020</w:t>
      </w:r>
      <w:bookmarkEnd w:id="12"/>
    </w:p>
    <w:p>
      <w:pPr>
        <w:pStyle w:val="163"/>
        <w:numPr>
          <w:ilvl w:val="0"/>
          <w:numId w:val="14"/>
        </w:numPr>
        <w:rPr>
          <w:rFonts w:cs="Arial"/>
          <w:szCs w:val="20"/>
        </w:rPr>
      </w:pPr>
      <w:bookmarkStart w:id="13" w:name="_Ref55227289"/>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58"/>
          <w:rFonts w:cs="Arial"/>
          <w:szCs w:val="20"/>
        </w:rPr>
        <w:t>R2-2010084</w:t>
      </w:r>
      <w:r>
        <w:rPr>
          <w:rStyle w:val="58"/>
          <w:rFonts w:cs="Arial"/>
          <w:szCs w:val="20"/>
        </w:rPr>
        <w:fldChar w:fldCharType="end"/>
      </w:r>
      <w:r>
        <w:rPr>
          <w:rFonts w:cs="Arial"/>
          <w:szCs w:val="20"/>
        </w:rPr>
        <w:tab/>
      </w:r>
      <w:r>
        <w:rPr>
          <w:rFonts w:cs="Arial"/>
          <w:szCs w:val="20"/>
        </w:rPr>
        <w:t>Internode coordination for superset BCs reported by UE, Samsung Telecommunications, RAN2 #112-e, 2-13 November 2020</w:t>
      </w:r>
      <w:bookmarkEnd w:id="13"/>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qFormat/>
    <w:uiPriority w:val="0"/>
    <w:rPr>
      <w:rFonts w:ascii="Arial" w:hAnsi="Arial" w:eastAsia="Times New Roman"/>
      <w:spacing w:val="2"/>
      <w:lang w:val="en-US" w:eastAsia="en-US"/>
    </w:rPr>
  </w:style>
  <w:style w:type="paragraph" w:customStyle="1" w:styleId="156">
    <w:name w:val="Revision"/>
    <w:hidden/>
    <w:semiHidden/>
    <w:qFormat/>
    <w:uiPriority w:val="99"/>
    <w:rPr>
      <w:rFonts w:ascii="Times New Roman" w:hAnsi="Times New Roman" w:eastAsia="宋体" w:cs="Times New Roman"/>
      <w:lang w:val="en-GB" w:eastAsia="ja-JP" w:bidi="ar-SA"/>
    </w:rPr>
  </w:style>
  <w:style w:type="character" w:customStyle="1" w:styleId="157">
    <w:name w:val="B1 Zchn"/>
    <w:basedOn w:val="53"/>
    <w:semiHidden/>
    <w:qFormat/>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qFormat/>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qFormat/>
    <w:uiPriority w:val="0"/>
    <w:rPr>
      <w:rFonts w:ascii="Arial" w:hAnsi="Arial" w:eastAsia="MS Mincho"/>
      <w:b/>
      <w:szCs w:val="24"/>
    </w:rPr>
  </w:style>
  <w:style w:type="paragraph" w:customStyle="1" w:styleId="162">
    <w:name w:val="EmailDiscussion2"/>
    <w:basedOn w:val="113"/>
    <w:qFormat/>
    <w:uiPriority w:val="0"/>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66">
    <w:name w:val="Bold Comments Char"/>
    <w:link w:val="165"/>
    <w:qFormat/>
    <w:uiPriority w:val="0"/>
    <w:rPr>
      <w:rFonts w:ascii="Arial" w:hAnsi="Arial" w:eastAsia="MS Mincho"/>
      <w:b/>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63D3-4869-42EB-BE65-42FF14861918}">
  <ds:schemaRefs/>
</ds:datastoreItem>
</file>

<file path=customXml/itemProps3.xml><?xml version="1.0" encoding="utf-8"?>
<ds:datastoreItem xmlns:ds="http://schemas.openxmlformats.org/officeDocument/2006/customXml" ds:itemID="{7B3125E1-FA87-41C5-A563-861775E46792}">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2242</Words>
  <Characters>12780</Characters>
  <Lines>106</Lines>
  <Paragraphs>29</Paragraphs>
  <TotalTime>9</TotalTime>
  <ScaleCrop>false</ScaleCrop>
  <LinksUpToDate>false</LinksUpToDate>
  <CharactersWithSpaces>14993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2020-11-04T07:22:00Z</dcterms:created>
  <dc:creator>Ericsson</dc:creator>
  <cp:keywords>3GPP; Ericsson; TDoc</cp:keywords>
  <cp:lastModifiedBy>ZTE</cp:lastModifiedBy>
  <cp:lastPrinted>2008-02-01T05:09:00Z</cp:lastPrinted>
  <dcterms:modified xsi:type="dcterms:W3CDTF">2020-11-05T02:20:04Z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ies>
</file>