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EB09A0C"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w:t>
      </w:r>
      <w:r w:rsidR="00D54317">
        <w:rPr>
          <w:rFonts w:ascii="Arial" w:eastAsia="MS Mincho" w:hAnsi="Arial"/>
          <w:b/>
          <w:sz w:val="24"/>
          <w:szCs w:val="24"/>
          <w:lang w:val="en-GB" w:eastAsia="x-none"/>
        </w:rPr>
        <w:t>1</w:t>
      </w:r>
      <w:r w:rsidR="00214A8B">
        <w:rPr>
          <w:rFonts w:ascii="Arial" w:eastAsia="MS Mincho" w:hAnsi="Arial"/>
          <w:b/>
          <w:sz w:val="24"/>
          <w:szCs w:val="24"/>
          <w:lang w:val="en-GB" w:eastAsia="x-none"/>
        </w:rPr>
        <w:t>2</w:t>
      </w:r>
      <w:r w:rsidR="00284841">
        <w:rPr>
          <w:rFonts w:ascii="Arial" w:eastAsia="MS Mincho" w:hAnsi="Arial"/>
          <w:b/>
          <w:sz w:val="24"/>
          <w:szCs w:val="24"/>
          <w:lang w:val="en-GB" w:eastAsia="x-none"/>
        </w:rPr>
        <w:t xml:space="preserve"> electronic</w:t>
      </w:r>
      <w:r w:rsidR="00D46DD9">
        <w:rPr>
          <w:rFonts w:ascii="Arial" w:eastAsia="MS Mincho" w:hAnsi="Arial"/>
          <w:b/>
          <w:sz w:val="24"/>
          <w:szCs w:val="24"/>
          <w:lang w:val="en-GB" w:eastAsia="x-none"/>
        </w:rPr>
        <w:tab/>
        <w:t>R2-20</w:t>
      </w:r>
      <w:r w:rsidR="0061395D">
        <w:rPr>
          <w:rFonts w:ascii="Arial" w:eastAsia="MS Mincho" w:hAnsi="Arial"/>
          <w:b/>
          <w:sz w:val="24"/>
          <w:szCs w:val="24"/>
          <w:lang w:val="en-GB" w:eastAsia="x-none"/>
        </w:rPr>
        <w:t>10633</w:t>
      </w:r>
    </w:p>
    <w:p w14:paraId="6877EE3A" w14:textId="0E686EC8" w:rsidR="00895250" w:rsidRPr="00BA4886" w:rsidRDefault="0028484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 xml:space="preserve">Online, </w:t>
      </w:r>
      <w:r w:rsidR="00214A8B">
        <w:rPr>
          <w:rFonts w:ascii="Arial" w:eastAsia="MS Mincho" w:hAnsi="Arial"/>
          <w:b/>
          <w:sz w:val="24"/>
          <w:szCs w:val="24"/>
          <w:lang w:val="en-GB" w:eastAsia="x-none"/>
        </w:rPr>
        <w:t>2</w:t>
      </w:r>
      <w:r w:rsidR="00A43A6E" w:rsidRPr="00D54317">
        <w:rPr>
          <w:rFonts w:ascii="Arial" w:eastAsia="MS Mincho" w:hAnsi="Arial"/>
          <w:b/>
          <w:sz w:val="24"/>
          <w:szCs w:val="24"/>
          <w:lang w:val="en-GB" w:eastAsia="x-none"/>
        </w:rPr>
        <w:t xml:space="preserve"> </w:t>
      </w:r>
      <w:r w:rsidR="00D54317" w:rsidRPr="00D54317">
        <w:rPr>
          <w:rFonts w:ascii="Arial" w:eastAsia="MS Mincho" w:hAnsi="Arial"/>
          <w:b/>
          <w:sz w:val="24"/>
          <w:szCs w:val="24"/>
          <w:lang w:val="en-GB" w:eastAsia="x-none"/>
        </w:rPr>
        <w:t xml:space="preserve">– </w:t>
      </w:r>
      <w:r w:rsidR="00214A8B">
        <w:rPr>
          <w:rFonts w:ascii="Arial" w:eastAsia="MS Mincho" w:hAnsi="Arial"/>
          <w:b/>
          <w:sz w:val="24"/>
          <w:szCs w:val="24"/>
          <w:lang w:val="en-GB" w:eastAsia="x-none"/>
        </w:rPr>
        <w:t>13</w:t>
      </w:r>
      <w:r w:rsidR="00D54317" w:rsidRPr="00D54317">
        <w:rPr>
          <w:rFonts w:ascii="Arial" w:eastAsia="MS Mincho" w:hAnsi="Arial"/>
          <w:b/>
          <w:sz w:val="24"/>
          <w:szCs w:val="24"/>
          <w:lang w:val="en-GB" w:eastAsia="x-none"/>
        </w:rPr>
        <w:t xml:space="preserve"> </w:t>
      </w:r>
      <w:r w:rsidR="00214A8B">
        <w:rPr>
          <w:rFonts w:ascii="Arial" w:eastAsia="MS Mincho" w:hAnsi="Arial"/>
          <w:b/>
          <w:sz w:val="24"/>
          <w:szCs w:val="24"/>
          <w:lang w:val="en-GB" w:eastAsia="x-none"/>
        </w:rPr>
        <w:t>November</w:t>
      </w:r>
      <w:r w:rsidR="00D54317" w:rsidRPr="00D54317">
        <w:rPr>
          <w:rFonts w:ascii="Arial" w:eastAsia="MS Mincho" w:hAnsi="Arial"/>
          <w:b/>
          <w:sz w:val="24"/>
          <w:szCs w:val="24"/>
          <w:lang w:val="en-GB" w:eastAsia="x-none"/>
        </w:rPr>
        <w:t xml:space="preserve"> 2020</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596B0A40"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6A0CB8">
        <w:rPr>
          <w:rFonts w:ascii="Arial" w:hAnsi="Arial" w:cs="Arial"/>
          <w:szCs w:val="24"/>
        </w:rPr>
        <w:t>8.</w:t>
      </w:r>
      <w:r w:rsidR="00D81B49">
        <w:rPr>
          <w:rFonts w:ascii="Arial" w:hAnsi="Arial" w:cs="Arial"/>
          <w:szCs w:val="24"/>
        </w:rPr>
        <w:t>15</w:t>
      </w:r>
      <w:r w:rsidR="006A0CB8">
        <w:rPr>
          <w:rFonts w:ascii="Arial" w:hAnsi="Arial" w:cs="Arial"/>
          <w:szCs w:val="24"/>
        </w:rPr>
        <w:t>.</w:t>
      </w:r>
      <w:r w:rsidR="00D81B49">
        <w:rPr>
          <w:rFonts w:ascii="Arial" w:hAnsi="Arial" w:cs="Arial"/>
          <w:szCs w:val="24"/>
        </w:rPr>
        <w:t>4</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w:t>
      </w:r>
      <w:bookmarkStart w:id="2" w:name="_GoBack"/>
      <w:bookmarkEnd w:id="2"/>
      <w:r w:rsidRPr="00BA4886">
        <w:rPr>
          <w:rFonts w:ascii="Arial" w:hAnsi="Arial" w:cs="Arial"/>
          <w:szCs w:val="24"/>
        </w:rPr>
        <w:t>k Inc.</w:t>
      </w:r>
    </w:p>
    <w:p w14:paraId="108A86FF" w14:textId="22343FE2"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1A0FA8">
        <w:rPr>
          <w:b/>
          <w:sz w:val="24"/>
          <w:lang w:val="en-GB"/>
        </w:rPr>
        <w:t>Ge</w:t>
      </w:r>
      <w:r w:rsidR="001A0FA8" w:rsidRPr="001A0FA8">
        <w:rPr>
          <w:b/>
          <w:sz w:val="24"/>
          <w:lang w:val="en-GB"/>
        </w:rPr>
        <w:t>ographic</w:t>
      </w:r>
      <w:r w:rsidR="001A0FA8">
        <w:rPr>
          <w:b/>
          <w:sz w:val="24"/>
          <w:lang w:val="en-GB"/>
        </w:rPr>
        <w:t xml:space="preserve">-Area </w:t>
      </w:r>
      <w:r w:rsidR="00225727">
        <w:rPr>
          <w:b/>
          <w:sz w:val="24"/>
          <w:lang w:val="en-GB"/>
        </w:rPr>
        <w:t>restriction on SL operation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3" w:name="OLE_LINK39"/>
      <w:bookmarkStart w:id="4" w:name="OLE_LINK38"/>
      <w:bookmarkStart w:id="5" w:name="OLE_LINK37"/>
    </w:p>
    <w:p w14:paraId="40C59F79" w14:textId="4697ED1B" w:rsidR="001140EB" w:rsidRPr="001140EB" w:rsidRDefault="001140EB" w:rsidP="001140EB">
      <w:pPr>
        <w:spacing w:after="240"/>
        <w:rPr>
          <w:lang w:val="en-GB"/>
        </w:rPr>
      </w:pPr>
      <w:r>
        <w:rPr>
          <w:lang w:val="en-GB"/>
        </w:rPr>
        <w:t xml:space="preserve">From WID </w:t>
      </w:r>
      <w:r w:rsidR="00694EEA">
        <w:rPr>
          <w:lang w:val="en-GB"/>
        </w:rPr>
        <w:t>[1]</w:t>
      </w:r>
      <w:r>
        <w:rPr>
          <w:lang w:val="en-GB"/>
        </w:rPr>
        <w:t>, we have one</w:t>
      </w:r>
      <w:r w:rsidRPr="001140EB">
        <w:rPr>
          <w:lang w:val="en-GB"/>
        </w:rPr>
        <w:t xml:space="preserve"> </w:t>
      </w:r>
      <w:r>
        <w:rPr>
          <w:lang w:val="en-GB"/>
        </w:rPr>
        <w:t>objective as below:</w:t>
      </w:r>
    </w:p>
    <w:p w14:paraId="6E670A5E" w14:textId="77777777" w:rsidR="001140EB" w:rsidRPr="001140EB" w:rsidRDefault="001140EB" w:rsidP="001140EB">
      <w:pPr>
        <w:spacing w:after="240"/>
        <w:rPr>
          <w:lang w:val="en-GB"/>
        </w:rPr>
      </w:pPr>
      <w:r w:rsidRPr="001140EB">
        <w:rPr>
          <w:lang w:val="en-GB"/>
        </w:rPr>
        <w:t>5. Define mechanism to ensure sidelink operation can be confined to a predetermined geographic area(s) for a given frequency range within non-ITS bands [RAN2].</w:t>
      </w:r>
    </w:p>
    <w:p w14:paraId="12E3112D" w14:textId="0205BAC1" w:rsidR="001140EB" w:rsidRDefault="001140EB" w:rsidP="001140EB">
      <w:pPr>
        <w:spacing w:after="240"/>
        <w:rPr>
          <w:lang w:val="en-GB"/>
        </w:rPr>
      </w:pPr>
      <w:r w:rsidRPr="001140EB">
        <w:rPr>
          <w:lang w:val="en-GB"/>
        </w:rPr>
        <w:tab/>
        <w:t>• This applies areas where there is no network coverage.</w:t>
      </w:r>
    </w:p>
    <w:p w14:paraId="55CCCE91" w14:textId="5FC45604" w:rsidR="00CC3C81" w:rsidRDefault="00002A74" w:rsidP="00CC3C81">
      <w:pPr>
        <w:spacing w:after="240"/>
        <w:rPr>
          <w:lang w:val="en-GB"/>
        </w:rPr>
      </w:pPr>
      <w:r>
        <w:rPr>
          <w:lang w:val="en-GB"/>
        </w:rPr>
        <w:t>We will show our</w:t>
      </w:r>
      <w:r w:rsidR="007836A0">
        <w:rPr>
          <w:lang w:val="en-GB"/>
        </w:rPr>
        <w:t xml:space="preserve"> </w:t>
      </w:r>
      <w:r w:rsidR="001140EB">
        <w:rPr>
          <w:lang w:val="en-GB"/>
        </w:rPr>
        <w:t>views</w:t>
      </w:r>
      <w:r>
        <w:rPr>
          <w:lang w:val="en-GB"/>
        </w:rPr>
        <w:t xml:space="preserve"> on </w:t>
      </w:r>
      <w:r w:rsidR="001140EB">
        <w:rPr>
          <w:lang w:val="en-GB"/>
        </w:rPr>
        <w:t>this aspect</w:t>
      </w:r>
      <w:r>
        <w:rPr>
          <w:lang w:val="en-GB"/>
        </w:rPr>
        <w:t>.</w:t>
      </w:r>
      <w:bookmarkStart w:id="6" w:name="OLE_LINK41"/>
      <w:bookmarkStart w:id="7" w:name="OLE_LINK24"/>
      <w:bookmarkStart w:id="8" w:name="OLE_LINK17"/>
      <w:bookmarkStart w:id="9" w:name="OLE_LINK16"/>
      <w:bookmarkEnd w:id="3"/>
      <w:bookmarkEnd w:id="4"/>
      <w:bookmarkEnd w:id="5"/>
    </w:p>
    <w:p w14:paraId="799338BA" w14:textId="1BDE5574" w:rsidR="007B52F0" w:rsidRPr="00376507" w:rsidRDefault="00732249" w:rsidP="007B52F0">
      <w:pPr>
        <w:pStyle w:val="1"/>
        <w:overflowPunct w:val="0"/>
        <w:autoSpaceDE w:val="0"/>
        <w:autoSpaceDN w:val="0"/>
        <w:adjustRightInd w:val="0"/>
        <w:rPr>
          <w:rFonts w:eastAsia="新細明體" w:cs="Arial"/>
        </w:rPr>
      </w:pPr>
      <w:r>
        <w:t>Discussion</w:t>
      </w:r>
    </w:p>
    <w:p w14:paraId="6FB8778D" w14:textId="2EFE8ED7" w:rsidR="00225727" w:rsidRDefault="00694EEA" w:rsidP="00694EEA">
      <w:pPr>
        <w:spacing w:after="240"/>
        <w:rPr>
          <w:lang w:val="en-GB"/>
        </w:rPr>
      </w:pPr>
      <w:r w:rsidRPr="00694EEA">
        <w:rPr>
          <w:lang w:val="en-GB"/>
        </w:rPr>
        <w:t>Due t</w:t>
      </w:r>
      <w:r w:rsidR="00225727">
        <w:rPr>
          <w:lang w:val="en-GB"/>
        </w:rPr>
        <w:t xml:space="preserve">o regional regulations, LTE V2X has similar restriction on sidelink operations. LTE V2X </w:t>
      </w:r>
      <w:r w:rsidRPr="00694EEA">
        <w:rPr>
          <w:lang w:val="en-GB"/>
        </w:rPr>
        <w:t>adopts mapping rule between the V2X service types and the V2X frequencies.</w:t>
      </w:r>
      <w:r w:rsidR="00225727">
        <w:rPr>
          <w:lang w:val="en-GB"/>
        </w:rPr>
        <w:t xml:space="preserve"> </w:t>
      </w:r>
      <w:r w:rsidRPr="00694EEA">
        <w:rPr>
          <w:lang w:val="en-GB"/>
        </w:rPr>
        <w:t>In the AS, the mapping rule is reflected by the applicable carrier(s) associated with each Destination.</w:t>
      </w:r>
      <w:r w:rsidR="00225727">
        <w:rPr>
          <w:lang w:val="en-GB"/>
        </w:rPr>
        <w:t xml:space="preserve"> The detail operation is described in</w:t>
      </w:r>
      <w:r w:rsidR="00225727" w:rsidRPr="00225727">
        <w:rPr>
          <w:lang w:val="en-GB"/>
        </w:rPr>
        <w:t xml:space="preserve"> </w:t>
      </w:r>
      <w:r w:rsidR="00225727">
        <w:rPr>
          <w:lang w:val="en-GB"/>
        </w:rPr>
        <w:t xml:space="preserve">LTE MAC TS 36.321, section 5.14.1.3.1 </w:t>
      </w:r>
      <w:r w:rsidR="00225727" w:rsidRPr="00225727">
        <w:rPr>
          <w:lang w:val="en-GB"/>
        </w:rPr>
        <w:t>Logical channel prioritization</w:t>
      </w:r>
      <w:r w:rsidR="00225727">
        <w:rPr>
          <w:lang w:val="en-GB"/>
        </w:rPr>
        <w:t>.</w:t>
      </w:r>
    </w:p>
    <w:p w14:paraId="5313988D" w14:textId="2B7DE3B3" w:rsidR="00694EEA" w:rsidRPr="00694EEA" w:rsidRDefault="00694EEA" w:rsidP="00694EEA">
      <w:pPr>
        <w:spacing w:after="240"/>
        <w:rPr>
          <w:lang w:val="en-GB"/>
        </w:rPr>
      </w:pPr>
      <w:r w:rsidRPr="00694EEA">
        <w:rPr>
          <w:lang w:val="en-GB"/>
        </w:rPr>
        <w:t>During sidelink LCP, only sidelink logical channels of the destination Layer-2 IDs allowed on the carrier is considered.</w:t>
      </w:r>
      <w:r w:rsidR="00225727">
        <w:rPr>
          <w:lang w:val="en-GB"/>
        </w:rPr>
        <w:t xml:space="preserve"> The spec text is shown below:</w:t>
      </w:r>
    </w:p>
    <w:p w14:paraId="03E75209" w14:textId="77777777" w:rsidR="00225727" w:rsidRPr="00225727" w:rsidRDefault="00225727" w:rsidP="00225727">
      <w:pPr>
        <w:spacing w:after="240"/>
        <w:rPr>
          <w:lang w:val="en-GB"/>
        </w:rPr>
      </w:pPr>
      <w:r w:rsidRPr="00225727">
        <w:rPr>
          <w:lang w:val="en-GB"/>
        </w:rPr>
        <w:t>The MAC entity shall perform the following Logical Channel Prioritization procedure either for each SCI transmitted in an SC period in sidelink communication, or for each SCI corresponding to a new transmission in V2X sidelink communication:</w:t>
      </w:r>
    </w:p>
    <w:p w14:paraId="5C42DAF1" w14:textId="438B0477" w:rsidR="00225727" w:rsidRPr="00225727" w:rsidRDefault="00225727" w:rsidP="00225727">
      <w:pPr>
        <w:pStyle w:val="a"/>
        <w:numPr>
          <w:ilvl w:val="0"/>
          <w:numId w:val="29"/>
        </w:numPr>
      </w:pPr>
      <w:r w:rsidRPr="00225727">
        <w:t>The MAC entity shall allocate resources to the sidelink logical channels in the following steps:</w:t>
      </w:r>
    </w:p>
    <w:p w14:paraId="0BD627D2" w14:textId="321C3884" w:rsidR="00225727" w:rsidRPr="00225727" w:rsidRDefault="00225727" w:rsidP="00225727">
      <w:pPr>
        <w:pStyle w:val="a"/>
        <w:numPr>
          <w:ilvl w:val="1"/>
          <w:numId w:val="29"/>
        </w:numPr>
      </w:pPr>
      <w:r w:rsidRPr="00225727">
        <w:t>Only consider sidelink logical channels not previously selected for this SC period and the SC periods (if any) which are overlapping with this SC period, to have data available for transmission in sidelink communication;</w:t>
      </w:r>
    </w:p>
    <w:p w14:paraId="31C255B8" w14:textId="6900941F" w:rsidR="00225727" w:rsidRPr="00225727" w:rsidRDefault="00225727" w:rsidP="00225727">
      <w:pPr>
        <w:pStyle w:val="a"/>
        <w:numPr>
          <w:ilvl w:val="1"/>
          <w:numId w:val="29"/>
        </w:numPr>
      </w:pPr>
      <w:r w:rsidRPr="00225727">
        <w:t>Only consider sidelink logical channels which meet the following conditions:</w:t>
      </w:r>
    </w:p>
    <w:p w14:paraId="075F30B0" w14:textId="187C89B6" w:rsidR="00225727" w:rsidRPr="00225727" w:rsidRDefault="00225727" w:rsidP="00225727">
      <w:pPr>
        <w:pStyle w:val="a"/>
        <w:numPr>
          <w:ilvl w:val="2"/>
          <w:numId w:val="29"/>
        </w:numPr>
      </w:pPr>
      <w:r w:rsidRPr="00C3028C">
        <w:rPr>
          <w:color w:val="FF0000"/>
        </w:rPr>
        <w:t>allowed on the carrier where the SCI is transmitted for V2X sidelink communication, if the carrier is configured by upper layers according to 3GPP TS 36.331 and 3GPP TS 24.386;</w:t>
      </w:r>
    </w:p>
    <w:p w14:paraId="69DB964B" w14:textId="7B9E8C54" w:rsidR="00225727" w:rsidRPr="00225727" w:rsidRDefault="00225727" w:rsidP="00225727">
      <w:pPr>
        <w:pStyle w:val="a"/>
        <w:numPr>
          <w:ilvl w:val="2"/>
          <w:numId w:val="29"/>
        </w:numPr>
      </w:pPr>
      <w:r w:rsidRPr="00225727">
        <w:t>having a priority whose associated threshCBR-FreqReselection is no lower than the CBR of the carrier when the carrier is (re-)selected in accordance with 5.14.1.5;</w:t>
      </w:r>
    </w:p>
    <w:p w14:paraId="3540735D" w14:textId="1319556C" w:rsidR="00225727" w:rsidRPr="00225727" w:rsidRDefault="00225727" w:rsidP="00225727">
      <w:pPr>
        <w:pStyle w:val="a"/>
        <w:numPr>
          <w:ilvl w:val="1"/>
          <w:numId w:val="29"/>
        </w:numPr>
      </w:pPr>
      <w:r w:rsidRPr="00225727">
        <w:t>Only consider one sidelink logical channel among sidelink logical channels corresponding to same PDCP entity, if duplication is activated as specified in TS 36.323.</w:t>
      </w:r>
    </w:p>
    <w:p w14:paraId="38672FEE" w14:textId="02650C51" w:rsidR="00225727" w:rsidRDefault="00EE6AF3" w:rsidP="003F7ADA">
      <w:pPr>
        <w:spacing w:after="240"/>
        <w:rPr>
          <w:lang w:val="en-GB"/>
        </w:rPr>
      </w:pPr>
      <w:r>
        <w:rPr>
          <w:lang w:val="en-GB"/>
        </w:rPr>
        <w:t>Also in TS 24.386, there is also related spec text to solve this problem:</w:t>
      </w:r>
    </w:p>
    <w:p w14:paraId="7AE0A1BB" w14:textId="77777777" w:rsidR="00EE6AF3" w:rsidRPr="00EE6AF3" w:rsidRDefault="00EE6AF3" w:rsidP="00EE6AF3">
      <w:pPr>
        <w:spacing w:after="240"/>
        <w:rPr>
          <w:lang w:val="en-GB"/>
        </w:rPr>
      </w:pPr>
      <w:r w:rsidRPr="00EE6AF3">
        <w:rPr>
          <w:lang w:val="en-GB"/>
        </w:rPr>
        <w:lastRenderedPageBreak/>
        <w:t>The configuration parameters for V2X communication over PC5 consist of:</w:t>
      </w:r>
    </w:p>
    <w:p w14:paraId="16A98310" w14:textId="77777777" w:rsidR="00EE6AF3" w:rsidRPr="00EE6AF3" w:rsidRDefault="00EE6AF3" w:rsidP="00EE6AF3">
      <w:pPr>
        <w:pStyle w:val="a"/>
        <w:numPr>
          <w:ilvl w:val="0"/>
          <w:numId w:val="30"/>
        </w:numPr>
      </w:pPr>
      <w:r w:rsidRPr="00EE6AF3">
        <w:t>d) per geographical area:</w:t>
      </w:r>
    </w:p>
    <w:p w14:paraId="0015C7AC" w14:textId="3C56478D" w:rsidR="00EE6AF3" w:rsidRPr="00D50DEF" w:rsidRDefault="00D50DEF" w:rsidP="00D50DEF">
      <w:pPr>
        <w:pStyle w:val="a"/>
        <w:numPr>
          <w:ilvl w:val="1"/>
          <w:numId w:val="30"/>
        </w:numPr>
      </w:pPr>
      <w:r>
        <w:t xml:space="preserve">1) </w:t>
      </w:r>
      <w:r w:rsidR="00EE6AF3" w:rsidRPr="00D50DEF">
        <w:t>radio parameters for V2X communication over PC5 applicable when the UE is not served by E-UTRAN for V2X communication and is located in the geographical area, with an indication of whether these radio parameters are "operator managed" or "non-operator managed"</w:t>
      </w:r>
    </w:p>
    <w:p w14:paraId="5E99B034" w14:textId="77777777" w:rsidR="00EE6AF3" w:rsidRPr="00D50DEF" w:rsidRDefault="00EE6AF3" w:rsidP="00D50DEF">
      <w:pPr>
        <w:pStyle w:val="a"/>
        <w:numPr>
          <w:ilvl w:val="0"/>
          <w:numId w:val="30"/>
        </w:numPr>
      </w:pPr>
      <w:r w:rsidRPr="00D50DEF">
        <w:t>h) optionally, a configuration for the applicability of privacy for V2X communication over PC5, containing:</w:t>
      </w:r>
    </w:p>
    <w:p w14:paraId="4909A6DD" w14:textId="6427CD4F" w:rsidR="00EE6AF3" w:rsidRPr="00D50DEF" w:rsidRDefault="00D50DEF" w:rsidP="00D50DEF">
      <w:pPr>
        <w:pStyle w:val="a"/>
        <w:numPr>
          <w:ilvl w:val="1"/>
          <w:numId w:val="30"/>
        </w:numPr>
      </w:pPr>
      <w:r>
        <w:t xml:space="preserve">1) </w:t>
      </w:r>
      <w:r w:rsidR="00EE6AF3" w:rsidRPr="00D50DEF">
        <w:t>a T5000 timer indicating how often the UE shall change the source Layer-2 ID and source IP address (for IP data) self-assigned by the UE for V2X communication over PC5; and</w:t>
      </w:r>
    </w:p>
    <w:p w14:paraId="125349F3" w14:textId="77777777" w:rsidR="00EE6AF3" w:rsidRPr="00D50DEF" w:rsidRDefault="00EE6AF3" w:rsidP="00D50DEF">
      <w:pPr>
        <w:pStyle w:val="a"/>
        <w:numPr>
          <w:ilvl w:val="1"/>
          <w:numId w:val="30"/>
        </w:numPr>
      </w:pPr>
      <w:r w:rsidRPr="00D50DEF">
        <w:t>2) a list of the V2X services which require privacy for V2X communication over PC5. Each entry in the list contains:</w:t>
      </w:r>
    </w:p>
    <w:p w14:paraId="2048A4B4" w14:textId="5EF60999" w:rsidR="00EE6AF3" w:rsidRPr="00D50DEF" w:rsidRDefault="00D50DEF" w:rsidP="00D50DEF">
      <w:pPr>
        <w:pStyle w:val="a"/>
        <w:numPr>
          <w:ilvl w:val="2"/>
          <w:numId w:val="30"/>
        </w:numPr>
      </w:pPr>
      <w:r>
        <w:t xml:space="preserve">A) </w:t>
      </w:r>
      <w:r w:rsidR="00EE6AF3" w:rsidRPr="00D50DEF">
        <w:t>a V2X service identifier; and</w:t>
      </w:r>
    </w:p>
    <w:p w14:paraId="1DE3546D" w14:textId="77777777" w:rsidR="00EE6AF3" w:rsidRPr="00D50DEF" w:rsidRDefault="00EE6AF3" w:rsidP="00D50DEF">
      <w:pPr>
        <w:pStyle w:val="a"/>
        <w:numPr>
          <w:ilvl w:val="2"/>
          <w:numId w:val="30"/>
        </w:numPr>
      </w:pPr>
      <w:r w:rsidRPr="00D50DEF">
        <w:t>B) optionally, one or more associated geographical areas;</w:t>
      </w:r>
    </w:p>
    <w:p w14:paraId="0FF832F1" w14:textId="059A3C0A" w:rsidR="00EE6AF3" w:rsidRPr="00D50DEF" w:rsidRDefault="00D50DEF" w:rsidP="00D50DEF">
      <w:pPr>
        <w:pStyle w:val="a"/>
        <w:numPr>
          <w:ilvl w:val="0"/>
          <w:numId w:val="30"/>
        </w:numPr>
      </w:pPr>
      <w:r>
        <w:t xml:space="preserve">i) </w:t>
      </w:r>
      <w:r w:rsidR="00EE6AF3" w:rsidRPr="00D50DEF">
        <w:t>optionally, V2X service identifier to V2X frequency mapping rules between the V2X service identifiers and the V2X frequencies with associated geographical areas for V2X communication over PC5</w:t>
      </w:r>
    </w:p>
    <w:p w14:paraId="139B5A22" w14:textId="1D2D7A33" w:rsidR="00514A82" w:rsidRPr="00514A82" w:rsidRDefault="00514A82" w:rsidP="007B52F0">
      <w:pPr>
        <w:spacing w:after="240"/>
        <w:rPr>
          <w:lang w:val="en-GB"/>
        </w:rPr>
      </w:pPr>
      <w:r w:rsidRPr="00514A82">
        <w:rPr>
          <w:lang w:val="en-GB"/>
        </w:rPr>
        <w:t>Thus, from our point of view, this</w:t>
      </w:r>
      <w:r>
        <w:rPr>
          <w:lang w:val="en-GB"/>
        </w:rPr>
        <w:t xml:space="preserve"> problem is already s</w:t>
      </w:r>
      <w:r w:rsidRPr="00514A82">
        <w:rPr>
          <w:lang w:val="en-GB"/>
        </w:rPr>
        <w:t>o</w:t>
      </w:r>
      <w:r>
        <w:rPr>
          <w:lang w:val="en-GB"/>
        </w:rPr>
        <w:t>l</w:t>
      </w:r>
      <w:r w:rsidRPr="00514A82">
        <w:rPr>
          <w:lang w:val="en-GB"/>
        </w:rPr>
        <w:t>ved in LTE V2X and can be reused in NR V2X.</w:t>
      </w:r>
    </w:p>
    <w:p w14:paraId="657D6D85" w14:textId="08A9C5EC" w:rsidR="00BA7776" w:rsidRDefault="003F7ADA" w:rsidP="007B52F0">
      <w:pPr>
        <w:spacing w:after="240"/>
        <w:rPr>
          <w:lang w:val="en-GB"/>
        </w:rPr>
      </w:pPr>
      <w:r>
        <w:rPr>
          <w:b/>
          <w:lang w:val="en-GB"/>
        </w:rPr>
        <w:t>P</w:t>
      </w:r>
      <w:r w:rsidR="00BA7776" w:rsidRPr="0049075A">
        <w:rPr>
          <w:b/>
          <w:lang w:val="en-GB"/>
        </w:rPr>
        <w:t xml:space="preserve">roposal </w:t>
      </w:r>
      <w:r w:rsidR="00BA7776">
        <w:rPr>
          <w:b/>
          <w:lang w:val="en-GB"/>
        </w:rPr>
        <w:t>1</w:t>
      </w:r>
      <w:r w:rsidR="00BA7776" w:rsidRPr="0049075A">
        <w:rPr>
          <w:b/>
          <w:lang w:val="en-GB"/>
        </w:rPr>
        <w:t xml:space="preserve">: </w:t>
      </w:r>
      <w:r w:rsidR="00514A82">
        <w:rPr>
          <w:b/>
          <w:lang w:val="en-GB"/>
        </w:rPr>
        <w:t>Reuse LTE V2X legacy mechanism for</w:t>
      </w:r>
      <w:r w:rsidR="00514A82" w:rsidRPr="00514A82">
        <w:t xml:space="preserve"> </w:t>
      </w:r>
      <w:r w:rsidR="00514A82" w:rsidRPr="00514A82">
        <w:rPr>
          <w:b/>
          <w:lang w:val="en-GB"/>
        </w:rPr>
        <w:t>predetermined geographic</w:t>
      </w:r>
      <w:r w:rsidR="00514A82">
        <w:rPr>
          <w:b/>
          <w:lang w:val="en-GB"/>
        </w:rPr>
        <w:t>-confined sidelink operation</w:t>
      </w:r>
      <w:r w:rsidR="00AA10CD">
        <w:rPr>
          <w:b/>
          <w:lang w:val="en-GB"/>
        </w:rPr>
        <w:t>.</w:t>
      </w:r>
    </w:p>
    <w:p w14:paraId="016302AC" w14:textId="4F21004B"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6"/>
      <w:bookmarkEnd w:id="7"/>
      <w:bookmarkEnd w:id="8"/>
      <w:bookmarkEnd w:id="9"/>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156A1C1B" w14:textId="5387963C" w:rsidR="00BA2E92" w:rsidRPr="00514A82" w:rsidRDefault="00514A82" w:rsidP="00BA2E92">
      <w:pPr>
        <w:spacing w:after="240"/>
        <w:rPr>
          <w:lang w:val="en-GB"/>
        </w:rPr>
      </w:pPr>
      <w:r>
        <w:rPr>
          <w:b/>
          <w:lang w:val="en-GB"/>
        </w:rPr>
        <w:t>P</w:t>
      </w:r>
      <w:r w:rsidRPr="0049075A">
        <w:rPr>
          <w:b/>
          <w:lang w:val="en-GB"/>
        </w:rPr>
        <w:t xml:space="preserve">roposal </w:t>
      </w:r>
      <w:r>
        <w:rPr>
          <w:b/>
          <w:lang w:val="en-GB"/>
        </w:rPr>
        <w:t>1</w:t>
      </w:r>
      <w:r w:rsidRPr="0049075A">
        <w:rPr>
          <w:b/>
          <w:lang w:val="en-GB"/>
        </w:rPr>
        <w:t xml:space="preserve">: </w:t>
      </w:r>
      <w:r>
        <w:rPr>
          <w:b/>
          <w:lang w:val="en-GB"/>
        </w:rPr>
        <w:t>Reuse LTE V2X legacy mechanism for</w:t>
      </w:r>
      <w:r w:rsidRPr="00514A82">
        <w:t xml:space="preserve"> </w:t>
      </w:r>
      <w:r w:rsidRPr="00514A82">
        <w:rPr>
          <w:b/>
          <w:lang w:val="en-GB"/>
        </w:rPr>
        <w:t>predetermined geographic</w:t>
      </w:r>
      <w:r>
        <w:rPr>
          <w:b/>
          <w:lang w:val="en-GB"/>
        </w:rPr>
        <w:t>-confined sidelink operation.</w:t>
      </w:r>
    </w:p>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780B02AB" w14:textId="277DB3A6" w:rsidR="002F39DA" w:rsidRDefault="002F39DA" w:rsidP="002F39DA">
      <w:pPr>
        <w:spacing w:after="240"/>
        <w:ind w:left="720" w:hanging="720"/>
        <w:rPr>
          <w:lang w:val="en-GB" w:eastAsia="en-US"/>
        </w:rPr>
      </w:pPr>
      <w:r>
        <w:rPr>
          <w:lang w:val="en-GB" w:eastAsia="en-US"/>
        </w:rPr>
        <w:t>[1]</w:t>
      </w:r>
      <w:r>
        <w:rPr>
          <w:lang w:val="en-GB" w:eastAsia="en-US"/>
        </w:rPr>
        <w:tab/>
      </w:r>
      <w:r w:rsidR="00694EEA">
        <w:rPr>
          <w:lang w:val="en-GB" w:eastAsia="en-US"/>
        </w:rPr>
        <w:t>RP-193257</w:t>
      </w:r>
      <w:r w:rsidR="001B71AF">
        <w:t xml:space="preserve">, </w:t>
      </w:r>
      <w:r w:rsidR="001B71AF" w:rsidRPr="001B71AF">
        <w:rPr>
          <w:lang w:val="en-GB" w:eastAsia="en-US"/>
        </w:rPr>
        <w:t>New WID on NR sidelink enhancement</w:t>
      </w:r>
      <w:r w:rsidR="001B71AF">
        <w:rPr>
          <w:lang w:val="en-GB" w:eastAsia="en-US"/>
        </w:rPr>
        <w:t xml:space="preserve">, </w:t>
      </w:r>
      <w:r w:rsidR="001B71AF" w:rsidRPr="001B71AF">
        <w:rPr>
          <w:lang w:val="en-GB" w:eastAsia="en-US"/>
        </w:rPr>
        <w:t>LG Electronics</w:t>
      </w:r>
    </w:p>
    <w:sectPr w:rsidR="002F39DA" w:rsidSect="00BE2064">
      <w:footerReference w:type="default" r:id="rId8"/>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8B358" w14:textId="77777777" w:rsidR="00340009" w:rsidRDefault="00340009">
      <w:pPr>
        <w:pStyle w:val="TAL"/>
      </w:pPr>
      <w:r>
        <w:separator/>
      </w:r>
    </w:p>
  </w:endnote>
  <w:endnote w:type="continuationSeparator" w:id="0">
    <w:p w14:paraId="774A8E0A" w14:textId="77777777" w:rsidR="00340009" w:rsidRDefault="0034000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61395D">
      <w:t>1</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1AD5F" w14:textId="77777777" w:rsidR="00340009" w:rsidRDefault="00340009">
      <w:pPr>
        <w:pStyle w:val="TAL"/>
      </w:pPr>
      <w:r>
        <w:separator/>
      </w:r>
    </w:p>
  </w:footnote>
  <w:footnote w:type="continuationSeparator" w:id="0">
    <w:p w14:paraId="4A0A0085" w14:textId="77777777" w:rsidR="00340009" w:rsidRDefault="0034000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45C9D"/>
    <w:multiLevelType w:val="hybridMultilevel"/>
    <w:tmpl w:val="AD588BF8"/>
    <w:lvl w:ilvl="0" w:tplc="FDFA1B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9A7BB5"/>
    <w:multiLevelType w:val="hybridMultilevel"/>
    <w:tmpl w:val="58566BD4"/>
    <w:lvl w:ilvl="0" w:tplc="695A01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AC24503"/>
    <w:multiLevelType w:val="hybridMultilevel"/>
    <w:tmpl w:val="A574C8F4"/>
    <w:lvl w:ilvl="0" w:tplc="501001D4">
      <w:numFmt w:val="bullet"/>
      <w:lvlText w:val="-"/>
      <w:lvlJc w:val="left"/>
      <w:pPr>
        <w:ind w:left="720" w:hanging="360"/>
      </w:pPr>
      <w:rPr>
        <w:rFonts w:ascii="Calibri" w:eastAsiaTheme="minorEastAsia" w:hAnsi="Calibri" w:cs="Times New Roman" w:hint="default"/>
      </w:rPr>
    </w:lvl>
    <w:lvl w:ilvl="1" w:tplc="501001D4">
      <w:numFmt w:val="bullet"/>
      <w:lvlText w:val="-"/>
      <w:lvlJc w:val="left"/>
      <w:pPr>
        <w:ind w:left="1440" w:hanging="360"/>
      </w:pPr>
      <w:rPr>
        <w:rFonts w:ascii="Calibri" w:eastAsiaTheme="minorEastAsia" w:hAnsi="Calibri" w:cs="Times New Roman" w:hint="default"/>
      </w:rPr>
    </w:lvl>
    <w:lvl w:ilvl="2" w:tplc="501001D4">
      <w:numFmt w:val="bullet"/>
      <w:lvlText w:val="-"/>
      <w:lvlJc w:val="left"/>
      <w:pPr>
        <w:ind w:left="2160" w:hanging="360"/>
      </w:pPr>
      <w:rPr>
        <w:rFonts w:ascii="Calibri" w:eastAsiaTheme="minorEastAsia"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57A3D"/>
    <w:multiLevelType w:val="hybridMultilevel"/>
    <w:tmpl w:val="B85A06C4"/>
    <w:lvl w:ilvl="0" w:tplc="DFF4598E">
      <w:start w:val="1"/>
      <w:numFmt w:val="bullet"/>
      <w:lvlText w:val="•"/>
      <w:lvlJc w:val="left"/>
      <w:pPr>
        <w:tabs>
          <w:tab w:val="num" w:pos="720"/>
        </w:tabs>
        <w:ind w:left="720" w:hanging="360"/>
      </w:pPr>
      <w:rPr>
        <w:rFonts w:ascii="Arial" w:hAnsi="Arial" w:hint="default"/>
      </w:rPr>
    </w:lvl>
    <w:lvl w:ilvl="1" w:tplc="0E5C5A7C">
      <w:numFmt w:val="bullet"/>
      <w:lvlText w:val="–"/>
      <w:lvlJc w:val="left"/>
      <w:pPr>
        <w:tabs>
          <w:tab w:val="num" w:pos="1440"/>
        </w:tabs>
        <w:ind w:left="1440" w:hanging="360"/>
      </w:pPr>
      <w:rPr>
        <w:rFonts w:ascii="Calibri Light" w:hAnsi="Calibri Light" w:hint="default"/>
      </w:rPr>
    </w:lvl>
    <w:lvl w:ilvl="2" w:tplc="D61449CC" w:tentative="1">
      <w:start w:val="1"/>
      <w:numFmt w:val="bullet"/>
      <w:lvlText w:val="•"/>
      <w:lvlJc w:val="left"/>
      <w:pPr>
        <w:tabs>
          <w:tab w:val="num" w:pos="2160"/>
        </w:tabs>
        <w:ind w:left="2160" w:hanging="360"/>
      </w:pPr>
      <w:rPr>
        <w:rFonts w:ascii="Arial" w:hAnsi="Arial" w:hint="default"/>
      </w:rPr>
    </w:lvl>
    <w:lvl w:ilvl="3" w:tplc="80223A5E" w:tentative="1">
      <w:start w:val="1"/>
      <w:numFmt w:val="bullet"/>
      <w:lvlText w:val="•"/>
      <w:lvlJc w:val="left"/>
      <w:pPr>
        <w:tabs>
          <w:tab w:val="num" w:pos="2880"/>
        </w:tabs>
        <w:ind w:left="2880" w:hanging="360"/>
      </w:pPr>
      <w:rPr>
        <w:rFonts w:ascii="Arial" w:hAnsi="Arial" w:hint="default"/>
      </w:rPr>
    </w:lvl>
    <w:lvl w:ilvl="4" w:tplc="8FF08F46" w:tentative="1">
      <w:start w:val="1"/>
      <w:numFmt w:val="bullet"/>
      <w:lvlText w:val="•"/>
      <w:lvlJc w:val="left"/>
      <w:pPr>
        <w:tabs>
          <w:tab w:val="num" w:pos="3600"/>
        </w:tabs>
        <w:ind w:left="3600" w:hanging="360"/>
      </w:pPr>
      <w:rPr>
        <w:rFonts w:ascii="Arial" w:hAnsi="Arial" w:hint="default"/>
      </w:rPr>
    </w:lvl>
    <w:lvl w:ilvl="5" w:tplc="F600F0F8" w:tentative="1">
      <w:start w:val="1"/>
      <w:numFmt w:val="bullet"/>
      <w:lvlText w:val="•"/>
      <w:lvlJc w:val="left"/>
      <w:pPr>
        <w:tabs>
          <w:tab w:val="num" w:pos="4320"/>
        </w:tabs>
        <w:ind w:left="4320" w:hanging="360"/>
      </w:pPr>
      <w:rPr>
        <w:rFonts w:ascii="Arial" w:hAnsi="Arial" w:hint="default"/>
      </w:rPr>
    </w:lvl>
    <w:lvl w:ilvl="6" w:tplc="1290730E" w:tentative="1">
      <w:start w:val="1"/>
      <w:numFmt w:val="bullet"/>
      <w:lvlText w:val="•"/>
      <w:lvlJc w:val="left"/>
      <w:pPr>
        <w:tabs>
          <w:tab w:val="num" w:pos="5040"/>
        </w:tabs>
        <w:ind w:left="5040" w:hanging="360"/>
      </w:pPr>
      <w:rPr>
        <w:rFonts w:ascii="Arial" w:hAnsi="Arial" w:hint="default"/>
      </w:rPr>
    </w:lvl>
    <w:lvl w:ilvl="7" w:tplc="4EF46818" w:tentative="1">
      <w:start w:val="1"/>
      <w:numFmt w:val="bullet"/>
      <w:lvlText w:val="•"/>
      <w:lvlJc w:val="left"/>
      <w:pPr>
        <w:tabs>
          <w:tab w:val="num" w:pos="5760"/>
        </w:tabs>
        <w:ind w:left="5760" w:hanging="360"/>
      </w:pPr>
      <w:rPr>
        <w:rFonts w:ascii="Arial" w:hAnsi="Arial" w:hint="default"/>
      </w:rPr>
    </w:lvl>
    <w:lvl w:ilvl="8" w:tplc="BA2A7A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9233D1"/>
    <w:multiLevelType w:val="hybridMultilevel"/>
    <w:tmpl w:val="096CCCA2"/>
    <w:lvl w:ilvl="0" w:tplc="3152776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47362AD8"/>
    <w:multiLevelType w:val="hybridMultilevel"/>
    <w:tmpl w:val="F236AB14"/>
    <w:lvl w:ilvl="0" w:tplc="501001D4">
      <w:numFmt w:val="bullet"/>
      <w:lvlText w:val="-"/>
      <w:lvlJc w:val="left"/>
      <w:pPr>
        <w:ind w:left="720" w:hanging="360"/>
      </w:pPr>
      <w:rPr>
        <w:rFonts w:ascii="Calibri" w:eastAsiaTheme="minorEastAsia" w:hAnsi="Calibri" w:cs="Times New Roman" w:hint="default"/>
      </w:rPr>
    </w:lvl>
    <w:lvl w:ilvl="1" w:tplc="501001D4">
      <w:numFmt w:val="bullet"/>
      <w:lvlText w:val="-"/>
      <w:lvlJc w:val="left"/>
      <w:pPr>
        <w:ind w:left="1440" w:hanging="360"/>
      </w:pPr>
      <w:rPr>
        <w:rFonts w:ascii="Calibri" w:eastAsiaTheme="minorEastAsia" w:hAnsi="Calibri" w:cs="Times New Roman" w:hint="default"/>
      </w:rPr>
    </w:lvl>
    <w:lvl w:ilvl="2" w:tplc="501001D4">
      <w:numFmt w:val="bullet"/>
      <w:lvlText w:val="-"/>
      <w:lvlJc w:val="left"/>
      <w:pPr>
        <w:ind w:left="2160" w:hanging="360"/>
      </w:pPr>
      <w:rPr>
        <w:rFonts w:ascii="Calibri" w:eastAsiaTheme="minorEastAsia"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D55A61"/>
    <w:multiLevelType w:val="hybridMultilevel"/>
    <w:tmpl w:val="0986D3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072BC2"/>
    <w:multiLevelType w:val="hybridMultilevel"/>
    <w:tmpl w:val="8534BA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2"/>
  </w:num>
  <w:num w:numId="3">
    <w:abstractNumId w:val="26"/>
  </w:num>
  <w:num w:numId="4">
    <w:abstractNumId w:val="18"/>
  </w:num>
  <w:num w:numId="5">
    <w:abstractNumId w:val="10"/>
  </w:num>
  <w:num w:numId="6">
    <w:abstractNumId w:val="8"/>
  </w:num>
  <w:num w:numId="7">
    <w:abstractNumId w:val="31"/>
  </w:num>
  <w:num w:numId="8">
    <w:abstractNumId w:val="30"/>
  </w:num>
  <w:num w:numId="9">
    <w:abstractNumId w:val="1"/>
  </w:num>
  <w:num w:numId="10">
    <w:abstractNumId w:val="7"/>
  </w:num>
  <w:num w:numId="11">
    <w:abstractNumId w:val="23"/>
  </w:num>
  <w:num w:numId="12">
    <w:abstractNumId w:val="29"/>
  </w:num>
  <w:num w:numId="13">
    <w:abstractNumId w:val="28"/>
  </w:num>
  <w:num w:numId="14">
    <w:abstractNumId w:val="6"/>
  </w:num>
  <w:num w:numId="15">
    <w:abstractNumId w:val="19"/>
  </w:num>
  <w:num w:numId="16">
    <w:abstractNumId w:val="13"/>
  </w:num>
  <w:num w:numId="17">
    <w:abstractNumId w:val="27"/>
  </w:num>
  <w:num w:numId="18">
    <w:abstractNumId w:val="2"/>
  </w:num>
  <w:num w:numId="19">
    <w:abstractNumId w:val="22"/>
  </w:num>
  <w:num w:numId="20">
    <w:abstractNumId w:val="11"/>
  </w:num>
  <w:num w:numId="21">
    <w:abstractNumId w:val="21"/>
  </w:num>
  <w:num w:numId="22">
    <w:abstractNumId w:val="4"/>
  </w:num>
  <w:num w:numId="23">
    <w:abstractNumId w:val="3"/>
  </w:num>
  <w:num w:numId="24">
    <w:abstractNumId w:val="20"/>
  </w:num>
  <w:num w:numId="25">
    <w:abstractNumId w:val="18"/>
  </w:num>
  <w:num w:numId="26">
    <w:abstractNumId w:val="12"/>
  </w:num>
  <w:num w:numId="27">
    <w:abstractNumId w:val="15"/>
  </w:num>
  <w:num w:numId="28">
    <w:abstractNumId w:val="14"/>
  </w:num>
  <w:num w:numId="29">
    <w:abstractNumId w:val="17"/>
  </w:num>
  <w:num w:numId="30">
    <w:abstractNumId w:val="9"/>
  </w:num>
  <w:num w:numId="31">
    <w:abstractNumId w:val="25"/>
  </w:num>
  <w:num w:numId="32">
    <w:abstractNumId w:val="24"/>
  </w:num>
  <w:num w:numId="33">
    <w:abstractNumId w:val="5"/>
  </w:num>
  <w:num w:numId="3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A74"/>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991"/>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89A"/>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0C6"/>
    <w:rsid w:val="00084136"/>
    <w:rsid w:val="000841A0"/>
    <w:rsid w:val="000841FD"/>
    <w:rsid w:val="00084612"/>
    <w:rsid w:val="00084A61"/>
    <w:rsid w:val="00084A9F"/>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6D81"/>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4BD"/>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56A"/>
    <w:rsid w:val="000E3BF5"/>
    <w:rsid w:val="000E3C08"/>
    <w:rsid w:val="000E3D64"/>
    <w:rsid w:val="000E40A2"/>
    <w:rsid w:val="000E4614"/>
    <w:rsid w:val="000E4A18"/>
    <w:rsid w:val="000E4A4B"/>
    <w:rsid w:val="000E4C40"/>
    <w:rsid w:val="000E4E1A"/>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896"/>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4B7"/>
    <w:rsid w:val="00105747"/>
    <w:rsid w:val="00106DAC"/>
    <w:rsid w:val="00106F4F"/>
    <w:rsid w:val="001070F3"/>
    <w:rsid w:val="0010742C"/>
    <w:rsid w:val="00110F55"/>
    <w:rsid w:val="001115FE"/>
    <w:rsid w:val="001118BE"/>
    <w:rsid w:val="00111A08"/>
    <w:rsid w:val="00112549"/>
    <w:rsid w:val="00112C63"/>
    <w:rsid w:val="00113F64"/>
    <w:rsid w:val="001140CD"/>
    <w:rsid w:val="001140EB"/>
    <w:rsid w:val="00114754"/>
    <w:rsid w:val="00114768"/>
    <w:rsid w:val="00114F8D"/>
    <w:rsid w:val="00114FCA"/>
    <w:rsid w:val="00116501"/>
    <w:rsid w:val="00116B68"/>
    <w:rsid w:val="0011714D"/>
    <w:rsid w:val="001203EA"/>
    <w:rsid w:val="0012044E"/>
    <w:rsid w:val="001208C1"/>
    <w:rsid w:val="00120EEF"/>
    <w:rsid w:val="00121643"/>
    <w:rsid w:val="00121DA7"/>
    <w:rsid w:val="001220AF"/>
    <w:rsid w:val="00122655"/>
    <w:rsid w:val="001227B6"/>
    <w:rsid w:val="001229C5"/>
    <w:rsid w:val="0012389B"/>
    <w:rsid w:val="00123A2D"/>
    <w:rsid w:val="00123BA6"/>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1D84"/>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67C"/>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1E05"/>
    <w:rsid w:val="00182276"/>
    <w:rsid w:val="001825A1"/>
    <w:rsid w:val="001825B0"/>
    <w:rsid w:val="0018272A"/>
    <w:rsid w:val="001828DC"/>
    <w:rsid w:val="00183DDA"/>
    <w:rsid w:val="00183FA9"/>
    <w:rsid w:val="00185C96"/>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0FA8"/>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1AF"/>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6E6"/>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200"/>
    <w:rsid w:val="0021459D"/>
    <w:rsid w:val="00214A8B"/>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727"/>
    <w:rsid w:val="00225B66"/>
    <w:rsid w:val="0022635D"/>
    <w:rsid w:val="002264E0"/>
    <w:rsid w:val="002269E2"/>
    <w:rsid w:val="00226AFA"/>
    <w:rsid w:val="00226F21"/>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B5F"/>
    <w:rsid w:val="00234CCA"/>
    <w:rsid w:val="00234F18"/>
    <w:rsid w:val="00235E9C"/>
    <w:rsid w:val="002407FF"/>
    <w:rsid w:val="0024094C"/>
    <w:rsid w:val="00240FA7"/>
    <w:rsid w:val="00240FC8"/>
    <w:rsid w:val="00241241"/>
    <w:rsid w:val="00243012"/>
    <w:rsid w:val="00243E36"/>
    <w:rsid w:val="002440BD"/>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7B9"/>
    <w:rsid w:val="0028195F"/>
    <w:rsid w:val="00281A65"/>
    <w:rsid w:val="00281CC8"/>
    <w:rsid w:val="00282096"/>
    <w:rsid w:val="002824E6"/>
    <w:rsid w:val="00282DB9"/>
    <w:rsid w:val="00282F7A"/>
    <w:rsid w:val="0028383A"/>
    <w:rsid w:val="00283911"/>
    <w:rsid w:val="0028484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ECC"/>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67"/>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A3A"/>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FDA"/>
    <w:rsid w:val="00332D39"/>
    <w:rsid w:val="00333816"/>
    <w:rsid w:val="00334A4B"/>
    <w:rsid w:val="003350F4"/>
    <w:rsid w:val="00335B2A"/>
    <w:rsid w:val="00336B0A"/>
    <w:rsid w:val="00337CAA"/>
    <w:rsid w:val="00337E7A"/>
    <w:rsid w:val="00337F2A"/>
    <w:rsid w:val="00340009"/>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38E1"/>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766"/>
    <w:rsid w:val="003D69F9"/>
    <w:rsid w:val="003D7326"/>
    <w:rsid w:val="003D7442"/>
    <w:rsid w:val="003D7654"/>
    <w:rsid w:val="003D77DA"/>
    <w:rsid w:val="003E01D0"/>
    <w:rsid w:val="003E0211"/>
    <w:rsid w:val="003E03A0"/>
    <w:rsid w:val="003E084A"/>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ADA"/>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275"/>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3F"/>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5D0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761"/>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49D6"/>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3F0"/>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48"/>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7BB"/>
    <w:rsid w:val="004E5CF9"/>
    <w:rsid w:val="004E625A"/>
    <w:rsid w:val="004E6371"/>
    <w:rsid w:val="004E66FC"/>
    <w:rsid w:val="004E6880"/>
    <w:rsid w:val="004E6D90"/>
    <w:rsid w:val="004E72D5"/>
    <w:rsid w:val="004E739B"/>
    <w:rsid w:val="004F0DC8"/>
    <w:rsid w:val="004F19B9"/>
    <w:rsid w:val="004F1AE1"/>
    <w:rsid w:val="004F25A6"/>
    <w:rsid w:val="004F2C7B"/>
    <w:rsid w:val="004F2CE6"/>
    <w:rsid w:val="004F2EA8"/>
    <w:rsid w:val="004F3BF2"/>
    <w:rsid w:val="004F3C11"/>
    <w:rsid w:val="004F471E"/>
    <w:rsid w:val="004F487D"/>
    <w:rsid w:val="004F51D9"/>
    <w:rsid w:val="004F5473"/>
    <w:rsid w:val="004F5621"/>
    <w:rsid w:val="004F5A4B"/>
    <w:rsid w:val="004F66B3"/>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4A82"/>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4E7"/>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4ECC"/>
    <w:rsid w:val="005561B3"/>
    <w:rsid w:val="005562F0"/>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66F90"/>
    <w:rsid w:val="00570147"/>
    <w:rsid w:val="00570834"/>
    <w:rsid w:val="00570B3B"/>
    <w:rsid w:val="00570BCE"/>
    <w:rsid w:val="00570ECF"/>
    <w:rsid w:val="00570FF2"/>
    <w:rsid w:val="005710CD"/>
    <w:rsid w:val="00571783"/>
    <w:rsid w:val="0057234B"/>
    <w:rsid w:val="005729F8"/>
    <w:rsid w:val="00573532"/>
    <w:rsid w:val="00573657"/>
    <w:rsid w:val="00573742"/>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DA5"/>
    <w:rsid w:val="00586E3D"/>
    <w:rsid w:val="005873D1"/>
    <w:rsid w:val="00587FB5"/>
    <w:rsid w:val="005905C4"/>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401"/>
    <w:rsid w:val="005A3F1D"/>
    <w:rsid w:val="005A510E"/>
    <w:rsid w:val="005A51DD"/>
    <w:rsid w:val="005A61FF"/>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3FFC"/>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F8D"/>
    <w:rsid w:val="005F0D25"/>
    <w:rsid w:val="005F13EC"/>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395D"/>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5E66"/>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0BE"/>
    <w:rsid w:val="0067520C"/>
    <w:rsid w:val="006754D9"/>
    <w:rsid w:val="00675AC0"/>
    <w:rsid w:val="00675FB6"/>
    <w:rsid w:val="00676046"/>
    <w:rsid w:val="00676499"/>
    <w:rsid w:val="00676F7A"/>
    <w:rsid w:val="00677541"/>
    <w:rsid w:val="00677880"/>
    <w:rsid w:val="00677D06"/>
    <w:rsid w:val="006804E4"/>
    <w:rsid w:val="0068092E"/>
    <w:rsid w:val="006818E3"/>
    <w:rsid w:val="006819D2"/>
    <w:rsid w:val="00681A51"/>
    <w:rsid w:val="00682140"/>
    <w:rsid w:val="006823E3"/>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4EEA"/>
    <w:rsid w:val="00695854"/>
    <w:rsid w:val="00696EDC"/>
    <w:rsid w:val="00697139"/>
    <w:rsid w:val="006972B1"/>
    <w:rsid w:val="0069732A"/>
    <w:rsid w:val="0069745B"/>
    <w:rsid w:val="006A05B7"/>
    <w:rsid w:val="006A0CB8"/>
    <w:rsid w:val="006A0CF3"/>
    <w:rsid w:val="006A11C0"/>
    <w:rsid w:val="006A19C6"/>
    <w:rsid w:val="006A3712"/>
    <w:rsid w:val="006A39C1"/>
    <w:rsid w:val="006A3D64"/>
    <w:rsid w:val="006A3E5E"/>
    <w:rsid w:val="006A4181"/>
    <w:rsid w:val="006A4C5A"/>
    <w:rsid w:val="006A5923"/>
    <w:rsid w:val="006A5EDB"/>
    <w:rsid w:val="006A6641"/>
    <w:rsid w:val="006A68E1"/>
    <w:rsid w:val="006A6E87"/>
    <w:rsid w:val="006A6E99"/>
    <w:rsid w:val="006A712C"/>
    <w:rsid w:val="006A773A"/>
    <w:rsid w:val="006A784B"/>
    <w:rsid w:val="006A79D8"/>
    <w:rsid w:val="006A7AF9"/>
    <w:rsid w:val="006B024B"/>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5A8"/>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29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B66"/>
    <w:rsid w:val="00722779"/>
    <w:rsid w:val="00722887"/>
    <w:rsid w:val="00722B63"/>
    <w:rsid w:val="00723171"/>
    <w:rsid w:val="0072321A"/>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249"/>
    <w:rsid w:val="0073254A"/>
    <w:rsid w:val="00733293"/>
    <w:rsid w:val="0073419A"/>
    <w:rsid w:val="00734460"/>
    <w:rsid w:val="00734773"/>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337"/>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A0"/>
    <w:rsid w:val="00783D20"/>
    <w:rsid w:val="00784C4F"/>
    <w:rsid w:val="00784EEA"/>
    <w:rsid w:val="0078505E"/>
    <w:rsid w:val="00785328"/>
    <w:rsid w:val="00785762"/>
    <w:rsid w:val="00786343"/>
    <w:rsid w:val="0078647D"/>
    <w:rsid w:val="0078654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2F0"/>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47BD"/>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433"/>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363"/>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855"/>
    <w:rsid w:val="00886332"/>
    <w:rsid w:val="00886843"/>
    <w:rsid w:val="00886A31"/>
    <w:rsid w:val="00886D16"/>
    <w:rsid w:val="00886D63"/>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7E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540D"/>
    <w:rsid w:val="008A63BD"/>
    <w:rsid w:val="008A640C"/>
    <w:rsid w:val="008A68E0"/>
    <w:rsid w:val="008A6CD8"/>
    <w:rsid w:val="008A735B"/>
    <w:rsid w:val="008A739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018C"/>
    <w:rsid w:val="008C1080"/>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2D2"/>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2C06"/>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73E"/>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4D1"/>
    <w:rsid w:val="008F49A8"/>
    <w:rsid w:val="008F4D41"/>
    <w:rsid w:val="008F4E76"/>
    <w:rsid w:val="008F4E95"/>
    <w:rsid w:val="008F53A4"/>
    <w:rsid w:val="008F53E4"/>
    <w:rsid w:val="008F5E77"/>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53"/>
    <w:rsid w:val="009668BA"/>
    <w:rsid w:val="009674AF"/>
    <w:rsid w:val="00967C1C"/>
    <w:rsid w:val="0097042E"/>
    <w:rsid w:val="009704E4"/>
    <w:rsid w:val="00970940"/>
    <w:rsid w:val="009713EC"/>
    <w:rsid w:val="0097167E"/>
    <w:rsid w:val="00971DB8"/>
    <w:rsid w:val="00971E6A"/>
    <w:rsid w:val="009723C4"/>
    <w:rsid w:val="00972708"/>
    <w:rsid w:val="00972B15"/>
    <w:rsid w:val="00973568"/>
    <w:rsid w:val="00973967"/>
    <w:rsid w:val="00973A8D"/>
    <w:rsid w:val="0097488E"/>
    <w:rsid w:val="00974896"/>
    <w:rsid w:val="00974C48"/>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550"/>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01B"/>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1541"/>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73C"/>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A6E"/>
    <w:rsid w:val="00A43B5B"/>
    <w:rsid w:val="00A43FFF"/>
    <w:rsid w:val="00A441F0"/>
    <w:rsid w:val="00A442A4"/>
    <w:rsid w:val="00A4462A"/>
    <w:rsid w:val="00A44B28"/>
    <w:rsid w:val="00A44DA5"/>
    <w:rsid w:val="00A44EDF"/>
    <w:rsid w:val="00A45966"/>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81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6B7C"/>
    <w:rsid w:val="00A87345"/>
    <w:rsid w:val="00A8760D"/>
    <w:rsid w:val="00A87DB8"/>
    <w:rsid w:val="00A87E99"/>
    <w:rsid w:val="00A87FD5"/>
    <w:rsid w:val="00A901E8"/>
    <w:rsid w:val="00A90345"/>
    <w:rsid w:val="00A91176"/>
    <w:rsid w:val="00A91609"/>
    <w:rsid w:val="00A91910"/>
    <w:rsid w:val="00A924D0"/>
    <w:rsid w:val="00A938A9"/>
    <w:rsid w:val="00A93FAD"/>
    <w:rsid w:val="00A944DA"/>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0CD"/>
    <w:rsid w:val="00AA1122"/>
    <w:rsid w:val="00AA11BC"/>
    <w:rsid w:val="00AA127E"/>
    <w:rsid w:val="00AA305D"/>
    <w:rsid w:val="00AA3BC3"/>
    <w:rsid w:val="00AA3DB9"/>
    <w:rsid w:val="00AA3DF3"/>
    <w:rsid w:val="00AA4005"/>
    <w:rsid w:val="00AA424B"/>
    <w:rsid w:val="00AA48A3"/>
    <w:rsid w:val="00AA50FA"/>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1B6"/>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9AF"/>
    <w:rsid w:val="00B06D47"/>
    <w:rsid w:val="00B06EB3"/>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E17"/>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BC0"/>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0D3"/>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668E"/>
    <w:rsid w:val="00B772AF"/>
    <w:rsid w:val="00B7790A"/>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9EE"/>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2E92"/>
    <w:rsid w:val="00BA3DCA"/>
    <w:rsid w:val="00BA4886"/>
    <w:rsid w:val="00BA4B65"/>
    <w:rsid w:val="00BA4C30"/>
    <w:rsid w:val="00BA4FBC"/>
    <w:rsid w:val="00BA51D9"/>
    <w:rsid w:val="00BA598D"/>
    <w:rsid w:val="00BA660E"/>
    <w:rsid w:val="00BA6A2E"/>
    <w:rsid w:val="00BA7313"/>
    <w:rsid w:val="00BA7776"/>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2C2"/>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3868"/>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724"/>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BBA"/>
    <w:rsid w:val="00C01273"/>
    <w:rsid w:val="00C01B69"/>
    <w:rsid w:val="00C01E7B"/>
    <w:rsid w:val="00C027B7"/>
    <w:rsid w:val="00C029B2"/>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0CFA"/>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28C"/>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0D07"/>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5D5"/>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1E5"/>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19"/>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CC5"/>
    <w:rsid w:val="00CC0902"/>
    <w:rsid w:val="00CC0A4D"/>
    <w:rsid w:val="00CC109E"/>
    <w:rsid w:val="00CC17F5"/>
    <w:rsid w:val="00CC252D"/>
    <w:rsid w:val="00CC38C6"/>
    <w:rsid w:val="00CC39AE"/>
    <w:rsid w:val="00CC3C81"/>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0F82"/>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CF7F55"/>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0DEF"/>
    <w:rsid w:val="00D51937"/>
    <w:rsid w:val="00D519ED"/>
    <w:rsid w:val="00D536C4"/>
    <w:rsid w:val="00D53CF2"/>
    <w:rsid w:val="00D53FC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49"/>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513"/>
    <w:rsid w:val="00D91B2E"/>
    <w:rsid w:val="00D91B9B"/>
    <w:rsid w:val="00D91E26"/>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2A0"/>
    <w:rsid w:val="00DA5D92"/>
    <w:rsid w:val="00DA5EEF"/>
    <w:rsid w:val="00DA6C64"/>
    <w:rsid w:val="00DA714E"/>
    <w:rsid w:val="00DB0750"/>
    <w:rsid w:val="00DB0A15"/>
    <w:rsid w:val="00DB0AA4"/>
    <w:rsid w:val="00DB0DF6"/>
    <w:rsid w:val="00DB1797"/>
    <w:rsid w:val="00DB1CCA"/>
    <w:rsid w:val="00DB23DF"/>
    <w:rsid w:val="00DB2AB2"/>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30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500"/>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2B26"/>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569"/>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6D21"/>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561E"/>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9AF"/>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1E5"/>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3CEE"/>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0CD"/>
    <w:rsid w:val="00EE44B3"/>
    <w:rsid w:val="00EE46D5"/>
    <w:rsid w:val="00EE4DA5"/>
    <w:rsid w:val="00EE5161"/>
    <w:rsid w:val="00EE5350"/>
    <w:rsid w:val="00EE6A19"/>
    <w:rsid w:val="00EE6AF3"/>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D6"/>
    <w:rsid w:val="00EF6360"/>
    <w:rsid w:val="00EF66D0"/>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0D56"/>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DA7"/>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6ACE"/>
    <w:rsid w:val="00F67020"/>
    <w:rsid w:val="00F671A7"/>
    <w:rsid w:val="00F67389"/>
    <w:rsid w:val="00F6776B"/>
    <w:rsid w:val="00F67A37"/>
    <w:rsid w:val="00F70EE2"/>
    <w:rsid w:val="00F71303"/>
    <w:rsid w:val="00F714BB"/>
    <w:rsid w:val="00F71F2F"/>
    <w:rsid w:val="00F72551"/>
    <w:rsid w:val="00F745E3"/>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475"/>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d"/>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6875074">
      <w:bodyDiv w:val="1"/>
      <w:marLeft w:val="0"/>
      <w:marRight w:val="0"/>
      <w:marTop w:val="0"/>
      <w:marBottom w:val="0"/>
      <w:divBdr>
        <w:top w:val="none" w:sz="0" w:space="0" w:color="auto"/>
        <w:left w:val="none" w:sz="0" w:space="0" w:color="auto"/>
        <w:bottom w:val="none" w:sz="0" w:space="0" w:color="auto"/>
        <w:right w:val="none" w:sz="0" w:space="0" w:color="auto"/>
      </w:divBdr>
      <w:divsChild>
        <w:div w:id="359016787">
          <w:marLeft w:val="432"/>
          <w:marRight w:val="0"/>
          <w:marTop w:val="240"/>
          <w:marBottom w:val="0"/>
          <w:divBdr>
            <w:top w:val="none" w:sz="0" w:space="0" w:color="auto"/>
            <w:left w:val="none" w:sz="0" w:space="0" w:color="auto"/>
            <w:bottom w:val="none" w:sz="0" w:space="0" w:color="auto"/>
            <w:right w:val="none" w:sz="0" w:space="0" w:color="auto"/>
          </w:divBdr>
        </w:div>
        <w:div w:id="1543709076">
          <w:marLeft w:val="1267"/>
          <w:marRight w:val="0"/>
          <w:marTop w:val="180"/>
          <w:marBottom w:val="0"/>
          <w:divBdr>
            <w:top w:val="none" w:sz="0" w:space="0" w:color="auto"/>
            <w:left w:val="none" w:sz="0" w:space="0" w:color="auto"/>
            <w:bottom w:val="none" w:sz="0" w:space="0" w:color="auto"/>
            <w:right w:val="none" w:sz="0" w:space="0" w:color="auto"/>
          </w:divBdr>
        </w:div>
        <w:div w:id="395470100">
          <w:marLeft w:val="1267"/>
          <w:marRight w:val="0"/>
          <w:marTop w:val="180"/>
          <w:marBottom w:val="0"/>
          <w:divBdr>
            <w:top w:val="none" w:sz="0" w:space="0" w:color="auto"/>
            <w:left w:val="none" w:sz="0" w:space="0" w:color="auto"/>
            <w:bottom w:val="none" w:sz="0" w:space="0" w:color="auto"/>
            <w:right w:val="none" w:sz="0" w:space="0" w:color="auto"/>
          </w:divBdr>
        </w:div>
        <w:div w:id="611328333">
          <w:marLeft w:val="432"/>
          <w:marRight w:val="0"/>
          <w:marTop w:val="240"/>
          <w:marBottom w:val="0"/>
          <w:divBdr>
            <w:top w:val="none" w:sz="0" w:space="0" w:color="auto"/>
            <w:left w:val="none" w:sz="0" w:space="0" w:color="auto"/>
            <w:bottom w:val="none" w:sz="0" w:space="0" w:color="auto"/>
            <w:right w:val="none" w:sz="0" w:space="0" w:color="auto"/>
          </w:divBdr>
        </w:div>
        <w:div w:id="1869904369">
          <w:marLeft w:val="432"/>
          <w:marRight w:val="0"/>
          <w:marTop w:val="240"/>
          <w:marBottom w:val="0"/>
          <w:divBdr>
            <w:top w:val="none" w:sz="0" w:space="0" w:color="auto"/>
            <w:left w:val="none" w:sz="0" w:space="0" w:color="auto"/>
            <w:bottom w:val="none" w:sz="0" w:space="0" w:color="auto"/>
            <w:right w:val="none" w:sz="0" w:space="0" w:color="auto"/>
          </w:divBdr>
        </w:div>
        <w:div w:id="1278753531">
          <w:marLeft w:val="432"/>
          <w:marRight w:val="0"/>
          <w:marTop w:val="240"/>
          <w:marBottom w:val="0"/>
          <w:divBdr>
            <w:top w:val="none" w:sz="0" w:space="0" w:color="auto"/>
            <w:left w:val="none" w:sz="0" w:space="0" w:color="auto"/>
            <w:bottom w:val="none" w:sz="0" w:space="0" w:color="auto"/>
            <w:right w:val="none" w:sz="0" w:space="0" w:color="auto"/>
          </w:divBdr>
        </w:div>
        <w:div w:id="1024479934">
          <w:marLeft w:val="1267"/>
          <w:marRight w:val="0"/>
          <w:marTop w:val="180"/>
          <w:marBottom w:val="0"/>
          <w:divBdr>
            <w:top w:val="none" w:sz="0" w:space="0" w:color="auto"/>
            <w:left w:val="none" w:sz="0" w:space="0" w:color="auto"/>
            <w:bottom w:val="none" w:sz="0" w:space="0" w:color="auto"/>
            <w:right w:val="none" w:sz="0" w:space="0" w:color="auto"/>
          </w:divBdr>
        </w:div>
        <w:div w:id="183446595">
          <w:marLeft w:val="1267"/>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4333279">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3708710">
      <w:bodyDiv w:val="1"/>
      <w:marLeft w:val="0"/>
      <w:marRight w:val="0"/>
      <w:marTop w:val="0"/>
      <w:marBottom w:val="0"/>
      <w:divBdr>
        <w:top w:val="none" w:sz="0" w:space="0" w:color="auto"/>
        <w:left w:val="none" w:sz="0" w:space="0" w:color="auto"/>
        <w:bottom w:val="none" w:sz="0" w:space="0" w:color="auto"/>
        <w:right w:val="none" w:sz="0" w:space="0" w:color="auto"/>
      </w:divBdr>
      <w:divsChild>
        <w:div w:id="1282491567">
          <w:marLeft w:val="432"/>
          <w:marRight w:val="0"/>
          <w:marTop w:val="240"/>
          <w:marBottom w:val="0"/>
          <w:divBdr>
            <w:top w:val="none" w:sz="0" w:space="0" w:color="auto"/>
            <w:left w:val="none" w:sz="0" w:space="0" w:color="auto"/>
            <w:bottom w:val="none" w:sz="0" w:space="0" w:color="auto"/>
            <w:right w:val="none" w:sz="0" w:space="0" w:color="auto"/>
          </w:divBdr>
        </w:div>
        <w:div w:id="878781545">
          <w:marLeft w:val="432"/>
          <w:marRight w:val="0"/>
          <w:marTop w:val="240"/>
          <w:marBottom w:val="0"/>
          <w:divBdr>
            <w:top w:val="none" w:sz="0" w:space="0" w:color="auto"/>
            <w:left w:val="none" w:sz="0" w:space="0" w:color="auto"/>
            <w:bottom w:val="none" w:sz="0" w:space="0" w:color="auto"/>
            <w:right w:val="none" w:sz="0" w:space="0" w:color="auto"/>
          </w:divBdr>
        </w:div>
        <w:div w:id="1775979712">
          <w:marLeft w:val="432"/>
          <w:marRight w:val="0"/>
          <w:marTop w:val="240"/>
          <w:marBottom w:val="0"/>
          <w:divBdr>
            <w:top w:val="none" w:sz="0" w:space="0" w:color="auto"/>
            <w:left w:val="none" w:sz="0" w:space="0" w:color="auto"/>
            <w:bottom w:val="none" w:sz="0" w:space="0" w:color="auto"/>
            <w:right w:val="none" w:sz="0" w:space="0" w:color="auto"/>
          </w:divBdr>
        </w:div>
        <w:div w:id="1434085426">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3CCADB-DA62-4DE5-98DF-3D075700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1959</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 (鄭名淵)</dc:creator>
  <cp:keywords/>
  <dc:description/>
  <cp:lastModifiedBy>Ming-Yuan Cheng</cp:lastModifiedBy>
  <cp:revision>230</cp:revision>
  <cp:lastPrinted>2007-12-21T03:58:00Z</cp:lastPrinted>
  <dcterms:created xsi:type="dcterms:W3CDTF">2020-03-24T07:43:00Z</dcterms:created>
  <dcterms:modified xsi:type="dcterms:W3CDTF">2020-10-23T06:11:00Z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