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CEE89D" w14:textId="0A8F686C" w:rsidR="00446965" w:rsidRDefault="0062356C">
      <w:pPr>
        <w:keepLines/>
        <w:widowControl/>
        <w:tabs>
          <w:tab w:val="left" w:pos="567"/>
        </w:tabs>
        <w:adjustRightInd w:val="0"/>
        <w:snapToGrid w:val="0"/>
        <w:spacing w:after="0" w:line="276" w:lineRule="auto"/>
        <w:jc w:val="left"/>
        <w:rPr>
          <w:rFonts w:eastAsia="SimSun" w:cs="Arial"/>
          <w:b/>
          <w:kern w:val="0"/>
          <w:sz w:val="28"/>
          <w:szCs w:val="28"/>
          <w:lang w:val="en-US" w:eastAsia="en-US"/>
        </w:rPr>
      </w:pPr>
      <w:r>
        <w:rPr>
          <w:rFonts w:eastAsia="SimSun" w:cs="Arial"/>
          <w:b/>
          <w:kern w:val="0"/>
          <w:sz w:val="28"/>
          <w:szCs w:val="28"/>
          <w:lang w:val="en-US" w:eastAsia="en-US"/>
        </w:rPr>
        <w:t>3GPP TSG-RAN2#112e</w:t>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sidR="002843CF">
        <w:rPr>
          <w:rFonts w:eastAsia="SimSun" w:cs="Arial"/>
          <w:b/>
          <w:kern w:val="0"/>
          <w:sz w:val="28"/>
          <w:szCs w:val="28"/>
          <w:lang w:val="en-US" w:eastAsia="en-US"/>
        </w:rPr>
        <w:tab/>
      </w:r>
      <w:r w:rsidR="00532B61" w:rsidRPr="00532B61">
        <w:rPr>
          <w:rFonts w:eastAsia="SimSun" w:cs="Arial"/>
          <w:b/>
          <w:kern w:val="0"/>
          <w:sz w:val="28"/>
          <w:szCs w:val="28"/>
          <w:lang w:val="en-US" w:eastAsia="en-US"/>
        </w:rPr>
        <w:t>R2-2009190</w:t>
      </w:r>
    </w:p>
    <w:p w14:paraId="25BE9ED6" w14:textId="1E7E0813" w:rsidR="00446965" w:rsidRDefault="00532B61">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02-13 November</w:t>
      </w:r>
      <w:r w:rsidR="0062356C">
        <w:rPr>
          <w:rFonts w:eastAsia="SimSun" w:cs="Arial"/>
          <w:b/>
          <w:kern w:val="0"/>
          <w:sz w:val="28"/>
          <w:szCs w:val="28"/>
          <w:lang w:val="en-US" w:eastAsia="en-US"/>
        </w:rPr>
        <w:t xml:space="preserve">, </w:t>
      </w:r>
      <w:r>
        <w:rPr>
          <w:rFonts w:eastAsia="SimSun" w:cs="Arial"/>
          <w:b/>
          <w:kern w:val="0"/>
          <w:sz w:val="28"/>
          <w:szCs w:val="28"/>
          <w:lang w:val="en-US" w:eastAsia="en-US"/>
        </w:rPr>
        <w:t>2020</w:t>
      </w:r>
      <w:r w:rsidR="0062356C">
        <w:rPr>
          <w:rFonts w:eastAsia="SimSun" w:cs="Arial"/>
          <w:b/>
          <w:kern w:val="0"/>
          <w:sz w:val="28"/>
          <w:szCs w:val="28"/>
          <w:lang w:val="en-US" w:eastAsia="en-US"/>
        </w:rPr>
        <w:tab/>
      </w:r>
      <w:r w:rsidR="0062356C">
        <w:rPr>
          <w:rFonts w:cs="Arial"/>
          <w:b/>
          <w:bCs/>
          <w:kern w:val="0"/>
          <w:sz w:val="28"/>
          <w:szCs w:val="28"/>
        </w:rPr>
        <w:tab/>
        <w:t xml:space="preserve">      </w:t>
      </w:r>
      <w:r w:rsidR="0062356C">
        <w:rPr>
          <w:rFonts w:cs="Arial"/>
          <w:b/>
          <w:bCs/>
          <w:color w:val="D9D9D9" w:themeColor="background1" w:themeShade="D9"/>
          <w:kern w:val="0"/>
          <w:sz w:val="20"/>
          <w:szCs w:val="28"/>
        </w:rPr>
        <w:t xml:space="preserve">   </w:t>
      </w:r>
    </w:p>
    <w:p w14:paraId="1CE03C61" w14:textId="77777777" w:rsidR="00446965" w:rsidRDefault="0062356C">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61791766" w14:textId="77777777" w:rsidR="00446965" w:rsidRDefault="0062356C">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 xml:space="preserve">Control plane aspects of SDT </w:t>
      </w:r>
    </w:p>
    <w:p w14:paraId="7D838CCD" w14:textId="5C2C1399" w:rsidR="00446965" w:rsidRDefault="0062356C">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0" w:name="Source"/>
      <w:bookmarkEnd w:id="0"/>
      <w:r w:rsidR="00532B61">
        <w:rPr>
          <w:rFonts w:cs="Arial"/>
          <w:b/>
          <w:bCs/>
          <w:snapToGrid w:val="0"/>
          <w:kern w:val="0"/>
          <w:sz w:val="28"/>
          <w:szCs w:val="28"/>
        </w:rPr>
        <w:t>8.6.3</w:t>
      </w:r>
    </w:p>
    <w:p w14:paraId="3ABD9221" w14:textId="21F8B17F" w:rsidR="00446965" w:rsidRDefault="0062356C">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1" w:name="DocumentFor"/>
      <w:bookmarkEnd w:id="1"/>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159BC6FF" w14:textId="77777777" w:rsidR="00446965" w:rsidRDefault="0062356C">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2" w:name="_Toc18413600"/>
      <w:bookmarkStart w:id="3" w:name="_Toc18404533"/>
      <w:bookmarkStart w:id="4" w:name="_Toc18403966"/>
      <w:r>
        <w:rPr>
          <w:rFonts w:cs="Arial"/>
          <w:b w:val="0"/>
          <w:bCs w:val="0"/>
          <w:kern w:val="0"/>
          <w:sz w:val="32"/>
          <w:szCs w:val="36"/>
        </w:rPr>
        <w:t>Introduction</w:t>
      </w:r>
      <w:bookmarkEnd w:id="2"/>
      <w:bookmarkEnd w:id="3"/>
      <w:bookmarkEnd w:id="4"/>
    </w:p>
    <w:p w14:paraId="142DD14C" w14:textId="77777777" w:rsidR="00446965" w:rsidRDefault="0062356C">
      <w:pPr>
        <w:pStyle w:val="NormalWeb"/>
        <w:spacing w:before="75" w:beforeAutospacing="0" w:after="75" w:afterAutospacing="0" w:line="315" w:lineRule="atLeast"/>
      </w:pPr>
      <w:r>
        <w:rPr>
          <w:rFonts w:cs="Arial"/>
          <w:color w:val="000000"/>
          <w:sz w:val="21"/>
        </w:rPr>
        <w:t xml:space="preserve">In this document, the control plane aspects of SDT are discussed.  </w:t>
      </w:r>
    </w:p>
    <w:p w14:paraId="3CC30DFA" w14:textId="77777777" w:rsidR="00446965" w:rsidRDefault="0062356C">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SDT type selection and switching</w:t>
      </w:r>
    </w:p>
    <w:p w14:paraId="21FC0098" w14:textId="7C700D03" w:rsidR="00446965" w:rsidRDefault="00CA04F3">
      <w:pPr>
        <w:pStyle w:val="ListParagraph"/>
        <w:numPr>
          <w:ilvl w:val="0"/>
          <w:numId w:val="7"/>
        </w:numPr>
        <w:ind w:firstLineChars="0"/>
        <w:rPr>
          <w:u w:val="single"/>
        </w:rPr>
      </w:pPr>
      <w:r>
        <w:rPr>
          <w:u w:val="single"/>
        </w:rPr>
        <w:t>Selection criteria based</w:t>
      </w:r>
      <w:r w:rsidR="0062356C">
        <w:rPr>
          <w:u w:val="single"/>
        </w:rPr>
        <w:t xml:space="preserve"> on RESUME cause</w:t>
      </w:r>
    </w:p>
    <w:p w14:paraId="5BAF99B7" w14:textId="77777777" w:rsidR="00446965" w:rsidRDefault="0062356C">
      <w:r>
        <w:t xml:space="preserve">At RAN2#111e, the following agreements were reached: </w:t>
      </w:r>
    </w:p>
    <w:p w14:paraId="7AA8DACB" w14:textId="77777777" w:rsidR="00446965" w:rsidRDefault="0062356C">
      <w:pPr>
        <w:pStyle w:val="Doc-text2"/>
        <w:pBdr>
          <w:top w:val="single" w:sz="4" w:space="1" w:color="auto"/>
          <w:left w:val="single" w:sz="4" w:space="4" w:color="auto"/>
          <w:bottom w:val="single" w:sz="4" w:space="1" w:color="auto"/>
          <w:right w:val="single" w:sz="4" w:space="0" w:color="auto"/>
        </w:pBdr>
        <w:ind w:left="783"/>
      </w:pPr>
      <w:r>
        <w:t>7</w:t>
      </w:r>
      <w:r>
        <w:tab/>
        <w:t>Small data transmission is configured by the network on a per DRB basis</w:t>
      </w:r>
    </w:p>
    <w:p w14:paraId="3ADE8B5E" w14:textId="77777777" w:rsidR="00446965" w:rsidRDefault="0062356C">
      <w:pPr>
        <w:pStyle w:val="Doc-text2"/>
        <w:pBdr>
          <w:top w:val="single" w:sz="4" w:space="1" w:color="auto"/>
          <w:left w:val="single" w:sz="4" w:space="4" w:color="auto"/>
          <w:bottom w:val="single" w:sz="4" w:space="1" w:color="auto"/>
          <w:right w:val="single" w:sz="4" w:space="0" w:color="auto"/>
        </w:pBdr>
        <w:ind w:left="783"/>
      </w:pPr>
      <w:r>
        <w:t>8</w:t>
      </w:r>
      <w:r>
        <w:tab/>
        <w:t xml:space="preserve">Data volume </w:t>
      </w:r>
      <w:proofErr w:type="gramStart"/>
      <w:r>
        <w:t>threshold</w:t>
      </w:r>
      <w:proofErr w:type="gramEnd"/>
      <w:r>
        <w:t xml:space="preserve"> is used for the UE to decide whether to do SDT or not.   FFS how we calculate data volume.  </w:t>
      </w:r>
    </w:p>
    <w:p w14:paraId="0695651A" w14:textId="77777777" w:rsidR="00446965" w:rsidRDefault="0062356C">
      <w:pPr>
        <w:pStyle w:val="Doc-text2"/>
        <w:pBdr>
          <w:top w:val="single" w:sz="4" w:space="1" w:color="auto"/>
          <w:left w:val="single" w:sz="4" w:space="4" w:color="auto"/>
          <w:bottom w:val="single" w:sz="4" w:space="1" w:color="auto"/>
          <w:right w:val="single" w:sz="4" w:space="0" w:color="auto"/>
        </w:pBdr>
        <w:ind w:left="783"/>
      </w:pPr>
      <w:r>
        <w:tab/>
      </w:r>
      <w:r>
        <w:rPr>
          <w:highlight w:val="yellow"/>
        </w:rPr>
        <w:t>FFS if an “additional SDT specific” RSRP threshold is further used to determine whether the UE should do SDT</w:t>
      </w:r>
    </w:p>
    <w:p w14:paraId="2C5442A8" w14:textId="77777777" w:rsidR="00446965" w:rsidRDefault="0062356C">
      <w:pPr>
        <w:pStyle w:val="Doc-text2"/>
        <w:pBdr>
          <w:top w:val="single" w:sz="4" w:space="1" w:color="auto"/>
          <w:left w:val="single" w:sz="4" w:space="4" w:color="auto"/>
          <w:bottom w:val="single" w:sz="4" w:space="1" w:color="auto"/>
          <w:right w:val="single" w:sz="4" w:space="0" w:color="auto"/>
        </w:pBdr>
        <w:ind w:left="783"/>
      </w:pPr>
      <w:r>
        <w:t>9</w:t>
      </w:r>
      <w:r>
        <w:tab/>
        <w:t xml:space="preserve">UL/DL transmission following UL SDT without transitioning to RRC_CONNECTED is supported </w:t>
      </w:r>
    </w:p>
    <w:p w14:paraId="378DE0F4" w14:textId="77777777" w:rsidR="00446965" w:rsidRDefault="0062356C">
      <w:pPr>
        <w:pStyle w:val="Doc-text2"/>
        <w:pBdr>
          <w:top w:val="single" w:sz="4" w:space="1" w:color="auto"/>
          <w:left w:val="single" w:sz="4" w:space="4" w:color="auto"/>
          <w:bottom w:val="single" w:sz="4" w:space="1" w:color="auto"/>
          <w:right w:val="single" w:sz="4" w:space="0" w:color="auto"/>
        </w:pBdr>
        <w:ind w:left="783"/>
      </w:pPr>
      <w:r>
        <w:t>10</w:t>
      </w:r>
      <w:r>
        <w:tab/>
        <w:t xml:space="preserve">When UE is in RRC_INACTIVE, it should be possible to send multiple UL and DL packets as part of the same SDT mechanism and without transitioning to RRC_CONNECTED on dedicated grant.  FFS on details and whether any indication to network is needed.  </w:t>
      </w:r>
    </w:p>
    <w:p w14:paraId="58FBB3C6" w14:textId="37CCC808" w:rsidR="00446965" w:rsidRDefault="0062356C">
      <w:r>
        <w:t>According to the above, a data volume threshold will be used for the UE to decide whether to perform SDT or not. Note that one or more DRBs may be configured for SDT. The above set of agreements mainly cover the use case of UL data arrival (i.e. the MO access use cases). In addition to UL data arrival, the UE may also initiate RESUME due to other causes, these include the following</w:t>
      </w:r>
      <w:r w:rsidR="00561EC5">
        <w:t xml:space="preserve"> (in </w:t>
      </w:r>
      <w:r w:rsidR="00561EC5" w:rsidRPr="00561EC5">
        <w:rPr>
          <w:color w:val="FF0000"/>
        </w:rPr>
        <w:t>red</w:t>
      </w:r>
      <w:r w:rsidR="00561EC5">
        <w:t>)</w:t>
      </w:r>
      <w:r>
        <w:t>:</w:t>
      </w:r>
    </w:p>
    <w:p w14:paraId="4B2CA98A" w14:textId="77777777" w:rsidR="00446965" w:rsidRDefault="0062356C">
      <w:pPr>
        <w:pStyle w:val="ListParagraph"/>
        <w:numPr>
          <w:ilvl w:val="0"/>
          <w:numId w:val="8"/>
        </w:numPr>
        <w:ind w:firstLineChars="0"/>
      </w:pPr>
      <w:r w:rsidRPr="00561EC5">
        <w:rPr>
          <w:color w:val="FF0000"/>
          <w:u w:val="single"/>
        </w:rPr>
        <w:t xml:space="preserve">emergency, </w:t>
      </w:r>
      <w:proofErr w:type="spellStart"/>
      <w:r w:rsidRPr="00561EC5">
        <w:rPr>
          <w:color w:val="FF0000"/>
          <w:u w:val="single"/>
        </w:rPr>
        <w:t>highPriorityAccess</w:t>
      </w:r>
      <w:proofErr w:type="spellEnd"/>
      <w:r w:rsidRPr="00561EC5">
        <w:rPr>
          <w:color w:val="FF0000"/>
          <w:u w:val="single"/>
        </w:rPr>
        <w:t xml:space="preserve">, </w:t>
      </w:r>
      <w:proofErr w:type="spellStart"/>
      <w:r w:rsidRPr="00561EC5">
        <w:rPr>
          <w:color w:val="FF0000"/>
          <w:u w:val="single"/>
        </w:rPr>
        <w:t>mt</w:t>
      </w:r>
      <w:proofErr w:type="spellEnd"/>
      <w:r w:rsidRPr="00561EC5">
        <w:rPr>
          <w:color w:val="FF0000"/>
          <w:u w:val="single"/>
        </w:rPr>
        <w:t xml:space="preserve">-Access, </w:t>
      </w:r>
      <w:proofErr w:type="spellStart"/>
      <w:r>
        <w:rPr>
          <w:color w:val="BFBFBF" w:themeColor="background1" w:themeShade="BF"/>
        </w:rPr>
        <w:t>mo</w:t>
      </w:r>
      <w:proofErr w:type="spellEnd"/>
      <w:r>
        <w:rPr>
          <w:color w:val="BFBFBF" w:themeColor="background1" w:themeShade="BF"/>
        </w:rPr>
        <w:t xml:space="preserve">-Signalling, </w:t>
      </w:r>
      <w:proofErr w:type="spellStart"/>
      <w:r>
        <w:rPr>
          <w:color w:val="BFBFBF" w:themeColor="background1" w:themeShade="BF"/>
        </w:rPr>
        <w:t>mo</w:t>
      </w:r>
      <w:proofErr w:type="spellEnd"/>
      <w:r>
        <w:rPr>
          <w:color w:val="BFBFBF" w:themeColor="background1" w:themeShade="BF"/>
        </w:rPr>
        <w:t xml:space="preserve">-Data, </w:t>
      </w:r>
      <w:proofErr w:type="spellStart"/>
      <w:r>
        <w:rPr>
          <w:color w:val="BFBFBF" w:themeColor="background1" w:themeShade="BF"/>
        </w:rPr>
        <w:t>mo-VoiceCall</w:t>
      </w:r>
      <w:proofErr w:type="spellEnd"/>
      <w:r>
        <w:rPr>
          <w:color w:val="BFBFBF" w:themeColor="background1" w:themeShade="BF"/>
        </w:rPr>
        <w:t xml:space="preserve">, </w:t>
      </w:r>
      <w:proofErr w:type="spellStart"/>
      <w:r>
        <w:rPr>
          <w:color w:val="BFBFBF" w:themeColor="background1" w:themeShade="BF"/>
        </w:rPr>
        <w:t>mo-VideoCall</w:t>
      </w:r>
      <w:proofErr w:type="spellEnd"/>
      <w:r>
        <w:rPr>
          <w:color w:val="BFBFBF" w:themeColor="background1" w:themeShade="BF"/>
        </w:rPr>
        <w:t xml:space="preserve">, </w:t>
      </w:r>
      <w:proofErr w:type="spellStart"/>
      <w:r>
        <w:rPr>
          <w:color w:val="BFBFBF" w:themeColor="background1" w:themeShade="BF"/>
        </w:rPr>
        <w:t>mo</w:t>
      </w:r>
      <w:proofErr w:type="spellEnd"/>
      <w:r>
        <w:rPr>
          <w:color w:val="BFBFBF" w:themeColor="background1" w:themeShade="BF"/>
        </w:rPr>
        <w:t>-SMS</w:t>
      </w:r>
      <w:r w:rsidRPr="00561EC5">
        <w:rPr>
          <w:color w:val="FF0000"/>
        </w:rPr>
        <w:t>,</w:t>
      </w:r>
      <w:r w:rsidRPr="00561EC5">
        <w:rPr>
          <w:color w:val="FF0000"/>
          <w:u w:val="single"/>
        </w:rPr>
        <w:t xml:space="preserve"> </w:t>
      </w:r>
      <w:proofErr w:type="spellStart"/>
      <w:r w:rsidRPr="00561EC5">
        <w:rPr>
          <w:color w:val="FF0000"/>
          <w:u w:val="single"/>
        </w:rPr>
        <w:t>rna</w:t>
      </w:r>
      <w:proofErr w:type="spellEnd"/>
      <w:r w:rsidRPr="00561EC5">
        <w:rPr>
          <w:color w:val="FF0000"/>
          <w:u w:val="single"/>
        </w:rPr>
        <w:t xml:space="preserve">-Update, </w:t>
      </w:r>
      <w:proofErr w:type="spellStart"/>
      <w:r w:rsidRPr="00561EC5">
        <w:rPr>
          <w:color w:val="FF0000"/>
          <w:u w:val="single"/>
        </w:rPr>
        <w:t>mps-PriorityAccess</w:t>
      </w:r>
      <w:proofErr w:type="spellEnd"/>
      <w:r w:rsidRPr="00561EC5">
        <w:rPr>
          <w:color w:val="FF0000"/>
          <w:u w:val="single"/>
        </w:rPr>
        <w:t xml:space="preserve">, </w:t>
      </w:r>
      <w:proofErr w:type="spellStart"/>
      <w:r w:rsidRPr="00561EC5">
        <w:rPr>
          <w:color w:val="FF0000"/>
          <w:u w:val="single"/>
        </w:rPr>
        <w:t>mcs-PriorityAccess</w:t>
      </w:r>
      <w:proofErr w:type="spellEnd"/>
    </w:p>
    <w:p w14:paraId="0B710195" w14:textId="77777777" w:rsidR="00446965" w:rsidRDefault="0062356C">
      <w:r>
        <w:t xml:space="preserve">So, the next question is whether the network should explicitly configure the UE to initiate SDT for each (or some) of the above use cases. It should be noted that the network will provide mapping of data from ongoing services to DRBs and any new data for a new service will be sent via the default DRB within the PDU session. Thus, for the use cases of </w:t>
      </w:r>
      <w:r>
        <w:rPr>
          <w:i/>
          <w:iCs/>
        </w:rPr>
        <w:t xml:space="preserve">emergency, </w:t>
      </w:r>
      <w:proofErr w:type="spellStart"/>
      <w:r>
        <w:rPr>
          <w:i/>
          <w:iCs/>
        </w:rPr>
        <w:t>highPriorityAccess</w:t>
      </w:r>
      <w:proofErr w:type="spellEnd"/>
      <w:r>
        <w:rPr>
          <w:i/>
          <w:iCs/>
        </w:rPr>
        <w:t xml:space="preserve">, </w:t>
      </w:r>
      <w:proofErr w:type="spellStart"/>
      <w:r>
        <w:rPr>
          <w:i/>
          <w:iCs/>
        </w:rPr>
        <w:t>mps-PriorityAccess</w:t>
      </w:r>
      <w:proofErr w:type="spellEnd"/>
      <w:r>
        <w:rPr>
          <w:i/>
          <w:iCs/>
        </w:rPr>
        <w:t xml:space="preserve">, </w:t>
      </w:r>
      <w:proofErr w:type="spellStart"/>
      <w:r>
        <w:rPr>
          <w:i/>
          <w:iCs/>
        </w:rPr>
        <w:t>mcs-</w:t>
      </w:r>
      <w:r>
        <w:rPr>
          <w:i/>
          <w:iCs/>
        </w:rPr>
        <w:lastRenderedPageBreak/>
        <w:t>PriorityAccess</w:t>
      </w:r>
      <w:proofErr w:type="spellEnd"/>
      <w:r>
        <w:rPr>
          <w:i/>
          <w:iCs/>
        </w:rPr>
        <w:t xml:space="preserve">, </w:t>
      </w:r>
      <w:r>
        <w:t xml:space="preserve">the per DRB configuration of SDT seems to provide sufficient granularity for the network to control SDT vs non-SDT access. </w:t>
      </w:r>
    </w:p>
    <w:p w14:paraId="09565A91" w14:textId="60BE6541" w:rsidR="00446965" w:rsidRDefault="0062356C">
      <w:r>
        <w:t xml:space="preserve">Then, for </w:t>
      </w:r>
      <w:proofErr w:type="spellStart"/>
      <w:r>
        <w:rPr>
          <w:i/>
          <w:iCs/>
        </w:rPr>
        <w:t>rna</w:t>
      </w:r>
      <w:proofErr w:type="spellEnd"/>
      <w:r>
        <w:rPr>
          <w:i/>
          <w:iCs/>
        </w:rPr>
        <w:t>-Update</w:t>
      </w:r>
      <w:r>
        <w:t>, there is no UP data anyway (i.e. only the CCCH message is sent). So, this message will anyway be included in the payload of MSG3 or MSGA</w:t>
      </w:r>
      <w:r w:rsidR="00922BA3">
        <w:t xml:space="preserve"> and hence SDT is not relevant as such for this use case</w:t>
      </w:r>
      <w:r>
        <w:t xml:space="preserve">. However, </w:t>
      </w:r>
      <w:r w:rsidR="00922BA3">
        <w:t xml:space="preserve">one </w:t>
      </w:r>
      <w:r>
        <w:t xml:space="preserve">open question is whether the </w:t>
      </w:r>
      <w:proofErr w:type="spellStart"/>
      <w:r>
        <w:t>rna</w:t>
      </w:r>
      <w:proofErr w:type="spellEnd"/>
      <w:r>
        <w:t xml:space="preserve">-Update may be sent via CG resource. Note that for this discussion, only the periodic RNA Update is relevant since </w:t>
      </w:r>
      <w:proofErr w:type="spellStart"/>
      <w:r>
        <w:t>rna</w:t>
      </w:r>
      <w:proofErr w:type="spellEnd"/>
      <w:r>
        <w:t xml:space="preserve">-Update due to cell change is anyway not applicable to CG solution. Given that the target of CG based solutions is really for stationary UEs, it seems periodic RNA update is also not really something that needs to be configured for such UEs anyway. So, based on this, it seems we can conclude that </w:t>
      </w:r>
      <w:proofErr w:type="spellStart"/>
      <w:r>
        <w:t>rna</w:t>
      </w:r>
      <w:proofErr w:type="spellEnd"/>
      <w:r>
        <w:t xml:space="preserve">-Update is not relevant for SDT. </w:t>
      </w:r>
    </w:p>
    <w:p w14:paraId="50DD314F" w14:textId="77777777" w:rsidR="00446965" w:rsidRDefault="0062356C">
      <w:r>
        <w:t xml:space="preserve">The only remaining cause then is the </w:t>
      </w:r>
      <w:proofErr w:type="spellStart"/>
      <w:r>
        <w:t>mt</w:t>
      </w:r>
      <w:proofErr w:type="spellEnd"/>
      <w:r>
        <w:t xml:space="preserve">-Access and for this case, the network can anyway initiate the SDT using the subsequent data transmission phase. i.e. once the UE sends the initial UL CCCH message indicating </w:t>
      </w:r>
      <w:proofErr w:type="spellStart"/>
      <w:r>
        <w:t>mt</w:t>
      </w:r>
      <w:proofErr w:type="spellEnd"/>
      <w:r>
        <w:t xml:space="preserve">-Access, the network can schedule the subsequent DL packets without moving the UE to connected if necessary. Thus, there is no need to discuss this issue any further either. </w:t>
      </w:r>
    </w:p>
    <w:p w14:paraId="50B98C39" w14:textId="77777777" w:rsidR="00446965" w:rsidRDefault="0062356C">
      <w:r>
        <w:t xml:space="preserve">Based on the above, we can conclude that there is no need for any further criteria apart from the agreed per DRB configuration of SDT. </w:t>
      </w:r>
    </w:p>
    <w:p w14:paraId="79454F74" w14:textId="1BC5AB82" w:rsidR="00446965" w:rsidRDefault="0062356C">
      <w:pPr>
        <w:rPr>
          <w:b/>
          <w:bCs/>
        </w:rPr>
      </w:pPr>
      <w:r>
        <w:rPr>
          <w:b/>
          <w:bCs/>
        </w:rPr>
        <w:t>Proposal</w:t>
      </w:r>
      <w:r w:rsidR="00CC2929">
        <w:rPr>
          <w:b/>
          <w:bCs/>
        </w:rPr>
        <w:t xml:space="preserve"> 1</w:t>
      </w:r>
      <w:r>
        <w:rPr>
          <w:b/>
          <w:bCs/>
        </w:rPr>
        <w:t xml:space="preserve">: The per-DRB configuration of SDT provides enough flexibility for the network to control the SDT access for the UE and SDT is applicable to all Resume causes (i.e. no further RESUME </w:t>
      </w:r>
      <w:proofErr w:type="gramStart"/>
      <w:r>
        <w:rPr>
          <w:b/>
          <w:bCs/>
        </w:rPr>
        <w:t>cause based</w:t>
      </w:r>
      <w:proofErr w:type="gramEnd"/>
      <w:r>
        <w:rPr>
          <w:b/>
          <w:bCs/>
        </w:rPr>
        <w:t xml:space="preserve"> restriction is needed for SDT). </w:t>
      </w:r>
    </w:p>
    <w:p w14:paraId="22AE16A2" w14:textId="6556F22A" w:rsidR="00446965" w:rsidRDefault="0062356C">
      <w:pPr>
        <w:pStyle w:val="ListParagraph"/>
        <w:numPr>
          <w:ilvl w:val="0"/>
          <w:numId w:val="7"/>
        </w:numPr>
        <w:ind w:firstLineChars="0"/>
        <w:rPr>
          <w:u w:val="single"/>
        </w:rPr>
      </w:pPr>
      <w:r>
        <w:rPr>
          <w:u w:val="single"/>
        </w:rPr>
        <w:t xml:space="preserve">Additional RSRP Criteria </w:t>
      </w:r>
    </w:p>
    <w:p w14:paraId="0BA70931" w14:textId="53951192" w:rsidR="00446965" w:rsidRDefault="0062356C">
      <w:r>
        <w:t xml:space="preserve">Then, the next issue is whether we need any radio quality related criteria, such as the RSRP, etc for the UE to initiate SDT. For this, the discussion can be separated for RACH CG since RACH type selection already includes RSRP criterion whereas for CG, this needs to be discussed. </w:t>
      </w:r>
    </w:p>
    <w:p w14:paraId="22184317" w14:textId="77777777" w:rsidR="00446965" w:rsidRDefault="0062356C">
      <w:r>
        <w:t>For RACH, currently the UE performs the following actions:</w:t>
      </w:r>
    </w:p>
    <w:p w14:paraId="17D29C3B" w14:textId="77777777" w:rsidR="00446965" w:rsidRDefault="0062356C">
      <w:pPr>
        <w:pStyle w:val="ListParagraph"/>
        <w:numPr>
          <w:ilvl w:val="0"/>
          <w:numId w:val="9"/>
        </w:numPr>
        <w:ind w:firstLineChars="0"/>
      </w:pPr>
      <w:r>
        <w:t>Carrier selection (using RSRP threshold), to select between UL vs SUL</w:t>
      </w:r>
    </w:p>
    <w:p w14:paraId="396C214D" w14:textId="77777777" w:rsidR="00446965" w:rsidRDefault="0062356C">
      <w:pPr>
        <w:pStyle w:val="ListParagraph"/>
        <w:numPr>
          <w:ilvl w:val="0"/>
          <w:numId w:val="9"/>
        </w:numPr>
        <w:ind w:firstLineChars="0"/>
      </w:pPr>
      <w:r>
        <w:t>RA-Type selection to select between 2-step and 4-step RACH (amongst other criteria, an RSRP threshold is also used in this selection)</w:t>
      </w:r>
    </w:p>
    <w:p w14:paraId="044658B9" w14:textId="18CFDF7D" w:rsidR="00446965" w:rsidRDefault="0062356C">
      <w:pPr>
        <w:pStyle w:val="ListParagraph"/>
        <w:numPr>
          <w:ilvl w:val="0"/>
          <w:numId w:val="9"/>
        </w:numPr>
        <w:ind w:firstLineChars="0"/>
      </w:pPr>
      <w:r>
        <w:t>Preamble group selection (based on pathloss and payload size of the CCCH message)</w:t>
      </w:r>
    </w:p>
    <w:p w14:paraId="19C66B34" w14:textId="77777777" w:rsidR="00446965" w:rsidRDefault="0062356C">
      <w:pPr>
        <w:pStyle w:val="ListParagraph"/>
        <w:numPr>
          <w:ilvl w:val="0"/>
          <w:numId w:val="9"/>
        </w:numPr>
        <w:ind w:firstLineChars="0"/>
      </w:pPr>
      <w:r>
        <w:t>Preamble selection (selected within the preamble group above)</w:t>
      </w:r>
    </w:p>
    <w:p w14:paraId="65C9878F" w14:textId="2BF1D44C" w:rsidR="00A83CAE" w:rsidRDefault="0062356C">
      <w:r>
        <w:t>For RACH-based SDT (</w:t>
      </w:r>
      <w:r>
        <w:rPr>
          <w:i/>
          <w:iCs/>
        </w:rPr>
        <w:t>RA-SDT in short</w:t>
      </w:r>
      <w:r>
        <w:t xml:space="preserve">), the first question then is whether any separate RSRP criterion is needed for SDT vs non-SDT access. </w:t>
      </w:r>
      <w:r w:rsidR="00530E1D">
        <w:t>Firstly, SDT is like any other normal RESUME procedure</w:t>
      </w:r>
      <w:r w:rsidR="00A83CAE">
        <w:t xml:space="preserve">, with the </w:t>
      </w:r>
      <w:r w:rsidR="00561EC5">
        <w:t>only</w:t>
      </w:r>
      <w:r w:rsidR="00A83CAE">
        <w:t xml:space="preserve"> difference being</w:t>
      </w:r>
      <w:r w:rsidR="00530E1D">
        <w:t xml:space="preserve"> that SDT is triggered by UL data arrival for some specific DRBs</w:t>
      </w:r>
      <w:r w:rsidR="00A83CAE">
        <w:t xml:space="preserve"> which have been configured for SDT by the network</w:t>
      </w:r>
      <w:r w:rsidR="00530E1D">
        <w:t xml:space="preserve">. Then, </w:t>
      </w:r>
      <w:r w:rsidR="00A83CAE">
        <w:t xml:space="preserve">the main question is at what point during the RESUME procedure the network needs to know that the RESUME is for SDT use case. If MSG1 indicates that the RESUME is for SDT, then the advantage is that already at MSG3 stage, a different (potentially larger) payload size can be used for SDT. On the other hand, if MSG1 doesn’t indicate that SDT is for RESUME, then, the network </w:t>
      </w:r>
      <w:r w:rsidR="00A83CAE">
        <w:lastRenderedPageBreak/>
        <w:t xml:space="preserve">may only know about </w:t>
      </w:r>
      <w:r w:rsidR="004156C6">
        <w:t>SDT</w:t>
      </w:r>
      <w:r w:rsidR="00A83CAE">
        <w:t xml:space="preserve"> upon receiving the MSG3 (or MSGA payload in case of 2-step RACH). </w:t>
      </w:r>
      <w:r w:rsidR="004156C6">
        <w:t>However, this will restrict the options for the network to configure flexible payload sizes tailored for SDT in MSG3/MSGA-payload. Thus, it seems it is preferable to know about SDT cause already at MSG1 level. Thus, the following proposal is made:</w:t>
      </w:r>
    </w:p>
    <w:p w14:paraId="437D4685" w14:textId="10CDF0AB" w:rsidR="004156C6" w:rsidRDefault="004156C6">
      <w:pPr>
        <w:rPr>
          <w:b/>
          <w:bCs/>
        </w:rPr>
      </w:pPr>
      <w:r w:rsidRPr="009E05C7">
        <w:rPr>
          <w:b/>
          <w:bCs/>
        </w:rPr>
        <w:t xml:space="preserve">Proposal </w:t>
      </w:r>
      <w:r w:rsidR="00CC2929">
        <w:rPr>
          <w:b/>
          <w:bCs/>
        </w:rPr>
        <w:t>2</w:t>
      </w:r>
      <w:r w:rsidRPr="009E05C7">
        <w:rPr>
          <w:b/>
          <w:bCs/>
        </w:rPr>
        <w:t xml:space="preserve">: MSG1 indicates SDT cause (i.e. the </w:t>
      </w:r>
      <w:proofErr w:type="spellStart"/>
      <w:r w:rsidRPr="009E05C7">
        <w:rPr>
          <w:b/>
          <w:bCs/>
        </w:rPr>
        <w:t>RO+preamble</w:t>
      </w:r>
      <w:proofErr w:type="spellEnd"/>
      <w:r w:rsidRPr="009E05C7">
        <w:rPr>
          <w:b/>
          <w:bCs/>
        </w:rPr>
        <w:t xml:space="preserve"> combination is unique for SDT vs non-SDT)</w:t>
      </w:r>
    </w:p>
    <w:p w14:paraId="2E072703" w14:textId="3B4AE7D1" w:rsidR="004156C6" w:rsidRDefault="004156C6">
      <w:r>
        <w:t>Once the above is agreed, then we have to design the preamble grouping within the RACH resources used for SDT. Then the question is whether the payload size configured for SDT should cover the entire cell range or whether it is restricted to only part of the cell. It should be noted that the intention of SDT procedure is to allow transmission of UL data not just in a single UL message but to allow subsequent data transfer. Thus, the network can configure a small TB size for one of the preamble groups corresponding to the SDT RACH resource and map the other preamble group</w:t>
      </w:r>
      <w:r w:rsidR="00983748">
        <w:t>(</w:t>
      </w:r>
      <w:r>
        <w:t>s</w:t>
      </w:r>
      <w:r w:rsidR="00983748">
        <w:t>)</w:t>
      </w:r>
      <w:r>
        <w:t xml:space="preserve"> to larger payload sizes. If such restriction is acceptable (i.e. at least one preamble group is configured for to cover the entire cell range), then it seems there is no need for any further RSRP criterion to use for SDT vs non-SDT selection. </w:t>
      </w:r>
    </w:p>
    <w:p w14:paraId="103EF488" w14:textId="738B5E87" w:rsidR="004156C6" w:rsidRPr="009E05C7" w:rsidRDefault="004156C6">
      <w:pPr>
        <w:rPr>
          <w:b/>
          <w:bCs/>
        </w:rPr>
      </w:pPr>
      <w:r w:rsidRPr="009E05C7">
        <w:rPr>
          <w:b/>
          <w:bCs/>
        </w:rPr>
        <w:t>Observation</w:t>
      </w:r>
      <w:r w:rsidR="00CC2929">
        <w:rPr>
          <w:b/>
          <w:bCs/>
        </w:rPr>
        <w:t xml:space="preserve"> 1</w:t>
      </w:r>
      <w:r w:rsidRPr="009E05C7">
        <w:rPr>
          <w:b/>
          <w:bCs/>
        </w:rPr>
        <w:t>: If network can ensure that the TB size corresponding to at least one of the preamble groups within SDT RACH resources can cover the entire cell range, then there is no need for an additional RSRP criterion for SDT vs non-SDT selection</w:t>
      </w:r>
    </w:p>
    <w:p w14:paraId="3B132E82" w14:textId="591CE628" w:rsidR="009E05C7" w:rsidRDefault="004156C6" w:rsidP="009E05C7">
      <w:r>
        <w:t xml:space="preserve">The advantage of having an additional RSRP threshold on the other hand is that the network can then optimise the size of the TB for MSG3/MSGA payload for larger payload sizes (with the assumption that UE can still use legacy RESUME procedure – i.e. non-SDT) if the coverage is not suitable. However, optimising the payload size for the first UL message is not critical in case of SDT since we have agreed to have subsequent data transmission. i.e. the network can still dedicate one </w:t>
      </w:r>
      <w:r w:rsidR="009E05C7">
        <w:t xml:space="preserve">preamble group (i.e. the preamble group associated with the smallest TB size) to cover the full cell range and still rely on subsequent data transmission for SDT in this case. Thus, it seems there is no need for additional RSRP criterion then to select SDT vs no-SDT. </w:t>
      </w:r>
    </w:p>
    <w:p w14:paraId="267EE54B" w14:textId="22F448B0" w:rsidR="009E05C7" w:rsidRPr="009E05C7" w:rsidRDefault="009E05C7" w:rsidP="009E05C7">
      <w:pPr>
        <w:rPr>
          <w:b/>
          <w:bCs/>
        </w:rPr>
      </w:pPr>
      <w:r w:rsidRPr="009E05C7">
        <w:rPr>
          <w:b/>
          <w:bCs/>
        </w:rPr>
        <w:t>Observation</w:t>
      </w:r>
      <w:r w:rsidR="00CC2929">
        <w:rPr>
          <w:b/>
          <w:bCs/>
        </w:rPr>
        <w:t xml:space="preserve"> 2</w:t>
      </w:r>
      <w:r w:rsidRPr="009E05C7">
        <w:rPr>
          <w:b/>
          <w:bCs/>
        </w:rPr>
        <w:t>: Given the existence of the subsequent data transmission phase for SDT, the network can associate one of the preamble groups to a payload size which is sufficient to cover the full cell range (and use the other preamble groups for larger payload sizes).</w:t>
      </w:r>
    </w:p>
    <w:p w14:paraId="7FD6368F" w14:textId="7EA614E4" w:rsidR="00530E1D" w:rsidRDefault="00530E1D" w:rsidP="009E05C7"/>
    <w:p w14:paraId="11B9D808" w14:textId="4EBE913A" w:rsidR="0007240A" w:rsidRDefault="0062356C">
      <w:r>
        <w:t>In addition, if CG resources are also configured in the cell and are valid, then the UE also needs to select between RA-SDT and CG-SDT. Generally, if valid CG resources exist, then the UE shall use those resources</w:t>
      </w:r>
      <w:r w:rsidR="0007240A">
        <w:t xml:space="preserve"> as these resources are dedicated to the UE</w:t>
      </w:r>
      <w:r>
        <w:t xml:space="preserve">. However, the CG resources may not be configured on all beams (i.e. SSBs) and the SSBs with a good RSRP may or may not have the CG resource associated with it. </w:t>
      </w:r>
    </w:p>
    <w:p w14:paraId="6C0B73FE" w14:textId="0658A4E0" w:rsidR="00446965" w:rsidRDefault="0062356C">
      <w:r>
        <w:t xml:space="preserve">Thus, the UE may have to select between CG and RA based SDT based on the beam quality associated with the CG resources. If CG resource exists on a good beam, then UE may proceed with the CG and if </w:t>
      </w:r>
      <w:proofErr w:type="gramStart"/>
      <w:r>
        <w:t>not</w:t>
      </w:r>
      <w:proofErr w:type="gramEnd"/>
      <w:r>
        <w:t xml:space="preserve"> it can fall back to RACH based access for SDT. Thus, the following overall procedure is proposed when </w:t>
      </w:r>
      <w:r>
        <w:lastRenderedPageBreak/>
        <w:t>the UE initiates SDT access:</w:t>
      </w:r>
    </w:p>
    <w:p w14:paraId="0E6DC9C4" w14:textId="3821FE37" w:rsidR="00446965" w:rsidRDefault="0062356C">
      <w:r>
        <w:t>If one or more DRBs configured for SDT access have data</w:t>
      </w:r>
      <w:r w:rsidR="0007240A">
        <w:t xml:space="preserve"> (and no other DRBs have UL data)</w:t>
      </w:r>
      <w:r>
        <w:t>, then UE shall:</w:t>
      </w:r>
    </w:p>
    <w:p w14:paraId="24E22CA9" w14:textId="77777777" w:rsidR="00446965" w:rsidRDefault="0062356C">
      <w:pPr>
        <w:pStyle w:val="ListParagraph"/>
        <w:numPr>
          <w:ilvl w:val="0"/>
          <w:numId w:val="10"/>
        </w:numPr>
        <w:ind w:firstLineChars="0"/>
      </w:pPr>
      <w:r>
        <w:t>Perform carrier selection (using the configured RSRP threshold) to select between UL vs SUL</w:t>
      </w:r>
    </w:p>
    <w:p w14:paraId="13D81BAD" w14:textId="77777777" w:rsidR="00446965" w:rsidRDefault="0062356C">
      <w:pPr>
        <w:pStyle w:val="ListParagraph"/>
        <w:numPr>
          <w:ilvl w:val="0"/>
          <w:numId w:val="10"/>
        </w:numPr>
        <w:ind w:firstLineChars="0"/>
      </w:pPr>
      <w:r>
        <w:t>If valid CG-SDT resources exist and if one or more SSBs with RSRP above a configured threshold contain the valid CG-SDT resources, then the UE shall select CG-SDT procedure;</w:t>
      </w:r>
    </w:p>
    <w:p w14:paraId="64AA6BE0" w14:textId="77777777" w:rsidR="00446965" w:rsidRDefault="0062356C">
      <w:pPr>
        <w:pStyle w:val="ListParagraph"/>
        <w:numPr>
          <w:ilvl w:val="0"/>
          <w:numId w:val="10"/>
        </w:numPr>
        <w:ind w:firstLineChars="0"/>
      </w:pPr>
      <w:r>
        <w:t>Otherwise (i.e. there are no valid CG-SDT resources), the UE shall select RA-SDT procedure and proceed with RA-type selection</w:t>
      </w:r>
    </w:p>
    <w:p w14:paraId="78F95AC5" w14:textId="77777777" w:rsidR="00446965" w:rsidRDefault="0062356C">
      <w:pPr>
        <w:pStyle w:val="ListParagraph"/>
        <w:numPr>
          <w:ilvl w:val="1"/>
          <w:numId w:val="10"/>
        </w:numPr>
        <w:ind w:firstLineChars="0"/>
      </w:pPr>
      <w:r>
        <w:t>The UE shall then perform preamble group selection on the selected RA-Type (based on the pathloss and payload size criteria etc)</w:t>
      </w:r>
    </w:p>
    <w:p w14:paraId="111C3513" w14:textId="77777777" w:rsidR="00446965" w:rsidRDefault="0062356C">
      <w:pPr>
        <w:pStyle w:val="ListParagraph"/>
        <w:numPr>
          <w:ilvl w:val="1"/>
          <w:numId w:val="10"/>
        </w:numPr>
        <w:ind w:firstLineChars="0"/>
      </w:pPr>
      <w:r>
        <w:t>Finally, the UE shall select the preamble randomly within the selected preamble group and transmit the preamble and the associated first UL message as part of the RACH procedure</w:t>
      </w:r>
    </w:p>
    <w:p w14:paraId="022CD6F9" w14:textId="77777777" w:rsidR="00446965" w:rsidRDefault="0062356C">
      <w:r>
        <w:t xml:space="preserve">The overall procedure looks as shown in </w:t>
      </w:r>
      <w:r>
        <w:fldChar w:fldCharType="begin"/>
      </w:r>
      <w:r>
        <w:instrText xml:space="preserve"> REF _Ref52444431 \h </w:instrText>
      </w:r>
      <w:r>
        <w:fldChar w:fldCharType="separate"/>
      </w:r>
      <w:r>
        <w:t>Figure 1</w:t>
      </w:r>
      <w:r>
        <w:fldChar w:fldCharType="end"/>
      </w:r>
      <w:r>
        <w:t xml:space="preserve"> below.</w:t>
      </w:r>
    </w:p>
    <w:p w14:paraId="0D3FC35C" w14:textId="67926933" w:rsidR="00446965" w:rsidRDefault="00561EC5" w:rsidP="00F92B48">
      <w:pPr>
        <w:keepNext/>
        <w:jc w:val="center"/>
      </w:pPr>
      <w:r w:rsidRPr="00561EC5">
        <w:lastRenderedPageBreak/>
        <w:drawing>
          <wp:inline distT="0" distB="0" distL="0" distR="0" wp14:anchorId="286F1619" wp14:editId="33F1DD2A">
            <wp:extent cx="5508076" cy="5785704"/>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09042" cy="5786719"/>
                    </a:xfrm>
                    <a:prstGeom prst="rect">
                      <a:avLst/>
                    </a:prstGeom>
                    <a:noFill/>
                    <a:ln>
                      <a:noFill/>
                    </a:ln>
                  </pic:spPr>
                </pic:pic>
              </a:graphicData>
            </a:graphic>
          </wp:inline>
        </w:drawing>
      </w:r>
    </w:p>
    <w:p w14:paraId="62365D0A" w14:textId="532D0BD7" w:rsidR="00446965" w:rsidRDefault="0062356C">
      <w:pPr>
        <w:pStyle w:val="Caption"/>
        <w:jc w:val="center"/>
      </w:pPr>
      <w:bookmarkStart w:id="5" w:name="_Ref52444431"/>
      <w:r>
        <w:t xml:space="preserve">Figure </w:t>
      </w:r>
      <w:r>
        <w:fldChar w:fldCharType="begin"/>
      </w:r>
      <w:r>
        <w:instrText xml:space="preserve"> SEQ Figure \* ARABIC </w:instrText>
      </w:r>
      <w:r>
        <w:fldChar w:fldCharType="separate"/>
      </w:r>
      <w:r>
        <w:t>1</w:t>
      </w:r>
      <w:r>
        <w:fldChar w:fldCharType="end"/>
      </w:r>
      <w:bookmarkEnd w:id="5"/>
      <w:r>
        <w:t>: Overall procedure for SDT type selection</w:t>
      </w:r>
      <w:r w:rsidR="0007240A">
        <w:t xml:space="preserve"> for UL data arrival</w:t>
      </w:r>
    </w:p>
    <w:p w14:paraId="5A9C3771" w14:textId="1C849E47" w:rsidR="00446965" w:rsidRDefault="0062356C">
      <w:r>
        <w:t xml:space="preserve">Thus, the following </w:t>
      </w:r>
      <w:r w:rsidR="00561EC5">
        <w:t>proposal is</w:t>
      </w:r>
      <w:r>
        <w:t xml:space="preserve"> made: </w:t>
      </w:r>
    </w:p>
    <w:p w14:paraId="2D3DAF58" w14:textId="4C0BD587" w:rsidR="0007240A" w:rsidRDefault="0062356C">
      <w:pPr>
        <w:rPr>
          <w:b/>
          <w:bCs/>
        </w:rPr>
      </w:pPr>
      <w:r>
        <w:rPr>
          <w:b/>
          <w:bCs/>
        </w:rPr>
        <w:t>Proposal</w:t>
      </w:r>
      <w:r w:rsidR="00CC2929">
        <w:rPr>
          <w:b/>
          <w:bCs/>
        </w:rPr>
        <w:t xml:space="preserve"> 3</w:t>
      </w:r>
      <w:r>
        <w:rPr>
          <w:b/>
          <w:bCs/>
        </w:rPr>
        <w:t xml:space="preserve">: </w:t>
      </w:r>
      <w:r w:rsidR="0007240A">
        <w:rPr>
          <w:b/>
          <w:bCs/>
        </w:rPr>
        <w:t>UL SDT is initiated upon UL data arrival for one or more DRBs configured for SDT (i.e. data is available only for these DRBs and no other bearers)</w:t>
      </w:r>
      <w:r w:rsidR="00397C35">
        <w:rPr>
          <w:b/>
          <w:bCs/>
        </w:rPr>
        <w:t xml:space="preserve"> and if the total data volume is less than a configured threshold</w:t>
      </w:r>
      <w:r w:rsidR="0007240A">
        <w:rPr>
          <w:b/>
          <w:bCs/>
        </w:rPr>
        <w:t>.</w:t>
      </w:r>
    </w:p>
    <w:p w14:paraId="5BEE2C56" w14:textId="77777777" w:rsidR="00561EC5" w:rsidRDefault="0007240A" w:rsidP="00561EC5">
      <w:pPr>
        <w:pStyle w:val="ListParagraph"/>
        <w:numPr>
          <w:ilvl w:val="0"/>
          <w:numId w:val="7"/>
        </w:numPr>
        <w:ind w:firstLineChars="0"/>
        <w:rPr>
          <w:b/>
          <w:bCs/>
        </w:rPr>
      </w:pPr>
      <w:r w:rsidRPr="00561EC5">
        <w:rPr>
          <w:b/>
          <w:bCs/>
        </w:rPr>
        <w:t>Upon initiating UL</w:t>
      </w:r>
      <w:r w:rsidR="0062356C" w:rsidRPr="00561EC5">
        <w:rPr>
          <w:b/>
          <w:bCs/>
        </w:rPr>
        <w:t xml:space="preserve"> SDT, the UE first performs carrier selection between UL and SUL (same as legacy). </w:t>
      </w:r>
    </w:p>
    <w:p w14:paraId="53A8E4D7" w14:textId="77777777" w:rsidR="00561EC5" w:rsidRDefault="0062356C" w:rsidP="00561EC5">
      <w:pPr>
        <w:pStyle w:val="ListParagraph"/>
        <w:numPr>
          <w:ilvl w:val="0"/>
          <w:numId w:val="7"/>
        </w:numPr>
        <w:ind w:firstLineChars="0"/>
        <w:rPr>
          <w:b/>
          <w:bCs/>
        </w:rPr>
      </w:pPr>
      <w:r w:rsidRPr="00561EC5">
        <w:rPr>
          <w:b/>
          <w:bCs/>
        </w:rPr>
        <w:t>If on the selected carrier, one or more SSBs above a configured RSRP threshold with valid CG resources exist, CG-SDT is selected</w:t>
      </w:r>
    </w:p>
    <w:p w14:paraId="445E8E0A" w14:textId="77777777" w:rsidR="00561EC5" w:rsidRDefault="0062356C" w:rsidP="00561EC5">
      <w:pPr>
        <w:pStyle w:val="ListParagraph"/>
        <w:numPr>
          <w:ilvl w:val="0"/>
          <w:numId w:val="7"/>
        </w:numPr>
        <w:ind w:firstLineChars="0"/>
        <w:rPr>
          <w:b/>
          <w:bCs/>
        </w:rPr>
      </w:pPr>
      <w:r w:rsidRPr="00561EC5">
        <w:rPr>
          <w:b/>
          <w:bCs/>
        </w:rPr>
        <w:t xml:space="preserve">If CG-SDT is not selected in the above and if the cell supports RA-SDT, then the UE shall select </w:t>
      </w:r>
      <w:r w:rsidRPr="00561EC5">
        <w:rPr>
          <w:b/>
          <w:bCs/>
        </w:rPr>
        <w:lastRenderedPageBreak/>
        <w:t>RA-SDT</w:t>
      </w:r>
    </w:p>
    <w:p w14:paraId="5C949168" w14:textId="77777777" w:rsidR="00561EC5" w:rsidRDefault="0062356C" w:rsidP="00561EC5">
      <w:pPr>
        <w:pStyle w:val="ListParagraph"/>
        <w:numPr>
          <w:ilvl w:val="0"/>
          <w:numId w:val="7"/>
        </w:numPr>
        <w:ind w:firstLineChars="0"/>
        <w:rPr>
          <w:b/>
          <w:bCs/>
        </w:rPr>
      </w:pPr>
      <w:r w:rsidRPr="00561EC5">
        <w:rPr>
          <w:b/>
          <w:bCs/>
        </w:rPr>
        <w:t>If RA-SDT is selected, the UE shall first perform RA-type selection (using the legacy RSRP threshold</w:t>
      </w:r>
      <w:r w:rsidR="00397C35" w:rsidRPr="00561EC5">
        <w:rPr>
          <w:b/>
          <w:bCs/>
        </w:rPr>
        <w:t xml:space="preserve"> for RA-type selection</w:t>
      </w:r>
      <w:r w:rsidRPr="00561EC5">
        <w:rPr>
          <w:b/>
          <w:bCs/>
        </w:rPr>
        <w:t>) and then it shall perform preamble group selection within the selected RA-type (using the pathloss</w:t>
      </w:r>
      <w:r w:rsidR="009E05C7" w:rsidRPr="00561EC5">
        <w:rPr>
          <w:b/>
          <w:bCs/>
        </w:rPr>
        <w:t xml:space="preserve"> criterion</w:t>
      </w:r>
      <w:r w:rsidRPr="00561EC5">
        <w:rPr>
          <w:b/>
          <w:bCs/>
        </w:rPr>
        <w:t>)</w:t>
      </w:r>
    </w:p>
    <w:p w14:paraId="74C6CFB3" w14:textId="1D8042EF" w:rsidR="00446965" w:rsidRPr="00561EC5" w:rsidRDefault="0062356C" w:rsidP="00561EC5">
      <w:pPr>
        <w:pStyle w:val="ListParagraph"/>
        <w:numPr>
          <w:ilvl w:val="0"/>
          <w:numId w:val="7"/>
        </w:numPr>
        <w:ind w:firstLineChars="0"/>
        <w:rPr>
          <w:b/>
          <w:bCs/>
        </w:rPr>
      </w:pPr>
      <w:r w:rsidRPr="00561EC5">
        <w:rPr>
          <w:b/>
          <w:bCs/>
        </w:rPr>
        <w:t>If a new payload size is defined for MSG3/MSGA, then a corresponding pathloss criterion also is needed</w:t>
      </w:r>
    </w:p>
    <w:p w14:paraId="5CA80E02" w14:textId="77777777" w:rsidR="00446965" w:rsidRPr="00561EC5" w:rsidRDefault="0062356C" w:rsidP="00561EC5">
      <w:pPr>
        <w:rPr>
          <w:u w:val="single"/>
        </w:rPr>
      </w:pPr>
      <w:r w:rsidRPr="00561EC5">
        <w:rPr>
          <w:b/>
          <w:bCs/>
        </w:rPr>
        <w:t xml:space="preserve"> </w:t>
      </w:r>
      <w:bookmarkStart w:id="6" w:name="_Hlk51940101"/>
      <w:r w:rsidRPr="00561EC5">
        <w:rPr>
          <w:u w:val="single"/>
        </w:rPr>
        <w:t>Switching from RA-SDT to non-SDT</w:t>
      </w:r>
      <w:bookmarkEnd w:id="6"/>
    </w:p>
    <w:p w14:paraId="362E3BE4" w14:textId="77777777" w:rsidR="00446965" w:rsidRDefault="0062356C">
      <w:r>
        <w:t xml:space="preserve">Once SDT based access is initiated, then the first UL message will have been transmitted by the UE. If the first UL message is lost, then retransmissions are performed by the UE. In case of RA-SDT, configured number of retransmissions will be attempted by the UE before declaring RACH failure. Currently, the payload size of the MSG3/MSGA is not changed after the first UL message (this is to avoid rebuilding of the MSG3/MSGA payload). Thus, the following proposal is made: </w:t>
      </w:r>
    </w:p>
    <w:p w14:paraId="26BC7983" w14:textId="3C1ACC3F" w:rsidR="00446965" w:rsidRDefault="0062356C">
      <w:pPr>
        <w:rPr>
          <w:b/>
          <w:bCs/>
        </w:rPr>
      </w:pPr>
      <w:r>
        <w:rPr>
          <w:b/>
          <w:bCs/>
        </w:rPr>
        <w:t>Proposal</w:t>
      </w:r>
      <w:r w:rsidR="00CC2929">
        <w:rPr>
          <w:b/>
          <w:bCs/>
        </w:rPr>
        <w:t xml:space="preserve"> 4</w:t>
      </w:r>
      <w:r>
        <w:rPr>
          <w:b/>
          <w:bCs/>
        </w:rPr>
        <w:t>: For RA-SDT, after transmitting MSG3/MSGA:</w:t>
      </w:r>
    </w:p>
    <w:p w14:paraId="278E6EB5" w14:textId="77777777" w:rsidR="00446965" w:rsidRDefault="0062356C">
      <w:pPr>
        <w:pStyle w:val="ListParagraph"/>
        <w:numPr>
          <w:ilvl w:val="0"/>
          <w:numId w:val="7"/>
        </w:numPr>
        <w:ind w:firstLineChars="0"/>
        <w:rPr>
          <w:b/>
          <w:bCs/>
        </w:rPr>
      </w:pPr>
      <w:r>
        <w:rPr>
          <w:b/>
          <w:bCs/>
        </w:rPr>
        <w:t>If the payload is received by the network: then the network can decide whether to switch the UE to CONNECTED state or not</w:t>
      </w:r>
    </w:p>
    <w:p w14:paraId="1E39E09C" w14:textId="77777777" w:rsidR="00446965" w:rsidRDefault="0062356C">
      <w:pPr>
        <w:pStyle w:val="ListParagraph"/>
        <w:numPr>
          <w:ilvl w:val="0"/>
          <w:numId w:val="7"/>
        </w:numPr>
        <w:ind w:firstLineChars="0"/>
        <w:rPr>
          <w:b/>
          <w:bCs/>
        </w:rPr>
      </w:pPr>
      <w:r>
        <w:rPr>
          <w:b/>
          <w:bCs/>
        </w:rPr>
        <w:t>If the payload is not received then the UE performs retransmission(s) as part of the RA procedure and RA failure is declared after configured number of failures (i.e. no changes needed for legacy procedure)</w:t>
      </w:r>
    </w:p>
    <w:p w14:paraId="2D6A85C2" w14:textId="77777777" w:rsidR="00446965" w:rsidRDefault="0062356C">
      <w:pPr>
        <w:pStyle w:val="ListParagraph"/>
        <w:numPr>
          <w:ilvl w:val="0"/>
          <w:numId w:val="7"/>
        </w:numPr>
        <w:ind w:firstLineChars="0"/>
        <w:rPr>
          <w:u w:val="single"/>
        </w:rPr>
      </w:pPr>
      <w:r>
        <w:rPr>
          <w:u w:val="single"/>
        </w:rPr>
        <w:t>Switching from CG-SDT to non-SDT</w:t>
      </w:r>
    </w:p>
    <w:p w14:paraId="37270104" w14:textId="77777777" w:rsidR="00446965" w:rsidRDefault="0062356C">
      <w:r>
        <w:t xml:space="preserve">For CG case, after the initial transmission of the first UL message over the configured UL resources, the network already knows the UE ID (since the resources are dedicated) and that an access attempt is made by the UE. Thus, further scheduling and decisions about moving the UE to full connected state can be totally left to network implementation. </w:t>
      </w:r>
    </w:p>
    <w:p w14:paraId="6E5ECFFD" w14:textId="7036EFFB" w:rsidR="00446965" w:rsidRDefault="0062356C">
      <w:pPr>
        <w:rPr>
          <w:b/>
          <w:bCs/>
        </w:rPr>
      </w:pPr>
      <w:r>
        <w:rPr>
          <w:b/>
          <w:bCs/>
        </w:rPr>
        <w:t>Proposal</w:t>
      </w:r>
      <w:r w:rsidR="00CC2929">
        <w:rPr>
          <w:b/>
          <w:bCs/>
        </w:rPr>
        <w:t xml:space="preserve"> 5</w:t>
      </w:r>
      <w:r>
        <w:rPr>
          <w:b/>
          <w:bCs/>
        </w:rPr>
        <w:t xml:space="preserve">: For CG-SDT, after transmitting MSG3/MSGA the UE simply monitors the DL for further UL/DL scheduling and the decision whether to move the UE to full connected state or to continue with SDT is left to network </w:t>
      </w:r>
    </w:p>
    <w:p w14:paraId="465E1F6F" w14:textId="724D115E" w:rsidR="00446965" w:rsidRDefault="0062356C">
      <w:r>
        <w:t xml:space="preserve">One consequence of the above frame work is that there is no switching between RA-SDT and CG-SDT and vice versa. This in general makes sense since RA-SDT will have its own failure handling and CG-SDT will also define a failure handling mechanism (e.g. by triggering reestablishment </w:t>
      </w:r>
      <w:r w:rsidR="008D5F9D">
        <w:t xml:space="preserve">when T319 expires after </w:t>
      </w:r>
      <w:r>
        <w:t>multiple CG-SDT retransmissions fail). Note that in both mechanisms, the failure handling only applies to the first UL message. Once the first UL message is received, then the network anyway will switch to dynamic scheduling. Further, if switching between different SDT schemes is allowed then we may also have to consider rebuilding of the payload and this will be complex and was avoided in earlier releases (e.g. for 2-step RACH). Given this, we propose that there is no switching between CG-SDT and RA-SDT.</w:t>
      </w:r>
    </w:p>
    <w:p w14:paraId="11A04561" w14:textId="766D853B" w:rsidR="00561EC5" w:rsidRDefault="00561EC5">
      <w:r>
        <w:rPr>
          <w:b/>
          <w:bCs/>
        </w:rPr>
        <w:t>Proposal</w:t>
      </w:r>
      <w:r w:rsidR="00CC2929">
        <w:rPr>
          <w:b/>
          <w:bCs/>
        </w:rPr>
        <w:t xml:space="preserve"> 6</w:t>
      </w:r>
      <w:r>
        <w:rPr>
          <w:b/>
          <w:bCs/>
        </w:rPr>
        <w:t xml:space="preserve">: Switching between CG-SDT and RA-SDT (or vice-versa) is not </w:t>
      </w:r>
      <w:r>
        <w:rPr>
          <w:b/>
          <w:bCs/>
        </w:rPr>
        <w:t>supported</w:t>
      </w:r>
    </w:p>
    <w:p w14:paraId="356763FF" w14:textId="05358C1E" w:rsidR="00446965" w:rsidRDefault="0062356C">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lastRenderedPageBreak/>
        <w:t>Cell reselection and failure handling</w:t>
      </w:r>
    </w:p>
    <w:p w14:paraId="5A73FF3B" w14:textId="40AA43F5" w:rsidR="00446965" w:rsidRDefault="0062356C">
      <w:pPr>
        <w:pStyle w:val="ListParagraph"/>
        <w:numPr>
          <w:ilvl w:val="0"/>
          <w:numId w:val="7"/>
        </w:numPr>
        <w:ind w:firstLineChars="0"/>
        <w:rPr>
          <w:u w:val="single"/>
        </w:rPr>
      </w:pPr>
      <w:r>
        <w:rPr>
          <w:u w:val="single"/>
        </w:rPr>
        <w:t xml:space="preserve">Failure handling </w:t>
      </w:r>
    </w:p>
    <w:p w14:paraId="2F137338" w14:textId="373AB65D" w:rsidR="00446965" w:rsidRDefault="0062356C">
      <w:r>
        <w:t xml:space="preserve">Currently, in case of RACH, the failure detection is based on the T319 timer and similar approach can be adopted for both RA-SDT and CG-SDT. However, one question is whether the T319 timer needs to be extended and if so, by how much. In general, the target should be to cover the round-trip time for any response messages in the other direction and to allow sufficient time for the subsequent data transfer phase. The round-trip time in general for typical applications is only in the order of a few 100s of milli seconds anyway. Thus, an extended T319 in the order of a few seconds would be more than sufficient to handle the RA-SDT phase. We propose to cover the range up to 10 sec. As in legacy, the extended T319 timer should cover the time between the first UL message and the RRC response message (i.e. either </w:t>
      </w:r>
      <w:proofErr w:type="spellStart"/>
      <w:r>
        <w:t>RRCRelease</w:t>
      </w:r>
      <w:proofErr w:type="spellEnd"/>
      <w:r>
        <w:t xml:space="preserve"> or </w:t>
      </w:r>
      <w:proofErr w:type="spellStart"/>
      <w:r>
        <w:t>RRCResume</w:t>
      </w:r>
      <w:proofErr w:type="spellEnd"/>
      <w:r>
        <w:t xml:space="preserve">) in DL. </w:t>
      </w:r>
    </w:p>
    <w:p w14:paraId="6272EBE5" w14:textId="7FD9DEE5" w:rsidR="00AB203B" w:rsidRDefault="00AB203B">
      <w:r>
        <w:t xml:space="preserve">The other alternative to the above is to use a new mechanism such as using a new timer which is restarted after each SDT UL/DL packet. However, such a mechanism will in theory extend the SDT phase indefinitely and as such is not the main target scenario for small data transmissions (which is meant to be for small and infrequent data bursts). Given the above, we think there should be an overall upper bound on the SDT phase and an extended T319 like timer should be used to control this. </w:t>
      </w:r>
    </w:p>
    <w:p w14:paraId="1837FDB1" w14:textId="4212E833" w:rsidR="00446965" w:rsidRDefault="0062356C">
      <w:pPr>
        <w:rPr>
          <w:b/>
          <w:bCs/>
        </w:rPr>
      </w:pPr>
      <w:r>
        <w:rPr>
          <w:b/>
          <w:bCs/>
        </w:rPr>
        <w:t>Proposal</w:t>
      </w:r>
      <w:r w:rsidR="00CC2929">
        <w:rPr>
          <w:b/>
          <w:bCs/>
        </w:rPr>
        <w:t xml:space="preserve"> 7</w:t>
      </w:r>
      <w:r>
        <w:rPr>
          <w:b/>
          <w:bCs/>
        </w:rPr>
        <w:t>: T319 value range is extended with a configurable maximum value up to 10 sec to support SDT</w:t>
      </w:r>
    </w:p>
    <w:p w14:paraId="6B33F4B5" w14:textId="09B76162" w:rsidR="00446965" w:rsidRDefault="0062356C">
      <w:r>
        <w:t xml:space="preserve">Then, cell reselection is possible whilst T319 is running and if this happens the UE currently moves to IDLE mode. In case of RA-SDT, if this happens, loss-less data transmission cannot be ensured. If RAN2 agrees to solve this problem, then the first step is that the UE shall not move to IDLE mode (i.e. remain in INACTIVE state). Subsequently, upon reselecting to a new suitable cell, the UE can initiate new RACH procedure. The question then remains how the UE can recover the CP and UP links. For CP, the discussion is regarding the security context. One option here is to initiate reestablishment procedure. The UE can send reestablishment request to the network based on the stored security material. Assuming that the network can retrieve the </w:t>
      </w:r>
      <w:proofErr w:type="gramStart"/>
      <w:r>
        <w:t>security</w:t>
      </w:r>
      <w:proofErr w:type="gramEnd"/>
      <w:r>
        <w:t xml:space="preserve"> context based on the stored security material, the reestablishment will succeed and in this case, the SDT procedure can continue after UP is restored. However, if the network cannot retrieve the UE context based on the reestablishment request, then the network will send the fallback (i.e. </w:t>
      </w:r>
      <w:proofErr w:type="spellStart"/>
      <w:r>
        <w:t>RRCSetup</w:t>
      </w:r>
      <w:proofErr w:type="spellEnd"/>
      <w:r>
        <w:t xml:space="preserve">) and in this case, it can be left up to the UE implementation to minimise the datal loss and interruption to upper layers. </w:t>
      </w:r>
    </w:p>
    <w:p w14:paraId="1ED1AA8B" w14:textId="5ED46671" w:rsidR="00446965" w:rsidRDefault="0062356C" w:rsidP="00732345">
      <w:r>
        <w:t xml:space="preserve">In case of CG-SDT, if cell reselection happens whilst the T319 is running, the CG resources are released by the UE. Then, recovering UP data would need the UE to switch to RA based SDT procedure. </w:t>
      </w:r>
      <w:r w:rsidR="00732345">
        <w:t xml:space="preserve">Thus, we can reuse the above mechanism (i.e. to rely on reestablishment procedure) even for CG-SDT if cell reselection happens during SDT procedure. </w:t>
      </w:r>
      <w:proofErr w:type="gramStart"/>
      <w:r w:rsidR="00732345">
        <w:t>Thus</w:t>
      </w:r>
      <w:proofErr w:type="gramEnd"/>
      <w:r w:rsidR="00732345">
        <w:t xml:space="preserve"> the following proposal is made</w:t>
      </w:r>
    </w:p>
    <w:p w14:paraId="6D240BAC" w14:textId="6C3560BD" w:rsidR="00732345" w:rsidRDefault="00732345" w:rsidP="00732345">
      <w:pPr>
        <w:rPr>
          <w:b/>
          <w:bCs/>
        </w:rPr>
      </w:pPr>
      <w:r>
        <w:rPr>
          <w:b/>
          <w:bCs/>
        </w:rPr>
        <w:t>Proposal</w:t>
      </w:r>
      <w:r w:rsidR="00CC2929">
        <w:rPr>
          <w:b/>
          <w:bCs/>
        </w:rPr>
        <w:t xml:space="preserve"> 8</w:t>
      </w:r>
      <w:r>
        <w:rPr>
          <w:b/>
          <w:bCs/>
        </w:rPr>
        <w:t xml:space="preserve">: For </w:t>
      </w:r>
      <w:r w:rsidRPr="00AB203B">
        <w:rPr>
          <w:b/>
          <w:bCs/>
        </w:rPr>
        <w:t>RA-SDT</w:t>
      </w:r>
      <w:r>
        <w:rPr>
          <w:b/>
          <w:bCs/>
        </w:rPr>
        <w:t xml:space="preserve"> and CG-SDT, upon cell reselection during SDT, the UE remains in INACTIVE state and initiates reestablishment procedure using the stored security material. If the reestablishment succeeds, the SDT procedure can continue in new cell and if reestablishment fails </w:t>
      </w:r>
      <w:r>
        <w:rPr>
          <w:b/>
          <w:bCs/>
        </w:rPr>
        <w:lastRenderedPageBreak/>
        <w:t xml:space="preserve">(i.e. </w:t>
      </w:r>
      <w:proofErr w:type="spellStart"/>
      <w:r w:rsidRPr="00732345">
        <w:rPr>
          <w:b/>
          <w:bCs/>
          <w:i/>
          <w:iCs/>
        </w:rPr>
        <w:t>RRCSetup</w:t>
      </w:r>
      <w:proofErr w:type="spellEnd"/>
      <w:r>
        <w:rPr>
          <w:b/>
          <w:bCs/>
        </w:rPr>
        <w:t xml:space="preserve"> received), then it is up to higher layers to recover any lost or out of order data packets.</w:t>
      </w:r>
    </w:p>
    <w:p w14:paraId="6C884EB1" w14:textId="77777777" w:rsidR="00446965" w:rsidRDefault="0062356C">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Handling of SCG resources</w:t>
      </w:r>
    </w:p>
    <w:p w14:paraId="443FBEFB" w14:textId="77777777" w:rsidR="00446965" w:rsidRDefault="0062356C">
      <w:r>
        <w:t xml:space="preserve">As noted in the WID, the target use case of SDT is the small and infrequent data transmissions. Thus, use of SCG resources for SDT is not beneficial. Hence, only the DRBs with MCG path may be configured for SDT by the network. Further, the UE may keep the SCG configuration and path for the DRBs but the UE shall not resume the SCG path upon initiating SDT. Of course, if the network moves the UE to connected mode, then, the SCG path may be fully restored and resumed per the legacy mechanism. Based on this the following proposals are made: </w:t>
      </w:r>
    </w:p>
    <w:p w14:paraId="5C8E8590" w14:textId="16259C7D" w:rsidR="00446965" w:rsidRDefault="0062356C">
      <w:pPr>
        <w:rPr>
          <w:b/>
          <w:bCs/>
        </w:rPr>
      </w:pPr>
      <w:r>
        <w:rPr>
          <w:b/>
          <w:bCs/>
        </w:rPr>
        <w:t>Proposal</w:t>
      </w:r>
      <w:r w:rsidR="00CC2929">
        <w:rPr>
          <w:b/>
          <w:bCs/>
        </w:rPr>
        <w:t xml:space="preserve"> 9</w:t>
      </w:r>
      <w:r>
        <w:rPr>
          <w:b/>
          <w:bCs/>
        </w:rPr>
        <w:t xml:space="preserve">: The network only configures the DRBs with </w:t>
      </w:r>
      <w:r w:rsidR="008D5F9D">
        <w:rPr>
          <w:b/>
          <w:bCs/>
        </w:rPr>
        <w:t>MN terminated DRB with MCG</w:t>
      </w:r>
      <w:r>
        <w:rPr>
          <w:b/>
          <w:bCs/>
        </w:rPr>
        <w:t xml:space="preserve"> path for SDT</w:t>
      </w:r>
    </w:p>
    <w:p w14:paraId="62A6D21B" w14:textId="25B1209B" w:rsidR="00446965" w:rsidRDefault="0062356C">
      <w:pPr>
        <w:rPr>
          <w:b/>
          <w:bCs/>
        </w:rPr>
      </w:pPr>
      <w:r>
        <w:rPr>
          <w:b/>
          <w:bCs/>
        </w:rPr>
        <w:t>Proposal</w:t>
      </w:r>
      <w:r w:rsidR="00CC2929">
        <w:rPr>
          <w:b/>
          <w:bCs/>
        </w:rPr>
        <w:t xml:space="preserve"> 10</w:t>
      </w:r>
      <w:r>
        <w:rPr>
          <w:b/>
          <w:bCs/>
        </w:rPr>
        <w:t xml:space="preserve">: Upon initiating SDT procedure, the SCG configuration will be stored in the UE (i.e. same as legacy) but the SCG path will not be resumed until the UE receives </w:t>
      </w:r>
      <w:proofErr w:type="spellStart"/>
      <w:r>
        <w:rPr>
          <w:b/>
          <w:bCs/>
        </w:rPr>
        <w:t>RRCResume</w:t>
      </w:r>
      <w:proofErr w:type="spellEnd"/>
      <w:r>
        <w:rPr>
          <w:b/>
          <w:bCs/>
        </w:rPr>
        <w:t xml:space="preserve"> message</w:t>
      </w:r>
    </w:p>
    <w:p w14:paraId="59D668B1" w14:textId="77777777" w:rsidR="00446965" w:rsidRDefault="0062356C">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Support of RRC-Less</w:t>
      </w:r>
    </w:p>
    <w:p w14:paraId="117B3734" w14:textId="703DB2F9" w:rsidR="00446965" w:rsidRDefault="0062356C">
      <w:r>
        <w:t xml:space="preserve">At RAN2#111e, it was agreed to study RRC-less for limited use cases (e.g. same serving cell and/or CG) with a lower priority. As analysed in </w:t>
      </w:r>
      <w:r>
        <w:fldChar w:fldCharType="begin"/>
      </w:r>
      <w:r>
        <w:instrText xml:space="preserve"> REF _Ref52278322 \r \h </w:instrText>
      </w:r>
      <w:r>
        <w:fldChar w:fldCharType="separate"/>
      </w:r>
      <w:r>
        <w:t>[2]</w:t>
      </w:r>
      <w:r>
        <w:fldChar w:fldCharType="end"/>
      </w:r>
      <w:r>
        <w:t xml:space="preserve">, RRC-less approach has limited applicability and is an optimisation for a special case when there is no cell change. Further, specification of an optimization for a solution in the first release of standardizing a feature is not usual. Given this, we propose to specify only one solution for SDT in Rel-17. </w:t>
      </w:r>
    </w:p>
    <w:p w14:paraId="3F0184C1" w14:textId="77777777" w:rsidR="00446965" w:rsidRDefault="0062356C">
      <w:r>
        <w:t xml:space="preserve">However, if RAN2 agrees to support RRC-less solution, we should at least ensure that the solution with and without RRC are not too divergent. To ensure this, we think the following framework for RRC-less can be considered further (but only if RAN2 agrees to specify this solution in Rel-17): </w:t>
      </w:r>
    </w:p>
    <w:p w14:paraId="384EC92A" w14:textId="77777777" w:rsidR="00446965" w:rsidRDefault="0062356C">
      <w:pPr>
        <w:pStyle w:val="ListParagraph"/>
        <w:numPr>
          <w:ilvl w:val="0"/>
          <w:numId w:val="7"/>
        </w:numPr>
        <w:ind w:firstLineChars="0"/>
      </w:pPr>
      <w:r>
        <w:t xml:space="preserve">For the security framework, the same framework is used as the RRC-based solution: </w:t>
      </w:r>
    </w:p>
    <w:p w14:paraId="41881D0F" w14:textId="77777777" w:rsidR="00446965" w:rsidRDefault="0062356C">
      <w:pPr>
        <w:pStyle w:val="ListParagraph"/>
        <w:numPr>
          <w:ilvl w:val="1"/>
          <w:numId w:val="7"/>
        </w:numPr>
        <w:ind w:firstLineChars="0"/>
      </w:pPr>
      <w:r>
        <w:t>The stored security material in the INACTIVE context of the UE is used to generate the integrity protection token (i.e. short-MACI) and is included in the first UL message sent over CG</w:t>
      </w:r>
    </w:p>
    <w:p w14:paraId="1DCFA942" w14:textId="77777777" w:rsidR="00446965" w:rsidRDefault="0062356C">
      <w:pPr>
        <w:pStyle w:val="ListParagraph"/>
        <w:numPr>
          <w:ilvl w:val="1"/>
          <w:numId w:val="7"/>
        </w:numPr>
        <w:ind w:firstLineChars="0"/>
      </w:pPr>
      <w:r>
        <w:t>New security key is generated based on the stored security context like in RA-SDT case and this is used for encrypting and/or integrity protection of data</w:t>
      </w:r>
    </w:p>
    <w:p w14:paraId="429D1687" w14:textId="77777777" w:rsidR="00446965" w:rsidRDefault="0062356C">
      <w:pPr>
        <w:pStyle w:val="ListParagraph"/>
        <w:numPr>
          <w:ilvl w:val="0"/>
          <w:numId w:val="7"/>
        </w:numPr>
        <w:ind w:firstLineChars="0"/>
      </w:pPr>
      <w:r>
        <w:t>The UAC framework is applicable as in RA-SDT and the resume cause may be included in the first UL message</w:t>
      </w:r>
    </w:p>
    <w:p w14:paraId="1F7612CF" w14:textId="77777777" w:rsidR="00446965" w:rsidRDefault="0062356C">
      <w:pPr>
        <w:pStyle w:val="ListParagraph"/>
        <w:numPr>
          <w:ilvl w:val="0"/>
          <w:numId w:val="7"/>
        </w:numPr>
        <w:ind w:firstLineChars="0"/>
      </w:pPr>
      <w:r>
        <w:t xml:space="preserve">MAC CEs are defined to carry the contents that are normally included in the CCCH message (i.e. short-MACI, </w:t>
      </w:r>
      <w:proofErr w:type="spellStart"/>
      <w:r>
        <w:t>resumeCause</w:t>
      </w:r>
      <w:proofErr w:type="spellEnd"/>
      <w:r>
        <w:t xml:space="preserve"> etc)</w:t>
      </w:r>
    </w:p>
    <w:p w14:paraId="0FBC59E8" w14:textId="77777777" w:rsidR="00446965" w:rsidRDefault="0062356C">
      <w:pPr>
        <w:pStyle w:val="ListParagraph"/>
        <w:numPr>
          <w:ilvl w:val="0"/>
          <w:numId w:val="7"/>
        </w:numPr>
        <w:ind w:firstLineChars="0"/>
      </w:pPr>
      <w:r>
        <w:t xml:space="preserve">No RRC-message is included in the first UL message but the UE can still receive an RRC-message in DL in response to the first UL UP message (i.e. the control procedure for RRC-based and RRC-less </w:t>
      </w:r>
      <w:r>
        <w:lastRenderedPageBreak/>
        <w:t>are unified after the first UL message)</w:t>
      </w:r>
    </w:p>
    <w:p w14:paraId="47D1D06E" w14:textId="77777777" w:rsidR="00446965" w:rsidRDefault="0062356C">
      <w:pPr>
        <w:pStyle w:val="ListParagraph"/>
        <w:numPr>
          <w:ilvl w:val="0"/>
          <w:numId w:val="7"/>
        </w:numPr>
        <w:ind w:firstLineChars="0"/>
      </w:pPr>
      <w:r>
        <w:t>The RRC-less approach can be applied to both RACH and CG based solutions as long as the UE resumes in the same cell in which it was moved to RRC-INACTIVE (i.e. only for no cell change case)</w:t>
      </w:r>
    </w:p>
    <w:p w14:paraId="5735D9CF" w14:textId="77777777" w:rsidR="00446965" w:rsidRDefault="0062356C">
      <w:pPr>
        <w:pStyle w:val="ListParagraph"/>
        <w:numPr>
          <w:ilvl w:val="0"/>
          <w:numId w:val="7"/>
        </w:numPr>
        <w:ind w:firstLineChars="0"/>
      </w:pPr>
      <w:r>
        <w:t>Network shall be under control of whether the UE shall use RRC-less approach or not (e.g. via indication in system information or via dedicated configuration – details TBD)</w:t>
      </w:r>
    </w:p>
    <w:p w14:paraId="47F1CFD6" w14:textId="77777777" w:rsidR="00446965" w:rsidRDefault="0062356C">
      <w:r>
        <w:t xml:space="preserve">Based on the above, the following is proposed: </w:t>
      </w:r>
    </w:p>
    <w:p w14:paraId="22BF2554" w14:textId="559E3211" w:rsidR="00446965" w:rsidRDefault="0062356C">
      <w:pPr>
        <w:rPr>
          <w:b/>
          <w:bCs/>
        </w:rPr>
      </w:pPr>
      <w:r>
        <w:rPr>
          <w:b/>
          <w:bCs/>
        </w:rPr>
        <w:t>Proposal</w:t>
      </w:r>
      <w:r w:rsidR="00CC2929">
        <w:rPr>
          <w:b/>
          <w:bCs/>
        </w:rPr>
        <w:t xml:space="preserve"> 11</w:t>
      </w:r>
      <w:r>
        <w:rPr>
          <w:b/>
          <w:bCs/>
        </w:rPr>
        <w:t xml:space="preserve">: RAN2 should continue to focus on </w:t>
      </w:r>
      <w:r w:rsidR="00077021">
        <w:rPr>
          <w:b/>
          <w:bCs/>
        </w:rPr>
        <w:t>RRC-based</w:t>
      </w:r>
      <w:r>
        <w:rPr>
          <w:b/>
          <w:bCs/>
        </w:rPr>
        <w:t xml:space="preserve"> solution in Rel-17 for SDT (i.e. the RRC-based SDT)</w:t>
      </w:r>
    </w:p>
    <w:p w14:paraId="3663CB06" w14:textId="09BF19D8" w:rsidR="00446965" w:rsidRPr="00AB203B" w:rsidRDefault="0062356C">
      <w:pPr>
        <w:rPr>
          <w:b/>
          <w:bCs/>
        </w:rPr>
      </w:pPr>
      <w:r>
        <w:rPr>
          <w:b/>
          <w:bCs/>
        </w:rPr>
        <w:t>Proposal</w:t>
      </w:r>
      <w:r w:rsidR="00CC2929">
        <w:rPr>
          <w:b/>
          <w:bCs/>
        </w:rPr>
        <w:t xml:space="preserve"> 12</w:t>
      </w:r>
      <w:r>
        <w:rPr>
          <w:b/>
          <w:bCs/>
        </w:rPr>
        <w:t xml:space="preserve">: </w:t>
      </w:r>
      <w:r w:rsidR="00130B76">
        <w:rPr>
          <w:b/>
          <w:bCs/>
        </w:rPr>
        <w:t xml:space="preserve">RAN2 </w:t>
      </w:r>
      <w:r w:rsidR="00077021">
        <w:rPr>
          <w:b/>
          <w:bCs/>
        </w:rPr>
        <w:t>should only</w:t>
      </w:r>
      <w:r w:rsidR="00130B76">
        <w:rPr>
          <w:b/>
          <w:bCs/>
        </w:rPr>
        <w:t xml:space="preserve"> consider RRC-less solution </w:t>
      </w:r>
      <w:r w:rsidR="00077021">
        <w:rPr>
          <w:b/>
          <w:bCs/>
        </w:rPr>
        <w:t xml:space="preserve">if time is left after specifying RRC-based solution and </w:t>
      </w:r>
      <w:r w:rsidR="00AB203B">
        <w:rPr>
          <w:b/>
          <w:bCs/>
        </w:rPr>
        <w:t xml:space="preserve">in this case, </w:t>
      </w:r>
      <w:r w:rsidR="00077021">
        <w:rPr>
          <w:b/>
          <w:bCs/>
        </w:rPr>
        <w:t xml:space="preserve">the RRC-less solution should </w:t>
      </w:r>
      <w:r>
        <w:rPr>
          <w:b/>
          <w:bCs/>
        </w:rPr>
        <w:t>adopt the same security</w:t>
      </w:r>
      <w:r w:rsidR="00130B76">
        <w:rPr>
          <w:b/>
          <w:bCs/>
        </w:rPr>
        <w:t xml:space="preserve"> and UAC</w:t>
      </w:r>
      <w:r>
        <w:rPr>
          <w:b/>
          <w:bCs/>
        </w:rPr>
        <w:t xml:space="preserve"> framework as in RRC-based solution and </w:t>
      </w:r>
      <w:r w:rsidR="00077021">
        <w:rPr>
          <w:b/>
          <w:bCs/>
        </w:rPr>
        <w:t>ensure</w:t>
      </w:r>
      <w:r>
        <w:rPr>
          <w:b/>
          <w:bCs/>
        </w:rPr>
        <w:t xml:space="preserve"> that network is in control of state transitions (i.e. UE shall be able to receive an RRC message in DL even if there is no RRC message included in the first UL message). </w:t>
      </w:r>
    </w:p>
    <w:p w14:paraId="2D706EC3" w14:textId="77777777" w:rsidR="00446965" w:rsidRDefault="0062356C">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4D55F08D" w14:textId="3A7D5298" w:rsidR="00446965" w:rsidRDefault="00CC2929">
      <w:r>
        <w:t xml:space="preserve">The CP aspects of SDT are discussed in this contribution and the following observations and proposals are made: </w:t>
      </w:r>
    </w:p>
    <w:p w14:paraId="78C721DE" w14:textId="77777777" w:rsidR="00F92B48" w:rsidRPr="00F92B48" w:rsidRDefault="00F92B48" w:rsidP="00F92B48">
      <w:r w:rsidRPr="00F92B48">
        <w:t>Observation 1: If network can ensure that the TB size corresponding to at least one of the preamble groups within SDT RACH resources can cover the entire cell range, then there is no need for an additional RSRP criterion for SDT vs non-SDT selection</w:t>
      </w:r>
    </w:p>
    <w:p w14:paraId="0A6B3EB5" w14:textId="77777777" w:rsidR="00F92B48" w:rsidRPr="00F92B48" w:rsidRDefault="00F92B48" w:rsidP="00F92B48">
      <w:r w:rsidRPr="00F92B48">
        <w:t>Observation 2: Given the existence of the subsequent data transmission phase for SDT, the network can associate one of the preamble groups to a payload size which is sufficient to cover the full cell range (and use the other preamble groups for larger payload sizes).</w:t>
      </w:r>
    </w:p>
    <w:p w14:paraId="7FC4B37F" w14:textId="7F2FF38F" w:rsidR="00F92B48" w:rsidRPr="00F92B48" w:rsidRDefault="00F92B48" w:rsidP="00F92B48">
      <w:pPr>
        <w:rPr>
          <w:b/>
          <w:bCs/>
          <w:u w:val="single"/>
        </w:rPr>
      </w:pPr>
      <w:r w:rsidRPr="00F92B48">
        <w:rPr>
          <w:b/>
          <w:bCs/>
          <w:u w:val="single"/>
        </w:rPr>
        <w:t xml:space="preserve">Proposals: </w:t>
      </w:r>
    </w:p>
    <w:p w14:paraId="0211212B" w14:textId="4F515F60" w:rsidR="00F92B48" w:rsidRPr="00F92B48" w:rsidRDefault="00F92B48" w:rsidP="00F92B48">
      <w:r w:rsidRPr="00F92B48">
        <w:t xml:space="preserve">Proposal 1: The per-DRB configuration of SDT provides enough flexibility for the network to control the SDT access for the UE and SDT is applicable to all Resume causes (i.e. no further RESUME </w:t>
      </w:r>
      <w:proofErr w:type="gramStart"/>
      <w:r w:rsidRPr="00F92B48">
        <w:t>cause based</w:t>
      </w:r>
      <w:proofErr w:type="gramEnd"/>
      <w:r w:rsidRPr="00F92B48">
        <w:t xml:space="preserve"> restriction is needed for SDT). </w:t>
      </w:r>
    </w:p>
    <w:p w14:paraId="66322C96" w14:textId="77777777" w:rsidR="00F92B48" w:rsidRPr="00F92B48" w:rsidRDefault="00F92B48" w:rsidP="00F92B48">
      <w:r w:rsidRPr="00F92B48">
        <w:t xml:space="preserve">Proposal 2: MSG1 indicates SDT cause (i.e. the </w:t>
      </w:r>
      <w:proofErr w:type="spellStart"/>
      <w:r w:rsidRPr="00F92B48">
        <w:t>RO+preamble</w:t>
      </w:r>
      <w:proofErr w:type="spellEnd"/>
      <w:r w:rsidRPr="00F92B48">
        <w:t xml:space="preserve"> combination is unique for SDT vs non-SDT)</w:t>
      </w:r>
    </w:p>
    <w:p w14:paraId="1794C2C7" w14:textId="77777777" w:rsidR="00F92B48" w:rsidRPr="00F92B48" w:rsidRDefault="00F92B48" w:rsidP="00F92B48">
      <w:r w:rsidRPr="00F92B48">
        <w:t>Proposal 3: UL SDT is initiated upon UL data arrival for one or more DRBs configured for SDT (i.e. data is available only for these DRBs and no other bearers) and if the total data volume is less than a configured threshold.</w:t>
      </w:r>
    </w:p>
    <w:p w14:paraId="4100F834" w14:textId="77777777" w:rsidR="00F92B48" w:rsidRPr="00F92B48" w:rsidRDefault="00F92B48" w:rsidP="00F92B48">
      <w:pPr>
        <w:pStyle w:val="ListParagraph"/>
        <w:numPr>
          <w:ilvl w:val="0"/>
          <w:numId w:val="7"/>
        </w:numPr>
        <w:ind w:firstLineChars="0"/>
      </w:pPr>
      <w:r w:rsidRPr="00F92B48">
        <w:t xml:space="preserve">Upon initiating UL SDT, the UE first performs carrier selection between UL and SUL (same as legacy). </w:t>
      </w:r>
    </w:p>
    <w:p w14:paraId="5D3EA74C" w14:textId="77777777" w:rsidR="00F92B48" w:rsidRPr="00F92B48" w:rsidRDefault="00F92B48" w:rsidP="00F92B48">
      <w:pPr>
        <w:pStyle w:val="ListParagraph"/>
        <w:numPr>
          <w:ilvl w:val="0"/>
          <w:numId w:val="7"/>
        </w:numPr>
        <w:ind w:firstLineChars="0"/>
      </w:pPr>
      <w:r w:rsidRPr="00F92B48">
        <w:t>If on the selected carrier, one or more SSBs above a configured RSRP threshold with valid CG resources exist, CG-SDT is selected</w:t>
      </w:r>
    </w:p>
    <w:p w14:paraId="47A50898" w14:textId="77777777" w:rsidR="00F92B48" w:rsidRPr="00F92B48" w:rsidRDefault="00F92B48" w:rsidP="00F92B48">
      <w:pPr>
        <w:pStyle w:val="ListParagraph"/>
        <w:numPr>
          <w:ilvl w:val="0"/>
          <w:numId w:val="7"/>
        </w:numPr>
        <w:ind w:firstLineChars="0"/>
      </w:pPr>
      <w:r w:rsidRPr="00F92B48">
        <w:lastRenderedPageBreak/>
        <w:t>If CG-SDT is not selected in the above and if the cell supports RA-SDT, then the UE shall select RA-SDT</w:t>
      </w:r>
    </w:p>
    <w:p w14:paraId="21477DF8" w14:textId="77777777" w:rsidR="00F92B48" w:rsidRPr="00F92B48" w:rsidRDefault="00F92B48" w:rsidP="00F92B48">
      <w:pPr>
        <w:pStyle w:val="ListParagraph"/>
        <w:numPr>
          <w:ilvl w:val="0"/>
          <w:numId w:val="7"/>
        </w:numPr>
        <w:ind w:firstLineChars="0"/>
      </w:pPr>
      <w:r w:rsidRPr="00F92B48">
        <w:t>If RA-SDT is selected, the UE shall first perform RA-type selection (using the legacy RSRP threshold for RA-type selection) and then it shall perform preamble group selection within the selected RA-type (using the pathloss criterion)</w:t>
      </w:r>
    </w:p>
    <w:p w14:paraId="4EB86943" w14:textId="77777777" w:rsidR="00F92B48" w:rsidRPr="00F92B48" w:rsidRDefault="00F92B48" w:rsidP="00F92B48">
      <w:pPr>
        <w:pStyle w:val="ListParagraph"/>
        <w:numPr>
          <w:ilvl w:val="0"/>
          <w:numId w:val="7"/>
        </w:numPr>
        <w:ind w:firstLineChars="0"/>
      </w:pPr>
      <w:r w:rsidRPr="00F92B48">
        <w:t>If a new payload size is defined for MSG3/MSGA, then a corresponding pathloss criterion also is needed</w:t>
      </w:r>
    </w:p>
    <w:p w14:paraId="13AB04D6" w14:textId="77777777" w:rsidR="00F92B48" w:rsidRPr="00F92B48" w:rsidRDefault="00F92B48" w:rsidP="00F92B48">
      <w:r w:rsidRPr="00F92B48">
        <w:t>Proposal 4: For RA-SDT, after transmitting MSG3/MSGA:</w:t>
      </w:r>
    </w:p>
    <w:p w14:paraId="22E542E3" w14:textId="77777777" w:rsidR="00F92B48" w:rsidRPr="00F92B48" w:rsidRDefault="00F92B48" w:rsidP="00F92B48">
      <w:pPr>
        <w:pStyle w:val="ListParagraph"/>
        <w:numPr>
          <w:ilvl w:val="0"/>
          <w:numId w:val="7"/>
        </w:numPr>
        <w:ind w:firstLineChars="0"/>
      </w:pPr>
      <w:r w:rsidRPr="00F92B48">
        <w:t>If the payload is received by the network: then the network can decide whether to switch the UE to CONNECTED state or not</w:t>
      </w:r>
    </w:p>
    <w:p w14:paraId="5043BA55" w14:textId="77777777" w:rsidR="00F92B48" w:rsidRPr="00F92B48" w:rsidRDefault="00F92B48" w:rsidP="00F92B48">
      <w:pPr>
        <w:pStyle w:val="ListParagraph"/>
        <w:numPr>
          <w:ilvl w:val="0"/>
          <w:numId w:val="7"/>
        </w:numPr>
        <w:ind w:firstLineChars="0"/>
      </w:pPr>
      <w:r w:rsidRPr="00F92B48">
        <w:t>If the payload is not received then the UE performs retransmission(s) as part of the RA procedure and RA failure is declared after configured number of failures (i.e. no changes needed for legacy procedure)</w:t>
      </w:r>
    </w:p>
    <w:p w14:paraId="51502DBD" w14:textId="77777777" w:rsidR="00F92B48" w:rsidRPr="00F92B48" w:rsidRDefault="00F92B48" w:rsidP="00F92B48">
      <w:r w:rsidRPr="00F92B48">
        <w:t xml:space="preserve">Proposal 5: For CG-SDT, after transmitting MSG3/MSGA the UE simply monitors the DL for further UL/DL scheduling and the decision whether to move the UE to full connected state or to continue with SDT is left to network </w:t>
      </w:r>
    </w:p>
    <w:p w14:paraId="0BF783DB" w14:textId="77777777" w:rsidR="00F92B48" w:rsidRPr="00F92B48" w:rsidRDefault="00F92B48" w:rsidP="00F92B48">
      <w:r w:rsidRPr="00F92B48">
        <w:t>Proposal 6: Switching between CG-SDT and RA-SDT (or vice-versa) is not supported</w:t>
      </w:r>
    </w:p>
    <w:p w14:paraId="318A1405" w14:textId="77777777" w:rsidR="00F92B48" w:rsidRPr="00F92B48" w:rsidRDefault="00F92B48" w:rsidP="00F92B48">
      <w:r w:rsidRPr="00F92B48">
        <w:t>Proposal 7: T319 value range is extended with a configurable maximum value up to 10 sec to support SDT</w:t>
      </w:r>
    </w:p>
    <w:p w14:paraId="192EC4C8" w14:textId="77777777" w:rsidR="00F92B48" w:rsidRPr="00F92B48" w:rsidRDefault="00F92B48" w:rsidP="00F92B48">
      <w:r w:rsidRPr="00F92B48">
        <w:t xml:space="preserve">Proposal 8: For RA-SDT and CG-SDT, upon cell reselection during SDT, the UE remains in INACTIVE state and initiates reestablishment procedure using the stored security material. If the reestablishment succeeds, the SDT procedure can continue in new cell and if reestablishment fails (i.e. </w:t>
      </w:r>
      <w:proofErr w:type="spellStart"/>
      <w:r w:rsidRPr="00F92B48">
        <w:rPr>
          <w:i/>
          <w:iCs/>
        </w:rPr>
        <w:t>RRCSetup</w:t>
      </w:r>
      <w:proofErr w:type="spellEnd"/>
      <w:r w:rsidRPr="00F92B48">
        <w:t xml:space="preserve"> received), then it is up to higher layers to recover any lost or out of order data packets.</w:t>
      </w:r>
    </w:p>
    <w:p w14:paraId="323FF2A4" w14:textId="77777777" w:rsidR="00F92B48" w:rsidRPr="00F92B48" w:rsidRDefault="00F92B48" w:rsidP="00F92B48">
      <w:r w:rsidRPr="00F92B48">
        <w:t>Proposal 9: The network only configures the DRBs with MN terminated DRB with MCG path for SDT</w:t>
      </w:r>
    </w:p>
    <w:p w14:paraId="5A4C4A14" w14:textId="77777777" w:rsidR="00F92B48" w:rsidRPr="00F92B48" w:rsidRDefault="00F92B48" w:rsidP="00F92B48">
      <w:r w:rsidRPr="00F92B48">
        <w:t xml:space="preserve">Proposal 10: Upon initiating SDT procedure, the SCG configuration will be stored in the UE (i.e. same as legacy) but the SCG path will not be resumed until the UE receives </w:t>
      </w:r>
      <w:proofErr w:type="spellStart"/>
      <w:r w:rsidRPr="00F92B48">
        <w:t>RRCResume</w:t>
      </w:r>
      <w:proofErr w:type="spellEnd"/>
      <w:r w:rsidRPr="00F92B48">
        <w:t xml:space="preserve"> message</w:t>
      </w:r>
    </w:p>
    <w:p w14:paraId="3BC2CC90" w14:textId="77777777" w:rsidR="00F92B48" w:rsidRPr="00F92B48" w:rsidRDefault="00F92B48" w:rsidP="00F92B48">
      <w:r w:rsidRPr="00F92B48">
        <w:t>Proposal 11: RAN2 should continue to focus on RRC-based solution in Rel-17 for SDT (i.e. the RRC-based SDT)</w:t>
      </w:r>
    </w:p>
    <w:p w14:paraId="3B2E8E59" w14:textId="77777777" w:rsidR="00F92B48" w:rsidRPr="00F92B48" w:rsidRDefault="00F92B48" w:rsidP="00F92B48">
      <w:r w:rsidRPr="00F92B48">
        <w:t xml:space="preserve">Proposal 12: RAN2 should only consider RRC-less solution if time is left after specifying RRC-based solution and in this case, the RRC-less solution should adopt the same security and UAC framework as in RRC-based solution and ensure that network is in control of state transitions (i.e. UE shall be able to receive an RRC message in DL even if there is no RRC message included in the first UL message). </w:t>
      </w:r>
    </w:p>
    <w:p w14:paraId="74FA3686" w14:textId="77777777" w:rsidR="00446965" w:rsidRDefault="0062356C">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7" w:name="_Toc18403976"/>
      <w:bookmarkStart w:id="8" w:name="_Toc18413612"/>
      <w:bookmarkStart w:id="9" w:name="_Toc18404543"/>
      <w:r>
        <w:rPr>
          <w:rFonts w:cs="Arial"/>
          <w:b w:val="0"/>
          <w:bCs w:val="0"/>
          <w:kern w:val="0"/>
          <w:sz w:val="32"/>
          <w:szCs w:val="36"/>
        </w:rPr>
        <w:t>References</w:t>
      </w:r>
      <w:bookmarkEnd w:id="7"/>
      <w:bookmarkEnd w:id="8"/>
      <w:bookmarkEnd w:id="9"/>
    </w:p>
    <w:p w14:paraId="3E0AA2B3" w14:textId="77777777" w:rsidR="00446965" w:rsidRDefault="0062356C">
      <w:pPr>
        <w:pStyle w:val="NormalWeb"/>
        <w:numPr>
          <w:ilvl w:val="0"/>
          <w:numId w:val="11"/>
        </w:numPr>
        <w:spacing w:before="75" w:beforeAutospacing="0" w:after="75" w:afterAutospacing="0" w:line="315" w:lineRule="atLeast"/>
        <w:rPr>
          <w:rFonts w:cs="Arial"/>
          <w:color w:val="000000"/>
          <w:sz w:val="21"/>
        </w:rPr>
      </w:pPr>
      <w:bookmarkStart w:id="10" w:name="_Ref45709611"/>
      <w:r>
        <w:rPr>
          <w:rFonts w:cs="Arial"/>
          <w:color w:val="000000"/>
          <w:sz w:val="21"/>
        </w:rPr>
        <w:t>RP-201305, Updated Work Item on NR small data transmissions in INACTIVE state, ZTE, RAN#88e</w:t>
      </w:r>
      <w:bookmarkEnd w:id="10"/>
    </w:p>
    <w:p w14:paraId="391075C9" w14:textId="77777777" w:rsidR="00446965" w:rsidRDefault="0062356C">
      <w:pPr>
        <w:pStyle w:val="NormalWeb"/>
        <w:numPr>
          <w:ilvl w:val="0"/>
          <w:numId w:val="11"/>
        </w:numPr>
        <w:spacing w:before="75" w:beforeAutospacing="0" w:after="75" w:afterAutospacing="0" w:line="315" w:lineRule="atLeast"/>
        <w:rPr>
          <w:rFonts w:cs="Arial"/>
          <w:color w:val="000000"/>
          <w:sz w:val="21"/>
        </w:rPr>
      </w:pPr>
      <w:bookmarkStart w:id="11" w:name="_Ref52278322"/>
      <w:r>
        <w:rPr>
          <w:rFonts w:cs="Arial"/>
          <w:color w:val="000000"/>
          <w:sz w:val="21"/>
        </w:rPr>
        <w:lastRenderedPageBreak/>
        <w:t>R2-2007448, Selection between RRC-based and RRC-less solutions for IDT</w:t>
      </w:r>
      <w:r>
        <w:rPr>
          <w:rFonts w:cs="Arial"/>
          <w:color w:val="000000"/>
          <w:sz w:val="21"/>
        </w:rPr>
        <w:tab/>
        <w:t>ZTE Corporation, Sanechips, RAN2#111e</w:t>
      </w:r>
      <w:bookmarkEnd w:id="11"/>
    </w:p>
    <w:p w14:paraId="478361CE" w14:textId="77777777" w:rsidR="00446965" w:rsidRDefault="00446965">
      <w:pPr>
        <w:pStyle w:val="NormalWeb"/>
        <w:spacing w:before="75" w:beforeAutospacing="0" w:after="75" w:afterAutospacing="0" w:line="315" w:lineRule="atLeast"/>
        <w:rPr>
          <w:rFonts w:cs="Arial"/>
          <w:color w:val="000000"/>
          <w:sz w:val="21"/>
        </w:rPr>
      </w:pPr>
    </w:p>
    <w:sectPr w:rsidR="00446965" w:rsidSect="002843CF">
      <w:headerReference w:type="even" r:id="rId10"/>
      <w:headerReference w:type="default" r:id="rId11"/>
      <w:footerReference w:type="even" r:id="rId12"/>
      <w:footerReference w:type="default" r:id="rId13"/>
      <w:headerReference w:type="first" r:id="rId14"/>
      <w:footerReference w:type="first" r:id="rId15"/>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86FFB2" w14:textId="77777777" w:rsidR="00F65F37" w:rsidRDefault="00F65F37">
      <w:pPr>
        <w:spacing w:after="0" w:line="240" w:lineRule="auto"/>
      </w:pPr>
      <w:r>
        <w:separator/>
      </w:r>
    </w:p>
  </w:endnote>
  <w:endnote w:type="continuationSeparator" w:id="0">
    <w:p w14:paraId="373F246C" w14:textId="77777777" w:rsidR="00F65F37" w:rsidRDefault="00F65F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B3CE77" w14:textId="77777777" w:rsidR="00446965" w:rsidRDefault="0062356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049CFA" w14:textId="77777777" w:rsidR="00446965" w:rsidRDefault="0044696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AE1522" w14:textId="77777777" w:rsidR="00446965" w:rsidRDefault="00446965">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EB129B" w14:textId="77777777" w:rsidR="00532B61" w:rsidRDefault="00532B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4EDC1A" w14:textId="77777777" w:rsidR="00F65F37" w:rsidRDefault="00F65F37">
      <w:pPr>
        <w:spacing w:after="0" w:line="240" w:lineRule="auto"/>
      </w:pPr>
      <w:r>
        <w:separator/>
      </w:r>
    </w:p>
  </w:footnote>
  <w:footnote w:type="continuationSeparator" w:id="0">
    <w:p w14:paraId="6DDC0661" w14:textId="77777777" w:rsidR="00F65F37" w:rsidRDefault="00F65F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E2D3CC" w14:textId="77777777" w:rsidR="00532B61" w:rsidRDefault="00532B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DC8EF6" w14:textId="77777777" w:rsidR="00446965" w:rsidRDefault="00446965">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A4D76E" w14:textId="77777777" w:rsidR="00532B61" w:rsidRDefault="00532B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33A6E73"/>
    <w:multiLevelType w:val="multilevel"/>
    <w:tmpl w:val="033A6E73"/>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77F62FE"/>
    <w:multiLevelType w:val="multilevel"/>
    <w:tmpl w:val="277F62FE"/>
    <w:lvl w:ilvl="0">
      <w:start w:val="7"/>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2DD56E9C"/>
    <w:multiLevelType w:val="multilevel"/>
    <w:tmpl w:val="2DD56E9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698E2E80"/>
    <w:multiLevelType w:val="multilevel"/>
    <w:tmpl w:val="698E2E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775B20E2"/>
    <w:multiLevelType w:val="multilevel"/>
    <w:tmpl w:val="775B20E2"/>
    <w:lvl w:ilvl="0">
      <w:start w:val="7"/>
      <w:numFmt w:val="bullet"/>
      <w:lvlText w:val="-"/>
      <w:lvlJc w:val="left"/>
      <w:pPr>
        <w:ind w:left="360" w:hanging="360"/>
      </w:pPr>
      <w:rPr>
        <w:rFonts w:ascii="Arial" w:eastAsiaTheme="minorEastAsia"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7"/>
  </w:num>
  <w:num w:numId="3">
    <w:abstractNumId w:val="4"/>
  </w:num>
  <w:num w:numId="4">
    <w:abstractNumId w:val="6"/>
  </w:num>
  <w:num w:numId="5">
    <w:abstractNumId w:val="8"/>
  </w:num>
  <w:num w:numId="6">
    <w:abstractNumId w:val="2"/>
  </w:num>
  <w:num w:numId="7">
    <w:abstractNumId w:val="10"/>
  </w:num>
  <w:num w:numId="8">
    <w:abstractNumId w:val="3"/>
  </w:num>
  <w:num w:numId="9">
    <w:abstractNumId w:val="1"/>
  </w:num>
  <w:num w:numId="10">
    <w:abstractNumId w:val="5"/>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74A"/>
    <w:rsid w:val="00017BA5"/>
    <w:rsid w:val="00021259"/>
    <w:rsid w:val="00021359"/>
    <w:rsid w:val="000223BE"/>
    <w:rsid w:val="000248FC"/>
    <w:rsid w:val="00024E29"/>
    <w:rsid w:val="0002660A"/>
    <w:rsid w:val="00026899"/>
    <w:rsid w:val="0002698B"/>
    <w:rsid w:val="0002709F"/>
    <w:rsid w:val="00027EEC"/>
    <w:rsid w:val="00030099"/>
    <w:rsid w:val="00035A1E"/>
    <w:rsid w:val="00035EF9"/>
    <w:rsid w:val="00037973"/>
    <w:rsid w:val="00040A63"/>
    <w:rsid w:val="0004105F"/>
    <w:rsid w:val="00042E6F"/>
    <w:rsid w:val="00043923"/>
    <w:rsid w:val="00043FCA"/>
    <w:rsid w:val="00044EB3"/>
    <w:rsid w:val="00045EDE"/>
    <w:rsid w:val="00046E3D"/>
    <w:rsid w:val="00047F4F"/>
    <w:rsid w:val="000563ED"/>
    <w:rsid w:val="000602CB"/>
    <w:rsid w:val="000603D6"/>
    <w:rsid w:val="0007093A"/>
    <w:rsid w:val="00071D0A"/>
    <w:rsid w:val="0007205B"/>
    <w:rsid w:val="0007240A"/>
    <w:rsid w:val="00073BCE"/>
    <w:rsid w:val="00074540"/>
    <w:rsid w:val="000755A8"/>
    <w:rsid w:val="00075AE2"/>
    <w:rsid w:val="00076492"/>
    <w:rsid w:val="00076B12"/>
    <w:rsid w:val="00077021"/>
    <w:rsid w:val="0007780F"/>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119B"/>
    <w:rsid w:val="000A204F"/>
    <w:rsid w:val="000A22DF"/>
    <w:rsid w:val="000A2A28"/>
    <w:rsid w:val="000A2D0A"/>
    <w:rsid w:val="000A3A4E"/>
    <w:rsid w:val="000A53F5"/>
    <w:rsid w:val="000A68DC"/>
    <w:rsid w:val="000B0495"/>
    <w:rsid w:val="000B21DA"/>
    <w:rsid w:val="000B25A2"/>
    <w:rsid w:val="000B2A5C"/>
    <w:rsid w:val="000B2C9E"/>
    <w:rsid w:val="000B3108"/>
    <w:rsid w:val="000B31AA"/>
    <w:rsid w:val="000B38F6"/>
    <w:rsid w:val="000B4B76"/>
    <w:rsid w:val="000B6418"/>
    <w:rsid w:val="000B65CB"/>
    <w:rsid w:val="000B7001"/>
    <w:rsid w:val="000B780E"/>
    <w:rsid w:val="000C236D"/>
    <w:rsid w:val="000C2690"/>
    <w:rsid w:val="000C364E"/>
    <w:rsid w:val="000C4F79"/>
    <w:rsid w:val="000C5D4C"/>
    <w:rsid w:val="000C6FF6"/>
    <w:rsid w:val="000C7FC7"/>
    <w:rsid w:val="000D18C5"/>
    <w:rsid w:val="000D2BF9"/>
    <w:rsid w:val="000D46DC"/>
    <w:rsid w:val="000E1125"/>
    <w:rsid w:val="000E1993"/>
    <w:rsid w:val="000E1EF3"/>
    <w:rsid w:val="000E38C6"/>
    <w:rsid w:val="000E3B8A"/>
    <w:rsid w:val="000F0A49"/>
    <w:rsid w:val="000F0A7B"/>
    <w:rsid w:val="000F0AC3"/>
    <w:rsid w:val="000F2AE2"/>
    <w:rsid w:val="000F4CFF"/>
    <w:rsid w:val="00100030"/>
    <w:rsid w:val="00111739"/>
    <w:rsid w:val="00111C96"/>
    <w:rsid w:val="00111CE0"/>
    <w:rsid w:val="00111DF0"/>
    <w:rsid w:val="001135C5"/>
    <w:rsid w:val="00114117"/>
    <w:rsid w:val="001147C0"/>
    <w:rsid w:val="001156DF"/>
    <w:rsid w:val="001253A3"/>
    <w:rsid w:val="00126145"/>
    <w:rsid w:val="0012673B"/>
    <w:rsid w:val="00126996"/>
    <w:rsid w:val="001277F8"/>
    <w:rsid w:val="00130B76"/>
    <w:rsid w:val="00131F75"/>
    <w:rsid w:val="0013288E"/>
    <w:rsid w:val="00134275"/>
    <w:rsid w:val="0013534D"/>
    <w:rsid w:val="00137B0E"/>
    <w:rsid w:val="00137D4E"/>
    <w:rsid w:val="00140571"/>
    <w:rsid w:val="001413B6"/>
    <w:rsid w:val="00141835"/>
    <w:rsid w:val="00145AFF"/>
    <w:rsid w:val="00145B62"/>
    <w:rsid w:val="00147740"/>
    <w:rsid w:val="00150BAB"/>
    <w:rsid w:val="00160A40"/>
    <w:rsid w:val="001627D9"/>
    <w:rsid w:val="00170667"/>
    <w:rsid w:val="00170C6A"/>
    <w:rsid w:val="00171FF9"/>
    <w:rsid w:val="0017245C"/>
    <w:rsid w:val="00175677"/>
    <w:rsid w:val="00175874"/>
    <w:rsid w:val="00175B74"/>
    <w:rsid w:val="001761E3"/>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384E"/>
    <w:rsid w:val="001A4015"/>
    <w:rsid w:val="001A6AFD"/>
    <w:rsid w:val="001B21A1"/>
    <w:rsid w:val="001B3224"/>
    <w:rsid w:val="001B337C"/>
    <w:rsid w:val="001B5AE5"/>
    <w:rsid w:val="001B7027"/>
    <w:rsid w:val="001B7A19"/>
    <w:rsid w:val="001B7C67"/>
    <w:rsid w:val="001C0CED"/>
    <w:rsid w:val="001C0F93"/>
    <w:rsid w:val="001C1105"/>
    <w:rsid w:val="001C17C6"/>
    <w:rsid w:val="001C22DE"/>
    <w:rsid w:val="001C2385"/>
    <w:rsid w:val="001C2AF5"/>
    <w:rsid w:val="001C2B3C"/>
    <w:rsid w:val="001C3C4C"/>
    <w:rsid w:val="001C4431"/>
    <w:rsid w:val="001C7F10"/>
    <w:rsid w:val="001D2914"/>
    <w:rsid w:val="001D2FB0"/>
    <w:rsid w:val="001D55AF"/>
    <w:rsid w:val="001E01CC"/>
    <w:rsid w:val="001E0341"/>
    <w:rsid w:val="001E1C36"/>
    <w:rsid w:val="001E3D8C"/>
    <w:rsid w:val="001E43EF"/>
    <w:rsid w:val="001E44CD"/>
    <w:rsid w:val="001E6F40"/>
    <w:rsid w:val="001F0A3C"/>
    <w:rsid w:val="001F1606"/>
    <w:rsid w:val="001F31F0"/>
    <w:rsid w:val="001F3DF5"/>
    <w:rsid w:val="001F4346"/>
    <w:rsid w:val="002013C9"/>
    <w:rsid w:val="00201FFE"/>
    <w:rsid w:val="00202C4B"/>
    <w:rsid w:val="00203B88"/>
    <w:rsid w:val="00206380"/>
    <w:rsid w:val="002155FA"/>
    <w:rsid w:val="00215E50"/>
    <w:rsid w:val="00216E24"/>
    <w:rsid w:val="002176DE"/>
    <w:rsid w:val="002177BC"/>
    <w:rsid w:val="00217C8F"/>
    <w:rsid w:val="00223B64"/>
    <w:rsid w:val="00224BF7"/>
    <w:rsid w:val="0023029F"/>
    <w:rsid w:val="00231281"/>
    <w:rsid w:val="00231DC2"/>
    <w:rsid w:val="002333B7"/>
    <w:rsid w:val="002344F2"/>
    <w:rsid w:val="00235BBC"/>
    <w:rsid w:val="002368E4"/>
    <w:rsid w:val="00241832"/>
    <w:rsid w:val="002435BA"/>
    <w:rsid w:val="00244D42"/>
    <w:rsid w:val="00246FFA"/>
    <w:rsid w:val="00247076"/>
    <w:rsid w:val="00247683"/>
    <w:rsid w:val="00252B94"/>
    <w:rsid w:val="00255974"/>
    <w:rsid w:val="00255E19"/>
    <w:rsid w:val="00256C2E"/>
    <w:rsid w:val="00257233"/>
    <w:rsid w:val="00260716"/>
    <w:rsid w:val="0026193E"/>
    <w:rsid w:val="00261A9C"/>
    <w:rsid w:val="00261E11"/>
    <w:rsid w:val="00262518"/>
    <w:rsid w:val="00263A3D"/>
    <w:rsid w:val="00264137"/>
    <w:rsid w:val="00264908"/>
    <w:rsid w:val="00265438"/>
    <w:rsid w:val="0027030C"/>
    <w:rsid w:val="00270A1C"/>
    <w:rsid w:val="00271ED8"/>
    <w:rsid w:val="002730ED"/>
    <w:rsid w:val="00274A71"/>
    <w:rsid w:val="00277301"/>
    <w:rsid w:val="00281718"/>
    <w:rsid w:val="00282A2B"/>
    <w:rsid w:val="002843CF"/>
    <w:rsid w:val="002855D0"/>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087"/>
    <w:rsid w:val="002C4649"/>
    <w:rsid w:val="002C4E8A"/>
    <w:rsid w:val="002C708B"/>
    <w:rsid w:val="002D00AA"/>
    <w:rsid w:val="002D044D"/>
    <w:rsid w:val="002D0F0A"/>
    <w:rsid w:val="002D349F"/>
    <w:rsid w:val="002D35FA"/>
    <w:rsid w:val="002D3797"/>
    <w:rsid w:val="002D37AB"/>
    <w:rsid w:val="002D4F4B"/>
    <w:rsid w:val="002D6461"/>
    <w:rsid w:val="002D650F"/>
    <w:rsid w:val="002D6E18"/>
    <w:rsid w:val="002E002E"/>
    <w:rsid w:val="002E28F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74DC"/>
    <w:rsid w:val="00300EE0"/>
    <w:rsid w:val="003031CE"/>
    <w:rsid w:val="00304852"/>
    <w:rsid w:val="00305358"/>
    <w:rsid w:val="00305F11"/>
    <w:rsid w:val="0030650B"/>
    <w:rsid w:val="003110B2"/>
    <w:rsid w:val="00312067"/>
    <w:rsid w:val="00312C1A"/>
    <w:rsid w:val="00312DD1"/>
    <w:rsid w:val="00313308"/>
    <w:rsid w:val="003144CA"/>
    <w:rsid w:val="00317063"/>
    <w:rsid w:val="003171FD"/>
    <w:rsid w:val="00321077"/>
    <w:rsid w:val="003213D2"/>
    <w:rsid w:val="00322A09"/>
    <w:rsid w:val="00322EDB"/>
    <w:rsid w:val="0032502D"/>
    <w:rsid w:val="003268BB"/>
    <w:rsid w:val="00326BBD"/>
    <w:rsid w:val="00330072"/>
    <w:rsid w:val="003301FF"/>
    <w:rsid w:val="00330B4E"/>
    <w:rsid w:val="0033176D"/>
    <w:rsid w:val="003326BA"/>
    <w:rsid w:val="00332953"/>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200"/>
    <w:rsid w:val="00362FCF"/>
    <w:rsid w:val="003645A1"/>
    <w:rsid w:val="0036468F"/>
    <w:rsid w:val="003662B1"/>
    <w:rsid w:val="00366993"/>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4B"/>
    <w:rsid w:val="00384541"/>
    <w:rsid w:val="00385C87"/>
    <w:rsid w:val="00387F14"/>
    <w:rsid w:val="00391402"/>
    <w:rsid w:val="00391F87"/>
    <w:rsid w:val="003922AD"/>
    <w:rsid w:val="00393338"/>
    <w:rsid w:val="00394FC5"/>
    <w:rsid w:val="00395A59"/>
    <w:rsid w:val="00396952"/>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C7"/>
    <w:rsid w:val="003D0EF8"/>
    <w:rsid w:val="003D1455"/>
    <w:rsid w:val="003D2B72"/>
    <w:rsid w:val="003D42C7"/>
    <w:rsid w:val="003D62B1"/>
    <w:rsid w:val="003D7765"/>
    <w:rsid w:val="003E1518"/>
    <w:rsid w:val="003E1AAD"/>
    <w:rsid w:val="003E2FC9"/>
    <w:rsid w:val="003E41F4"/>
    <w:rsid w:val="003E42F6"/>
    <w:rsid w:val="003E48E7"/>
    <w:rsid w:val="003E6BF7"/>
    <w:rsid w:val="003E7C95"/>
    <w:rsid w:val="003E7D68"/>
    <w:rsid w:val="003F1437"/>
    <w:rsid w:val="003F3365"/>
    <w:rsid w:val="003F39E3"/>
    <w:rsid w:val="003F448B"/>
    <w:rsid w:val="003F58F6"/>
    <w:rsid w:val="003F6316"/>
    <w:rsid w:val="003F75E0"/>
    <w:rsid w:val="004006A5"/>
    <w:rsid w:val="00401149"/>
    <w:rsid w:val="00402720"/>
    <w:rsid w:val="00402985"/>
    <w:rsid w:val="00406593"/>
    <w:rsid w:val="004069AC"/>
    <w:rsid w:val="004069B2"/>
    <w:rsid w:val="0040782D"/>
    <w:rsid w:val="00410408"/>
    <w:rsid w:val="004112A9"/>
    <w:rsid w:val="00411FDA"/>
    <w:rsid w:val="00413229"/>
    <w:rsid w:val="00413D6F"/>
    <w:rsid w:val="004146A6"/>
    <w:rsid w:val="004150C6"/>
    <w:rsid w:val="004156C6"/>
    <w:rsid w:val="004214B5"/>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27D9"/>
    <w:rsid w:val="0047305C"/>
    <w:rsid w:val="0047403A"/>
    <w:rsid w:val="00474161"/>
    <w:rsid w:val="004742B2"/>
    <w:rsid w:val="00474C36"/>
    <w:rsid w:val="00475E38"/>
    <w:rsid w:val="004779B8"/>
    <w:rsid w:val="0048006F"/>
    <w:rsid w:val="00482BBB"/>
    <w:rsid w:val="00483389"/>
    <w:rsid w:val="00485114"/>
    <w:rsid w:val="00485594"/>
    <w:rsid w:val="00485AE4"/>
    <w:rsid w:val="00486111"/>
    <w:rsid w:val="0049176F"/>
    <w:rsid w:val="00492EA5"/>
    <w:rsid w:val="00493038"/>
    <w:rsid w:val="00493247"/>
    <w:rsid w:val="00494981"/>
    <w:rsid w:val="00495E19"/>
    <w:rsid w:val="0049613E"/>
    <w:rsid w:val="0049650D"/>
    <w:rsid w:val="00497D20"/>
    <w:rsid w:val="004A0053"/>
    <w:rsid w:val="004A014A"/>
    <w:rsid w:val="004A0572"/>
    <w:rsid w:val="004A1051"/>
    <w:rsid w:val="004A1B41"/>
    <w:rsid w:val="004A2687"/>
    <w:rsid w:val="004A402F"/>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3CA0"/>
    <w:rsid w:val="004D5E1F"/>
    <w:rsid w:val="004D5F55"/>
    <w:rsid w:val="004D6AE5"/>
    <w:rsid w:val="004D7034"/>
    <w:rsid w:val="004E06BE"/>
    <w:rsid w:val="004E1EBD"/>
    <w:rsid w:val="004E3A45"/>
    <w:rsid w:val="004E3B7D"/>
    <w:rsid w:val="004E3E3E"/>
    <w:rsid w:val="004E4863"/>
    <w:rsid w:val="004E5219"/>
    <w:rsid w:val="004E5753"/>
    <w:rsid w:val="004F10CA"/>
    <w:rsid w:val="004F4675"/>
    <w:rsid w:val="004F557E"/>
    <w:rsid w:val="00501570"/>
    <w:rsid w:val="005017DA"/>
    <w:rsid w:val="00501E2B"/>
    <w:rsid w:val="00502A6C"/>
    <w:rsid w:val="0050411A"/>
    <w:rsid w:val="005059C3"/>
    <w:rsid w:val="0050619E"/>
    <w:rsid w:val="005069E2"/>
    <w:rsid w:val="00506B0D"/>
    <w:rsid w:val="00506BCB"/>
    <w:rsid w:val="0050714A"/>
    <w:rsid w:val="0051029C"/>
    <w:rsid w:val="00511342"/>
    <w:rsid w:val="005119F4"/>
    <w:rsid w:val="005146EB"/>
    <w:rsid w:val="005153FD"/>
    <w:rsid w:val="00515E56"/>
    <w:rsid w:val="005160E0"/>
    <w:rsid w:val="005214BE"/>
    <w:rsid w:val="005219AA"/>
    <w:rsid w:val="00522736"/>
    <w:rsid w:val="00522F3B"/>
    <w:rsid w:val="00525585"/>
    <w:rsid w:val="00525811"/>
    <w:rsid w:val="00525BAC"/>
    <w:rsid w:val="0052657B"/>
    <w:rsid w:val="00530E1D"/>
    <w:rsid w:val="00532B61"/>
    <w:rsid w:val="00534869"/>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D3051"/>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42AD"/>
    <w:rsid w:val="005F4A5E"/>
    <w:rsid w:val="005F4F6B"/>
    <w:rsid w:val="005F56A6"/>
    <w:rsid w:val="005F6041"/>
    <w:rsid w:val="005F7314"/>
    <w:rsid w:val="005F7E99"/>
    <w:rsid w:val="00601081"/>
    <w:rsid w:val="006012C6"/>
    <w:rsid w:val="00603239"/>
    <w:rsid w:val="0060473D"/>
    <w:rsid w:val="006053DC"/>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356C"/>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21E7"/>
    <w:rsid w:val="0065579F"/>
    <w:rsid w:val="006608AE"/>
    <w:rsid w:val="00670351"/>
    <w:rsid w:val="006706AA"/>
    <w:rsid w:val="006718B7"/>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2C5E"/>
    <w:rsid w:val="006954BD"/>
    <w:rsid w:val="006968FD"/>
    <w:rsid w:val="006978B2"/>
    <w:rsid w:val="00697DD7"/>
    <w:rsid w:val="006A008F"/>
    <w:rsid w:val="006A069D"/>
    <w:rsid w:val="006A1FC4"/>
    <w:rsid w:val="006A36F2"/>
    <w:rsid w:val="006A451F"/>
    <w:rsid w:val="006A5402"/>
    <w:rsid w:val="006A67C2"/>
    <w:rsid w:val="006A6A31"/>
    <w:rsid w:val="006B0BCD"/>
    <w:rsid w:val="006B0C35"/>
    <w:rsid w:val="006B0CBE"/>
    <w:rsid w:val="006B0EB4"/>
    <w:rsid w:val="006B1340"/>
    <w:rsid w:val="006B1969"/>
    <w:rsid w:val="006B2F1E"/>
    <w:rsid w:val="006B3DD7"/>
    <w:rsid w:val="006B48F1"/>
    <w:rsid w:val="006B55B7"/>
    <w:rsid w:val="006B5887"/>
    <w:rsid w:val="006C2D21"/>
    <w:rsid w:val="006C3795"/>
    <w:rsid w:val="006C60A2"/>
    <w:rsid w:val="006C60B2"/>
    <w:rsid w:val="006C6193"/>
    <w:rsid w:val="006C7119"/>
    <w:rsid w:val="006D0533"/>
    <w:rsid w:val="006D5430"/>
    <w:rsid w:val="006D63EF"/>
    <w:rsid w:val="006D783C"/>
    <w:rsid w:val="006D7C19"/>
    <w:rsid w:val="006D7CA8"/>
    <w:rsid w:val="006E245F"/>
    <w:rsid w:val="006E2FE4"/>
    <w:rsid w:val="006E36C6"/>
    <w:rsid w:val="006E3B73"/>
    <w:rsid w:val="006E7570"/>
    <w:rsid w:val="006F1491"/>
    <w:rsid w:val="006F2252"/>
    <w:rsid w:val="006F259F"/>
    <w:rsid w:val="006F3D72"/>
    <w:rsid w:val="006F3FB1"/>
    <w:rsid w:val="006F4B94"/>
    <w:rsid w:val="006F4FE9"/>
    <w:rsid w:val="006F511B"/>
    <w:rsid w:val="006F6130"/>
    <w:rsid w:val="006F670E"/>
    <w:rsid w:val="006F6C14"/>
    <w:rsid w:val="006F6CFF"/>
    <w:rsid w:val="006F6EB8"/>
    <w:rsid w:val="006F72DD"/>
    <w:rsid w:val="006F7439"/>
    <w:rsid w:val="00701F6C"/>
    <w:rsid w:val="0070294E"/>
    <w:rsid w:val="00703480"/>
    <w:rsid w:val="0070393B"/>
    <w:rsid w:val="00704BC7"/>
    <w:rsid w:val="007051AF"/>
    <w:rsid w:val="00705EF4"/>
    <w:rsid w:val="00705FA1"/>
    <w:rsid w:val="00706BB1"/>
    <w:rsid w:val="00707E83"/>
    <w:rsid w:val="00711E45"/>
    <w:rsid w:val="00715037"/>
    <w:rsid w:val="007165B5"/>
    <w:rsid w:val="007165BE"/>
    <w:rsid w:val="007200FA"/>
    <w:rsid w:val="00723530"/>
    <w:rsid w:val="00725C56"/>
    <w:rsid w:val="00725CC4"/>
    <w:rsid w:val="00726958"/>
    <w:rsid w:val="00727D4D"/>
    <w:rsid w:val="00731322"/>
    <w:rsid w:val="00731E30"/>
    <w:rsid w:val="00732345"/>
    <w:rsid w:val="007336EA"/>
    <w:rsid w:val="00733A47"/>
    <w:rsid w:val="00733B79"/>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278C"/>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4677"/>
    <w:rsid w:val="00795931"/>
    <w:rsid w:val="00796A2A"/>
    <w:rsid w:val="00797EE2"/>
    <w:rsid w:val="007A053E"/>
    <w:rsid w:val="007A21A1"/>
    <w:rsid w:val="007A2A69"/>
    <w:rsid w:val="007A5F9C"/>
    <w:rsid w:val="007A6821"/>
    <w:rsid w:val="007B0474"/>
    <w:rsid w:val="007B055F"/>
    <w:rsid w:val="007B0BAC"/>
    <w:rsid w:val="007B3EE9"/>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5A25"/>
    <w:rsid w:val="007D5A65"/>
    <w:rsid w:val="007D79D8"/>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064A"/>
    <w:rsid w:val="008013CA"/>
    <w:rsid w:val="00802795"/>
    <w:rsid w:val="008056CF"/>
    <w:rsid w:val="00806C7C"/>
    <w:rsid w:val="0080728E"/>
    <w:rsid w:val="0081138F"/>
    <w:rsid w:val="00814945"/>
    <w:rsid w:val="00814985"/>
    <w:rsid w:val="0081500E"/>
    <w:rsid w:val="008160BF"/>
    <w:rsid w:val="00816F96"/>
    <w:rsid w:val="008170EC"/>
    <w:rsid w:val="008175D4"/>
    <w:rsid w:val="008219AF"/>
    <w:rsid w:val="00823AF8"/>
    <w:rsid w:val="008267CB"/>
    <w:rsid w:val="00827512"/>
    <w:rsid w:val="00835356"/>
    <w:rsid w:val="00836D5A"/>
    <w:rsid w:val="00837770"/>
    <w:rsid w:val="0083795A"/>
    <w:rsid w:val="00837C9F"/>
    <w:rsid w:val="00841883"/>
    <w:rsid w:val="00841B23"/>
    <w:rsid w:val="00842068"/>
    <w:rsid w:val="00843379"/>
    <w:rsid w:val="008436F0"/>
    <w:rsid w:val="00843DAA"/>
    <w:rsid w:val="00843F40"/>
    <w:rsid w:val="008444BE"/>
    <w:rsid w:val="00845897"/>
    <w:rsid w:val="008465AA"/>
    <w:rsid w:val="008505B6"/>
    <w:rsid w:val="00850AD1"/>
    <w:rsid w:val="00851A3E"/>
    <w:rsid w:val="00851C79"/>
    <w:rsid w:val="00852259"/>
    <w:rsid w:val="0085338A"/>
    <w:rsid w:val="00853419"/>
    <w:rsid w:val="00855CBD"/>
    <w:rsid w:val="00856F99"/>
    <w:rsid w:val="008609B3"/>
    <w:rsid w:val="00860FE6"/>
    <w:rsid w:val="00863940"/>
    <w:rsid w:val="00864140"/>
    <w:rsid w:val="00864D17"/>
    <w:rsid w:val="008672AE"/>
    <w:rsid w:val="008702BF"/>
    <w:rsid w:val="008719DB"/>
    <w:rsid w:val="00871FA9"/>
    <w:rsid w:val="00872250"/>
    <w:rsid w:val="008731B8"/>
    <w:rsid w:val="00873D16"/>
    <w:rsid w:val="008757FA"/>
    <w:rsid w:val="008768D2"/>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0EAE"/>
    <w:rsid w:val="008B302A"/>
    <w:rsid w:val="008B4198"/>
    <w:rsid w:val="008B4609"/>
    <w:rsid w:val="008B725C"/>
    <w:rsid w:val="008C1D6D"/>
    <w:rsid w:val="008C3F98"/>
    <w:rsid w:val="008C594A"/>
    <w:rsid w:val="008D1DAC"/>
    <w:rsid w:val="008D23AF"/>
    <w:rsid w:val="008D3A05"/>
    <w:rsid w:val="008D3E0C"/>
    <w:rsid w:val="008D4A09"/>
    <w:rsid w:val="008D4DA1"/>
    <w:rsid w:val="008D5F9D"/>
    <w:rsid w:val="008D681A"/>
    <w:rsid w:val="008D6B1A"/>
    <w:rsid w:val="008D6D38"/>
    <w:rsid w:val="008E03F0"/>
    <w:rsid w:val="008E0617"/>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2BA3"/>
    <w:rsid w:val="00924EF9"/>
    <w:rsid w:val="00925478"/>
    <w:rsid w:val="00925A8F"/>
    <w:rsid w:val="00925D8E"/>
    <w:rsid w:val="009269F5"/>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51051"/>
    <w:rsid w:val="00952F6F"/>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3748"/>
    <w:rsid w:val="0098564A"/>
    <w:rsid w:val="00985DB7"/>
    <w:rsid w:val="009861C6"/>
    <w:rsid w:val="00986B3C"/>
    <w:rsid w:val="009903A8"/>
    <w:rsid w:val="00991070"/>
    <w:rsid w:val="00992DCD"/>
    <w:rsid w:val="00994392"/>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4FF0"/>
    <w:rsid w:val="009C2086"/>
    <w:rsid w:val="009C3006"/>
    <w:rsid w:val="009C5F91"/>
    <w:rsid w:val="009C7481"/>
    <w:rsid w:val="009D159F"/>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A03D3F"/>
    <w:rsid w:val="00A041F1"/>
    <w:rsid w:val="00A04BEB"/>
    <w:rsid w:val="00A04DE2"/>
    <w:rsid w:val="00A05412"/>
    <w:rsid w:val="00A117FD"/>
    <w:rsid w:val="00A11A20"/>
    <w:rsid w:val="00A11DFB"/>
    <w:rsid w:val="00A11F1E"/>
    <w:rsid w:val="00A14BA5"/>
    <w:rsid w:val="00A14E89"/>
    <w:rsid w:val="00A15C80"/>
    <w:rsid w:val="00A15DA4"/>
    <w:rsid w:val="00A20607"/>
    <w:rsid w:val="00A20D0F"/>
    <w:rsid w:val="00A22250"/>
    <w:rsid w:val="00A2351E"/>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E1"/>
    <w:rsid w:val="00A4500D"/>
    <w:rsid w:val="00A504A8"/>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CAE"/>
    <w:rsid w:val="00A83E6C"/>
    <w:rsid w:val="00A84AFB"/>
    <w:rsid w:val="00A84D2E"/>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34B"/>
    <w:rsid w:val="00AB1D7B"/>
    <w:rsid w:val="00AB1EA3"/>
    <w:rsid w:val="00AB203B"/>
    <w:rsid w:val="00AB2492"/>
    <w:rsid w:val="00AB3399"/>
    <w:rsid w:val="00AB3D67"/>
    <w:rsid w:val="00AC4276"/>
    <w:rsid w:val="00AC464D"/>
    <w:rsid w:val="00AC51E8"/>
    <w:rsid w:val="00AC70FC"/>
    <w:rsid w:val="00AD0CA9"/>
    <w:rsid w:val="00AD1C5F"/>
    <w:rsid w:val="00AD2407"/>
    <w:rsid w:val="00AD3E16"/>
    <w:rsid w:val="00AD5FBC"/>
    <w:rsid w:val="00AD6279"/>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6C8"/>
    <w:rsid w:val="00B23532"/>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2A05"/>
    <w:rsid w:val="00B53EAE"/>
    <w:rsid w:val="00B55CF3"/>
    <w:rsid w:val="00B57187"/>
    <w:rsid w:val="00B57304"/>
    <w:rsid w:val="00B609A8"/>
    <w:rsid w:val="00B65BF6"/>
    <w:rsid w:val="00B670CE"/>
    <w:rsid w:val="00B67B79"/>
    <w:rsid w:val="00B67E74"/>
    <w:rsid w:val="00B716F8"/>
    <w:rsid w:val="00B74FDC"/>
    <w:rsid w:val="00B82234"/>
    <w:rsid w:val="00B8283E"/>
    <w:rsid w:val="00B832A6"/>
    <w:rsid w:val="00B837AA"/>
    <w:rsid w:val="00B87D03"/>
    <w:rsid w:val="00B909E8"/>
    <w:rsid w:val="00B928EE"/>
    <w:rsid w:val="00B92AD5"/>
    <w:rsid w:val="00B94BA4"/>
    <w:rsid w:val="00B95671"/>
    <w:rsid w:val="00B96D07"/>
    <w:rsid w:val="00B97DB5"/>
    <w:rsid w:val="00B97F8A"/>
    <w:rsid w:val="00BA52AE"/>
    <w:rsid w:val="00BA60E2"/>
    <w:rsid w:val="00BA7568"/>
    <w:rsid w:val="00BB1325"/>
    <w:rsid w:val="00BB156E"/>
    <w:rsid w:val="00BB3ABA"/>
    <w:rsid w:val="00BB4FEC"/>
    <w:rsid w:val="00BB65B1"/>
    <w:rsid w:val="00BB69D5"/>
    <w:rsid w:val="00BB6A3E"/>
    <w:rsid w:val="00BC03E1"/>
    <w:rsid w:val="00BC34F8"/>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3613"/>
    <w:rsid w:val="00BF37B7"/>
    <w:rsid w:val="00BF5C82"/>
    <w:rsid w:val="00BF7A5E"/>
    <w:rsid w:val="00C0085D"/>
    <w:rsid w:val="00C00E47"/>
    <w:rsid w:val="00C010AA"/>
    <w:rsid w:val="00C013EF"/>
    <w:rsid w:val="00C02D2A"/>
    <w:rsid w:val="00C0358E"/>
    <w:rsid w:val="00C057BD"/>
    <w:rsid w:val="00C11D21"/>
    <w:rsid w:val="00C11EFC"/>
    <w:rsid w:val="00C1675F"/>
    <w:rsid w:val="00C2052B"/>
    <w:rsid w:val="00C21F2D"/>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73CE"/>
    <w:rsid w:val="00C50168"/>
    <w:rsid w:val="00C5115B"/>
    <w:rsid w:val="00C5180C"/>
    <w:rsid w:val="00C52111"/>
    <w:rsid w:val="00C523E4"/>
    <w:rsid w:val="00C531B7"/>
    <w:rsid w:val="00C53622"/>
    <w:rsid w:val="00C54982"/>
    <w:rsid w:val="00C54B46"/>
    <w:rsid w:val="00C5502B"/>
    <w:rsid w:val="00C55B71"/>
    <w:rsid w:val="00C56DB9"/>
    <w:rsid w:val="00C576F8"/>
    <w:rsid w:val="00C621A1"/>
    <w:rsid w:val="00C63153"/>
    <w:rsid w:val="00C63CB8"/>
    <w:rsid w:val="00C646F2"/>
    <w:rsid w:val="00C65327"/>
    <w:rsid w:val="00C67235"/>
    <w:rsid w:val="00C67382"/>
    <w:rsid w:val="00C72471"/>
    <w:rsid w:val="00C72B4C"/>
    <w:rsid w:val="00C7665D"/>
    <w:rsid w:val="00C8086B"/>
    <w:rsid w:val="00C82D97"/>
    <w:rsid w:val="00C84D14"/>
    <w:rsid w:val="00C91C45"/>
    <w:rsid w:val="00C9369C"/>
    <w:rsid w:val="00C93EDD"/>
    <w:rsid w:val="00C953EF"/>
    <w:rsid w:val="00C953F6"/>
    <w:rsid w:val="00C97FD3"/>
    <w:rsid w:val="00CA0363"/>
    <w:rsid w:val="00CA04F3"/>
    <w:rsid w:val="00CA06A4"/>
    <w:rsid w:val="00CA2343"/>
    <w:rsid w:val="00CA501F"/>
    <w:rsid w:val="00CA59FA"/>
    <w:rsid w:val="00CA61CF"/>
    <w:rsid w:val="00CA749E"/>
    <w:rsid w:val="00CA759F"/>
    <w:rsid w:val="00CB0441"/>
    <w:rsid w:val="00CB08EB"/>
    <w:rsid w:val="00CB1749"/>
    <w:rsid w:val="00CB3A9F"/>
    <w:rsid w:val="00CB447F"/>
    <w:rsid w:val="00CB5048"/>
    <w:rsid w:val="00CC10DA"/>
    <w:rsid w:val="00CC156D"/>
    <w:rsid w:val="00CC2929"/>
    <w:rsid w:val="00CC58C3"/>
    <w:rsid w:val="00CD229F"/>
    <w:rsid w:val="00CE2D1F"/>
    <w:rsid w:val="00CE316E"/>
    <w:rsid w:val="00CE3462"/>
    <w:rsid w:val="00CE52F0"/>
    <w:rsid w:val="00CE7389"/>
    <w:rsid w:val="00CF121A"/>
    <w:rsid w:val="00CF18A3"/>
    <w:rsid w:val="00CF356A"/>
    <w:rsid w:val="00CF4A61"/>
    <w:rsid w:val="00CF4B9A"/>
    <w:rsid w:val="00D0108B"/>
    <w:rsid w:val="00D029CB"/>
    <w:rsid w:val="00D04274"/>
    <w:rsid w:val="00D05A8B"/>
    <w:rsid w:val="00D0622A"/>
    <w:rsid w:val="00D06659"/>
    <w:rsid w:val="00D0699D"/>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11EF"/>
    <w:rsid w:val="00D32D42"/>
    <w:rsid w:val="00D3390C"/>
    <w:rsid w:val="00D369E4"/>
    <w:rsid w:val="00D40723"/>
    <w:rsid w:val="00D41A51"/>
    <w:rsid w:val="00D42DFD"/>
    <w:rsid w:val="00D4448D"/>
    <w:rsid w:val="00D45E14"/>
    <w:rsid w:val="00D4755C"/>
    <w:rsid w:val="00D52834"/>
    <w:rsid w:val="00D544FE"/>
    <w:rsid w:val="00D5596F"/>
    <w:rsid w:val="00D55C96"/>
    <w:rsid w:val="00D56F3F"/>
    <w:rsid w:val="00D61F13"/>
    <w:rsid w:val="00D672D6"/>
    <w:rsid w:val="00D67D4A"/>
    <w:rsid w:val="00D70434"/>
    <w:rsid w:val="00D708A4"/>
    <w:rsid w:val="00D70B9D"/>
    <w:rsid w:val="00D72B46"/>
    <w:rsid w:val="00D73122"/>
    <w:rsid w:val="00D749C7"/>
    <w:rsid w:val="00D75D2E"/>
    <w:rsid w:val="00D77EA3"/>
    <w:rsid w:val="00D806A3"/>
    <w:rsid w:val="00D81ABD"/>
    <w:rsid w:val="00D81BAC"/>
    <w:rsid w:val="00D82EE7"/>
    <w:rsid w:val="00D83149"/>
    <w:rsid w:val="00D83173"/>
    <w:rsid w:val="00D8380A"/>
    <w:rsid w:val="00D84ABB"/>
    <w:rsid w:val="00D85273"/>
    <w:rsid w:val="00D87AA7"/>
    <w:rsid w:val="00D90425"/>
    <w:rsid w:val="00D90CC5"/>
    <w:rsid w:val="00D92C6A"/>
    <w:rsid w:val="00D95330"/>
    <w:rsid w:val="00DA12AB"/>
    <w:rsid w:val="00DA1A93"/>
    <w:rsid w:val="00DA4303"/>
    <w:rsid w:val="00DA52B8"/>
    <w:rsid w:val="00DA7973"/>
    <w:rsid w:val="00DB3689"/>
    <w:rsid w:val="00DB3767"/>
    <w:rsid w:val="00DB39E0"/>
    <w:rsid w:val="00DB727F"/>
    <w:rsid w:val="00DB7729"/>
    <w:rsid w:val="00DB7BB9"/>
    <w:rsid w:val="00DC22BE"/>
    <w:rsid w:val="00DC5F62"/>
    <w:rsid w:val="00DC7FAF"/>
    <w:rsid w:val="00DD02BA"/>
    <w:rsid w:val="00DD100B"/>
    <w:rsid w:val="00DD1607"/>
    <w:rsid w:val="00DD34FE"/>
    <w:rsid w:val="00DD42F9"/>
    <w:rsid w:val="00DD454E"/>
    <w:rsid w:val="00DE1B4A"/>
    <w:rsid w:val="00DE2CFF"/>
    <w:rsid w:val="00DE3330"/>
    <w:rsid w:val="00DE5939"/>
    <w:rsid w:val="00DE6492"/>
    <w:rsid w:val="00DE7200"/>
    <w:rsid w:val="00DF1E17"/>
    <w:rsid w:val="00DF365A"/>
    <w:rsid w:val="00DF4CBC"/>
    <w:rsid w:val="00DF5370"/>
    <w:rsid w:val="00DF7E4D"/>
    <w:rsid w:val="00E0032E"/>
    <w:rsid w:val="00E0205D"/>
    <w:rsid w:val="00E0313E"/>
    <w:rsid w:val="00E0491A"/>
    <w:rsid w:val="00E0557E"/>
    <w:rsid w:val="00E1018A"/>
    <w:rsid w:val="00E120F4"/>
    <w:rsid w:val="00E136D8"/>
    <w:rsid w:val="00E153F6"/>
    <w:rsid w:val="00E15C4F"/>
    <w:rsid w:val="00E15F7E"/>
    <w:rsid w:val="00E173DF"/>
    <w:rsid w:val="00E235F9"/>
    <w:rsid w:val="00E248EB"/>
    <w:rsid w:val="00E2626C"/>
    <w:rsid w:val="00E27FC2"/>
    <w:rsid w:val="00E30B6B"/>
    <w:rsid w:val="00E31912"/>
    <w:rsid w:val="00E31B60"/>
    <w:rsid w:val="00E34D88"/>
    <w:rsid w:val="00E353DB"/>
    <w:rsid w:val="00E36375"/>
    <w:rsid w:val="00E37A8B"/>
    <w:rsid w:val="00E40D48"/>
    <w:rsid w:val="00E40DBF"/>
    <w:rsid w:val="00E42C98"/>
    <w:rsid w:val="00E43798"/>
    <w:rsid w:val="00E43842"/>
    <w:rsid w:val="00E44765"/>
    <w:rsid w:val="00E468CA"/>
    <w:rsid w:val="00E47D3F"/>
    <w:rsid w:val="00E505FB"/>
    <w:rsid w:val="00E50ED3"/>
    <w:rsid w:val="00E521EE"/>
    <w:rsid w:val="00E54BA6"/>
    <w:rsid w:val="00E6166E"/>
    <w:rsid w:val="00E62764"/>
    <w:rsid w:val="00E62B3D"/>
    <w:rsid w:val="00E6315A"/>
    <w:rsid w:val="00E63986"/>
    <w:rsid w:val="00E63D20"/>
    <w:rsid w:val="00E65E86"/>
    <w:rsid w:val="00E66C3B"/>
    <w:rsid w:val="00E718CF"/>
    <w:rsid w:val="00E71B00"/>
    <w:rsid w:val="00E73C7F"/>
    <w:rsid w:val="00E73D86"/>
    <w:rsid w:val="00E740D9"/>
    <w:rsid w:val="00E76F59"/>
    <w:rsid w:val="00E77D65"/>
    <w:rsid w:val="00E821B2"/>
    <w:rsid w:val="00E8224F"/>
    <w:rsid w:val="00E853FB"/>
    <w:rsid w:val="00E854F8"/>
    <w:rsid w:val="00E85E3C"/>
    <w:rsid w:val="00E902C7"/>
    <w:rsid w:val="00E943EE"/>
    <w:rsid w:val="00E94456"/>
    <w:rsid w:val="00E94FE2"/>
    <w:rsid w:val="00E95E39"/>
    <w:rsid w:val="00E9752F"/>
    <w:rsid w:val="00EA0385"/>
    <w:rsid w:val="00EA3791"/>
    <w:rsid w:val="00EA4D0C"/>
    <w:rsid w:val="00EA4E53"/>
    <w:rsid w:val="00EA6259"/>
    <w:rsid w:val="00EA63A0"/>
    <w:rsid w:val="00EA7720"/>
    <w:rsid w:val="00EA7F21"/>
    <w:rsid w:val="00EB02D3"/>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9F7"/>
    <w:rsid w:val="00ED0F55"/>
    <w:rsid w:val="00ED19D2"/>
    <w:rsid w:val="00ED23DD"/>
    <w:rsid w:val="00ED5032"/>
    <w:rsid w:val="00ED5270"/>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07ABB"/>
    <w:rsid w:val="00F105FB"/>
    <w:rsid w:val="00F11B33"/>
    <w:rsid w:val="00F12DA8"/>
    <w:rsid w:val="00F1322B"/>
    <w:rsid w:val="00F13699"/>
    <w:rsid w:val="00F1481A"/>
    <w:rsid w:val="00F153C9"/>
    <w:rsid w:val="00F15414"/>
    <w:rsid w:val="00F16AB3"/>
    <w:rsid w:val="00F202B4"/>
    <w:rsid w:val="00F25BEF"/>
    <w:rsid w:val="00F270BA"/>
    <w:rsid w:val="00F308AF"/>
    <w:rsid w:val="00F32911"/>
    <w:rsid w:val="00F3306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6039"/>
    <w:rsid w:val="00F46B8B"/>
    <w:rsid w:val="00F47660"/>
    <w:rsid w:val="00F507DB"/>
    <w:rsid w:val="00F5236F"/>
    <w:rsid w:val="00F52C7A"/>
    <w:rsid w:val="00F544AB"/>
    <w:rsid w:val="00F5653F"/>
    <w:rsid w:val="00F56A1B"/>
    <w:rsid w:val="00F6079F"/>
    <w:rsid w:val="00F6227E"/>
    <w:rsid w:val="00F64AA8"/>
    <w:rsid w:val="00F64EA5"/>
    <w:rsid w:val="00F65F37"/>
    <w:rsid w:val="00F66A3D"/>
    <w:rsid w:val="00F66DF3"/>
    <w:rsid w:val="00F67AB2"/>
    <w:rsid w:val="00F73D21"/>
    <w:rsid w:val="00F73DFD"/>
    <w:rsid w:val="00F74ED0"/>
    <w:rsid w:val="00F75B44"/>
    <w:rsid w:val="00F83547"/>
    <w:rsid w:val="00F83593"/>
    <w:rsid w:val="00F837F7"/>
    <w:rsid w:val="00F854ED"/>
    <w:rsid w:val="00F87962"/>
    <w:rsid w:val="00F90E30"/>
    <w:rsid w:val="00F917E4"/>
    <w:rsid w:val="00F91B00"/>
    <w:rsid w:val="00F92B48"/>
    <w:rsid w:val="00F9424D"/>
    <w:rsid w:val="00F94D96"/>
    <w:rsid w:val="00F94DFC"/>
    <w:rsid w:val="00F96BAD"/>
    <w:rsid w:val="00FA0CD2"/>
    <w:rsid w:val="00FA12B0"/>
    <w:rsid w:val="00FA18A4"/>
    <w:rsid w:val="00FA34B5"/>
    <w:rsid w:val="00FA6529"/>
    <w:rsid w:val="00FA7E04"/>
    <w:rsid w:val="00FB0158"/>
    <w:rsid w:val="00FB06CF"/>
    <w:rsid w:val="00FB16BC"/>
    <w:rsid w:val="00FB25A0"/>
    <w:rsid w:val="00FB2D7C"/>
    <w:rsid w:val="00FB3100"/>
    <w:rsid w:val="00FB49D7"/>
    <w:rsid w:val="00FB4F37"/>
    <w:rsid w:val="00FB79F1"/>
    <w:rsid w:val="00FB7E5A"/>
    <w:rsid w:val="00FC07B8"/>
    <w:rsid w:val="00FC13D8"/>
    <w:rsid w:val="00FC6E54"/>
    <w:rsid w:val="00FD09B7"/>
    <w:rsid w:val="00FD1379"/>
    <w:rsid w:val="00FD33A2"/>
    <w:rsid w:val="00FD6206"/>
    <w:rsid w:val="00FD6931"/>
    <w:rsid w:val="00FD7CBC"/>
    <w:rsid w:val="00FE050E"/>
    <w:rsid w:val="00FE09E7"/>
    <w:rsid w:val="00FE2161"/>
    <w:rsid w:val="00FE33A8"/>
    <w:rsid w:val="00FE3D39"/>
    <w:rsid w:val="00FE58B6"/>
    <w:rsid w:val="00FE7430"/>
    <w:rsid w:val="00FF0471"/>
    <w:rsid w:val="00FF0771"/>
    <w:rsid w:val="00FF0AAD"/>
    <w:rsid w:val="00FF29CE"/>
    <w:rsid w:val="00FF2E7C"/>
    <w:rsid w:val="00FF33F4"/>
    <w:rsid w:val="00FF3FC8"/>
    <w:rsid w:val="0276200A"/>
    <w:rsid w:val="098B1EF5"/>
    <w:rsid w:val="09F00BD8"/>
    <w:rsid w:val="0CBA1583"/>
    <w:rsid w:val="0E6F0740"/>
    <w:rsid w:val="0F321E2D"/>
    <w:rsid w:val="10DF3115"/>
    <w:rsid w:val="1A9B1F53"/>
    <w:rsid w:val="1B3D4012"/>
    <w:rsid w:val="1B481AFB"/>
    <w:rsid w:val="1D235F66"/>
    <w:rsid w:val="1D665A9E"/>
    <w:rsid w:val="1D8D3AB3"/>
    <w:rsid w:val="1E21472F"/>
    <w:rsid w:val="1EB2633F"/>
    <w:rsid w:val="20705710"/>
    <w:rsid w:val="211E529B"/>
    <w:rsid w:val="232660FF"/>
    <w:rsid w:val="248512BD"/>
    <w:rsid w:val="2AA14025"/>
    <w:rsid w:val="2B2348E2"/>
    <w:rsid w:val="2C7F2EA6"/>
    <w:rsid w:val="2D1E05D5"/>
    <w:rsid w:val="3003631E"/>
    <w:rsid w:val="3078124A"/>
    <w:rsid w:val="3090209F"/>
    <w:rsid w:val="38FA0996"/>
    <w:rsid w:val="396E02FE"/>
    <w:rsid w:val="3AA26C9B"/>
    <w:rsid w:val="3ADC5E36"/>
    <w:rsid w:val="3C3F7E0E"/>
    <w:rsid w:val="3E7A082F"/>
    <w:rsid w:val="437906BF"/>
    <w:rsid w:val="44C70D28"/>
    <w:rsid w:val="4625557D"/>
    <w:rsid w:val="465173C0"/>
    <w:rsid w:val="49613924"/>
    <w:rsid w:val="4B3040AF"/>
    <w:rsid w:val="50F36CD9"/>
    <w:rsid w:val="55E15918"/>
    <w:rsid w:val="56BF0EA2"/>
    <w:rsid w:val="5BDF3319"/>
    <w:rsid w:val="5EA87B0A"/>
    <w:rsid w:val="5EB119EE"/>
    <w:rsid w:val="62B8321C"/>
    <w:rsid w:val="63766DF5"/>
    <w:rsid w:val="63A965A7"/>
    <w:rsid w:val="63E41E32"/>
    <w:rsid w:val="6761194F"/>
    <w:rsid w:val="67A01566"/>
    <w:rsid w:val="67A84465"/>
    <w:rsid w:val="69797C2C"/>
    <w:rsid w:val="6D935AB0"/>
    <w:rsid w:val="6E087119"/>
    <w:rsid w:val="760A43BF"/>
    <w:rsid w:val="7BE208A5"/>
    <w:rsid w:val="7D2A73BF"/>
    <w:rsid w:val="7D87285F"/>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39D65"/>
  <w15:docId w15:val="{282F9E39-B882-4CBA-8D98-291008B0D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EastAsia" w:hAnsi="Arial"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5" w:qFormat="1"/>
    <w:lsdException w:name="index 7" w:qFormat="1"/>
    <w:lsdException w:name="index 8" w:qFormat="1"/>
    <w:lsdException w:name="index 9" w:qFormat="1"/>
    <w:lsdException w:name="toc 1" w:uiPriority="39"/>
    <w:lsdException w:name="toc 2" w:uiPriority="39" w:qFormat="1"/>
    <w:lsdException w:name="toc 3" w:uiPriority="39"/>
    <w:lsdException w:name="toc 7" w:qFormat="1"/>
    <w:lsdException w:name="toc 9" w:qFormat="1"/>
    <w:lsdException w:name="Normal Indent" w:semiHidden="1" w:unhideWhenUsed="1"/>
    <w:lsdException w:name="annotation text" w:unhideWhenUsed="1"/>
    <w:lsdException w:name="header" w:uiPriority="99" w:qFormat="1"/>
    <w:lsdException w:name="footer"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table of authorities" w:semiHidden="1" w:unhideWhenUsed="1"/>
    <w:lsdException w:name="macro" w:semiHidden="1" w:unhideWhenUsed="1"/>
    <w:lsdException w:name="toa heading" w:semiHidden="1" w:unhideWhenUsed="1"/>
    <w:lsdException w:name="List" w:unhideWhenUsed="1"/>
    <w:lsdException w:name="List 2" w:unhideWhenUsed="1"/>
    <w:lsdException w:name="List 5"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kern w:val="2"/>
      <w:sz w:val="21"/>
      <w:szCs w:val="21"/>
      <w:lang w:val="en-GB" w:eastAsia="en-GB"/>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pPr>
      <w:ind w:left="200" w:hangingChars="200" w:hanging="200"/>
      <w:contextualSpacing/>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pPr>
      <w:jc w:val="left"/>
    </w:pPr>
  </w:style>
  <w:style w:type="paragraph" w:styleId="Index6">
    <w:name w:val="index 6"/>
    <w:basedOn w:val="Normal"/>
    <w:next w:val="Normal"/>
    <w:pPr>
      <w:ind w:left="1260" w:hanging="210"/>
      <w:jc w:val="left"/>
    </w:pPr>
    <w:rPr>
      <w:rFonts w:ascii="Calibri" w:hAnsi="Calibri"/>
      <w:sz w:val="20"/>
      <w:szCs w:val="20"/>
    </w:rPr>
  </w:style>
  <w:style w:type="paragraph" w:styleId="BodyText">
    <w:name w:val="Body Text"/>
    <w:basedOn w:val="Normal"/>
    <w:link w:val="BodyTextChar"/>
    <w:pPr>
      <w:widowControl/>
      <w:spacing w:before="40" w:after="120"/>
      <w:jc w:val="left"/>
    </w:pPr>
    <w:rPr>
      <w:rFonts w:eastAsia="MS Mincho"/>
      <w:kern w:val="0"/>
      <w:sz w:val="20"/>
    </w:rPr>
  </w:style>
  <w:style w:type="paragraph" w:styleId="List2">
    <w:name w:val="List 2"/>
    <w:basedOn w:val="Normal"/>
    <w:unhideWhenUsed/>
    <w:pPr>
      <w:ind w:leftChars="200" w:left="100" w:hangingChars="200" w:hanging="200"/>
      <w:contextualSpacing/>
    </w:pPr>
  </w:style>
  <w:style w:type="paragraph" w:styleId="Index4">
    <w:name w:val="index 4"/>
    <w:basedOn w:val="Normal"/>
    <w:next w:val="Normal"/>
    <w:pPr>
      <w:ind w:left="840" w:hanging="210"/>
      <w:jc w:val="left"/>
    </w:pPr>
    <w:rPr>
      <w:rFonts w:ascii="Calibri" w:hAnsi="Calibri"/>
      <w:sz w:val="20"/>
      <w:szCs w:val="20"/>
    </w:rPr>
  </w:style>
  <w:style w:type="paragraph" w:styleId="TOC5">
    <w:name w:val="toc 5"/>
    <w:basedOn w:val="Normal"/>
    <w:next w:val="Normal"/>
    <w:pPr>
      <w:tabs>
        <w:tab w:val="right" w:leader="dot" w:pos="9241"/>
      </w:tabs>
      <w:ind w:firstLineChars="300" w:firstLine="300"/>
      <w:jc w:val="left"/>
    </w:pPr>
    <w:rPr>
      <w:rFonts w:ascii="SimSun"/>
    </w:rPr>
  </w:style>
  <w:style w:type="paragraph" w:styleId="TOC3">
    <w:name w:val="toc 3"/>
    <w:basedOn w:val="Normal"/>
    <w:next w:val="Normal"/>
    <w:uiPriority w:val="39"/>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pPr>
      <w:widowControl/>
      <w:spacing w:before="40"/>
      <w:jc w:val="left"/>
    </w:pPr>
    <w:rPr>
      <w:rFonts w:ascii="Consolas" w:eastAsia="Calibri" w:hAnsi="Consolas"/>
      <w:kern w:val="0"/>
      <w:lang w:eastAsia="en-US"/>
    </w:rPr>
  </w:style>
  <w:style w:type="paragraph" w:styleId="ListBullet5">
    <w:name w:val="List Bullet 5"/>
    <w:basedOn w:val="ListBullet4"/>
    <w:pPr>
      <w:ind w:left="1702"/>
    </w:pPr>
  </w:style>
  <w:style w:type="paragraph" w:styleId="TOC8">
    <w:name w:val="toc 8"/>
    <w:basedOn w:val="Normal"/>
    <w:next w:val="Normal"/>
    <w:pPr>
      <w:tabs>
        <w:tab w:val="right" w:leader="dot" w:pos="9241"/>
      </w:tabs>
      <w:ind w:firstLineChars="600" w:firstLine="607"/>
      <w:jc w:val="left"/>
    </w:pPr>
    <w:rPr>
      <w:rFonts w:ascii="SimSun"/>
    </w:rPr>
  </w:style>
  <w:style w:type="paragraph" w:styleId="Index3">
    <w:name w:val="index 3"/>
    <w:basedOn w:val="Normal"/>
    <w:next w:val="Normal"/>
    <w:pPr>
      <w:ind w:left="630" w:hanging="210"/>
      <w:jc w:val="left"/>
    </w:pPr>
    <w:rPr>
      <w:rFonts w:ascii="Calibri" w:hAnsi="Calibri"/>
      <w:sz w:val="20"/>
      <w:szCs w:val="20"/>
    </w:rPr>
  </w:style>
  <w:style w:type="paragraph" w:styleId="EndnoteText">
    <w:name w:val="endnote text"/>
    <w:basedOn w:val="Normal"/>
    <w:link w:val="EndnoteTextChar"/>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pPr>
      <w:tabs>
        <w:tab w:val="right" w:leader="dot" w:pos="9242"/>
      </w:tabs>
      <w:spacing w:beforeLines="25" w:afterLines="25"/>
      <w:jc w:val="left"/>
    </w:pPr>
  </w:style>
  <w:style w:type="paragraph" w:styleId="TOC4">
    <w:name w:val="toc 4"/>
    <w:basedOn w:val="Normal"/>
    <w:next w:val="Normal"/>
    <w:pPr>
      <w:tabs>
        <w:tab w:val="right" w:leader="dot" w:pos="9241"/>
      </w:tabs>
      <w:ind w:firstLineChars="200" w:firstLine="200"/>
      <w:jc w:val="left"/>
    </w:pPr>
    <w:rPr>
      <w:rFonts w:ascii="SimSun"/>
    </w:rPr>
  </w:style>
  <w:style w:type="paragraph" w:styleId="IndexHeading">
    <w:name w:val="index heading"/>
    <w:basedOn w:val="Normal"/>
    <w:next w:val="Index1"/>
    <w:pPr>
      <w:spacing w:before="120" w:after="120"/>
      <w:jc w:val="center"/>
    </w:pPr>
    <w:rPr>
      <w:rFonts w:ascii="Calibri" w:hAnsi="Calibri"/>
      <w:b/>
      <w:bCs/>
      <w:iCs/>
      <w:szCs w:val="20"/>
    </w:rPr>
  </w:style>
  <w:style w:type="paragraph" w:styleId="Index1">
    <w:name w:val="index 1"/>
    <w:basedOn w:val="Normal"/>
    <w:next w:val="a"/>
    <w:pPr>
      <w:tabs>
        <w:tab w:val="right" w:leader="dot" w:pos="9299"/>
      </w:tabs>
      <w:jc w:val="left"/>
    </w:pPr>
    <w:rPr>
      <w:rFonts w:ascii="SimSun"/>
    </w:rPr>
  </w:style>
  <w:style w:type="paragraph" w:customStyle="1" w:styleId="a">
    <w:name w:val="段"/>
    <w:link w:val="CharChar"/>
    <w:pPr>
      <w:tabs>
        <w:tab w:val="center" w:pos="4201"/>
        <w:tab w:val="right" w:leader="dot" w:pos="9298"/>
      </w:tabs>
      <w:autoSpaceDE w:val="0"/>
      <w:autoSpaceDN w:val="0"/>
      <w:spacing w:after="160" w:line="259" w:lineRule="auto"/>
      <w:ind w:firstLineChars="200" w:firstLine="420"/>
      <w:jc w:val="both"/>
    </w:pPr>
    <w:rPr>
      <w:rFonts w:ascii="SimSun"/>
      <w:kern w:val="2"/>
      <w:sz w:val="21"/>
      <w:szCs w:val="21"/>
    </w:rPr>
  </w:style>
  <w:style w:type="paragraph" w:styleId="FootnoteText">
    <w:name w:val="footnote text"/>
    <w:basedOn w:val="Normal"/>
    <w:link w:val="FootnoteTextChar"/>
    <w:pPr>
      <w:tabs>
        <w:tab w:val="left" w:pos="0"/>
      </w:tabs>
      <w:snapToGrid w:val="0"/>
      <w:jc w:val="left"/>
    </w:pPr>
    <w:rPr>
      <w:rFonts w:ascii="SimSun"/>
      <w:sz w:val="18"/>
      <w:szCs w:val="18"/>
    </w:rPr>
  </w:style>
  <w:style w:type="paragraph" w:styleId="TOC6">
    <w:name w:val="toc 6"/>
    <w:basedOn w:val="Normal"/>
    <w:next w:val="Normal"/>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hAnsi="SimSun"/>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rPr>
      <w:rFonts w:ascii="Arial" w:eastAsia="MS Mincho" w:hAnsi="Arial"/>
      <w:b/>
      <w:szCs w:val="24"/>
      <w:lang w:val="en-GB" w:eastAsia="en-GB"/>
    </w:rPr>
  </w:style>
  <w:style w:type="paragraph" w:customStyle="1" w:styleId="EmailDiscussion">
    <w:name w:val="EmailDiscussion"/>
    <w:basedOn w:val="Normal"/>
    <w:next w:val="Doc-text2"/>
    <w:link w:val="EmailDiscussionCharChar"/>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b/>
      <w:spacing w:val="20"/>
      <w:w w:val="135"/>
      <w:kern w:val="2"/>
      <w:sz w:val="28"/>
      <w:szCs w:val="21"/>
    </w:rPr>
  </w:style>
  <w:style w:type="paragraph" w:customStyle="1" w:styleId="a5">
    <w:name w:val="示例"/>
    <w:next w:val="a6"/>
    <w:qFormat/>
    <w:pPr>
      <w:widowControl w:val="0"/>
      <w:spacing w:after="160" w:line="259" w:lineRule="auto"/>
      <w:ind w:left="360" w:hanging="360"/>
      <w:jc w:val="both"/>
    </w:pPr>
    <w:rPr>
      <w:rFonts w:ascii="SimSun"/>
      <w:kern w:val="2"/>
      <w:sz w:val="18"/>
      <w:szCs w:val="18"/>
    </w:rPr>
  </w:style>
  <w:style w:type="paragraph" w:customStyle="1" w:styleId="a6">
    <w:name w:val="示例内容"/>
    <w:qFormat/>
    <w:pPr>
      <w:spacing w:after="160" w:line="259" w:lineRule="auto"/>
      <w:ind w:firstLineChars="200" w:firstLine="200"/>
    </w:pPr>
    <w:rPr>
      <w:rFonts w:ascii="SimSun"/>
      <w:kern w:val="2"/>
      <w:sz w:val="18"/>
      <w:szCs w:val="18"/>
    </w:rPr>
  </w:style>
  <w:style w:type="paragraph" w:customStyle="1" w:styleId="a7">
    <w:name w:val="附录数字编号列项（二级）"/>
    <w:qFormat/>
    <w:pPr>
      <w:tabs>
        <w:tab w:val="left" w:pos="363"/>
        <w:tab w:val="left" w:pos="840"/>
      </w:tabs>
      <w:spacing w:after="160" w:line="259" w:lineRule="auto"/>
      <w:ind w:firstLine="363"/>
    </w:pPr>
    <w:rPr>
      <w:rFonts w:ascii="SimSun"/>
      <w:kern w:val="2"/>
      <w:sz w:val="21"/>
      <w:szCs w:val="21"/>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kern w:val="2"/>
      <w:sz w:val="21"/>
      <w:szCs w:val="21"/>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eastAsia="en-US"/>
    </w:rPr>
  </w:style>
  <w:style w:type="paragraph" w:customStyle="1" w:styleId="aa">
    <w:name w:val="三级条标题"/>
    <w:basedOn w:val="ab"/>
    <w:next w:val="a"/>
    <w:pPr>
      <w:outlineLvl w:val="4"/>
    </w:pPr>
  </w:style>
  <w:style w:type="paragraph" w:customStyle="1" w:styleId="ab">
    <w:name w:val="二级条标题"/>
    <w:basedOn w:val="ac"/>
    <w:next w:val="a"/>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kern w:val="2"/>
      <w:sz w:val="21"/>
      <w:szCs w:val="21"/>
    </w:rPr>
  </w:style>
  <w:style w:type="paragraph" w:customStyle="1" w:styleId="EX">
    <w:name w:val="EX"/>
    <w:basedOn w:val="Normal"/>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pPr>
      <w:tabs>
        <w:tab w:val="left" w:pos="720"/>
      </w:tabs>
      <w:autoSpaceDN w:val="0"/>
      <w:spacing w:beforeLines="50" w:afterLines="50"/>
      <w:ind w:left="720" w:hanging="720"/>
      <w:outlineLvl w:val="2"/>
    </w:pPr>
  </w:style>
  <w:style w:type="paragraph" w:customStyle="1" w:styleId="ae">
    <w:name w:val="附录章标题"/>
    <w:next w:val="a"/>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szCs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kern w:val="2"/>
      <w:sz w:val="21"/>
      <w:szCs w:val="21"/>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kern w:val="2"/>
      <w:sz w:val="21"/>
      <w:szCs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kern w:val="2"/>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kern w:val="2"/>
      <w:sz w:val="21"/>
      <w:szCs w:val="21"/>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pPr>
      <w:widowControl w:val="0"/>
      <w:spacing w:after="160" w:line="680" w:lineRule="exact"/>
      <w:jc w:val="center"/>
      <w:textAlignment w:val="center"/>
    </w:pPr>
    <w:rPr>
      <w:rFonts w:ascii="SimHei" w:eastAsia="SimHei"/>
      <w:kern w:val="2"/>
      <w:sz w:val="52"/>
      <w:szCs w:val="21"/>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kern w:val="2"/>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kern w:val="2"/>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kern w:val="2"/>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eastAsia="en-US"/>
    </w:rPr>
  </w:style>
  <w:style w:type="paragraph" w:customStyle="1" w:styleId="aff3">
    <w:name w:val="三级无"/>
    <w:basedOn w:val="aa"/>
    <w:rPr>
      <w:rFonts w:ascii="SimSun" w:eastAsia="SimSun"/>
    </w:rPr>
  </w:style>
  <w:style w:type="paragraph" w:customStyle="1" w:styleId="aff4">
    <w:name w:val="条文脚注"/>
    <w:basedOn w:val="FootnoteText"/>
    <w:pPr>
      <w:jc w:val="both"/>
    </w:pPr>
  </w:style>
  <w:style w:type="paragraph" w:customStyle="1" w:styleId="aff5">
    <w:name w:val="其他标准标志"/>
    <w:basedOn w:val="aff6"/>
    <w:rPr>
      <w:w w:val="130"/>
    </w:rPr>
  </w:style>
  <w:style w:type="paragraph" w:customStyle="1" w:styleId="aff6">
    <w:name w:val="标准标志"/>
    <w:next w:val="Normal"/>
    <w:pPr>
      <w:shd w:val="solid" w:color="FFFFFF" w:fill="FFFFFF"/>
      <w:spacing w:after="160" w:line="0" w:lineRule="atLeast"/>
      <w:jc w:val="right"/>
    </w:pPr>
    <w:rPr>
      <w:b/>
      <w:w w:val="170"/>
      <w:kern w:val="2"/>
      <w:sz w:val="96"/>
      <w:szCs w:val="96"/>
    </w:rPr>
  </w:style>
  <w:style w:type="paragraph" w:customStyle="1" w:styleId="Agreement">
    <w:name w:val="Agreement"/>
    <w:basedOn w:val="Normal"/>
    <w:next w:val="Doc-text2"/>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eastAsia="en-US"/>
    </w:rPr>
  </w:style>
  <w:style w:type="paragraph" w:customStyle="1" w:styleId="aff7">
    <w:name w:val="标准书眉一"/>
    <w:qFormat/>
    <w:pPr>
      <w:spacing w:after="160" w:line="259" w:lineRule="auto"/>
      <w:jc w:val="both"/>
    </w:pPr>
    <w:rPr>
      <w:kern w:val="2"/>
      <w:sz w:val="21"/>
      <w:szCs w:val="21"/>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kern w:val="2"/>
      <w:sz w:val="18"/>
      <w:szCs w:val="21"/>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a">
    <w:name w:val="编号列项（三级）"/>
    <w:qFormat/>
    <w:pPr>
      <w:spacing w:after="160" w:line="259" w:lineRule="auto"/>
    </w:pPr>
    <w:rPr>
      <w:rFonts w:ascii="SimSun"/>
      <w:kern w:val="2"/>
      <w:sz w:val="21"/>
      <w:szCs w:val="21"/>
    </w:rPr>
  </w:style>
  <w:style w:type="paragraph" w:customStyle="1" w:styleId="affb">
    <w:name w:val="附录公式编号制表符"/>
    <w:basedOn w:val="Normal"/>
    <w:next w:val="a"/>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rPr>
  </w:style>
  <w:style w:type="paragraph" w:customStyle="1" w:styleId="TAH">
    <w:name w:val="TAH"/>
    <w:basedOn w:val="Normal"/>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pPr>
      <w:tabs>
        <w:tab w:val="left" w:pos="360"/>
      </w:tabs>
      <w:ind w:left="360" w:hanging="360"/>
    </w:pPr>
    <w:rPr>
      <w:rFonts w:ascii="SimSun"/>
      <w:sz w:val="18"/>
      <w:szCs w:val="18"/>
    </w:rPr>
  </w:style>
  <w:style w:type="paragraph" w:customStyle="1" w:styleId="Proposal">
    <w:name w:val="Proposal"/>
    <w:basedOn w:val="Normal"/>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kern w:val="2"/>
      <w:sz w:val="21"/>
      <w:szCs w:val="21"/>
    </w:rPr>
  </w:style>
  <w:style w:type="paragraph" w:customStyle="1" w:styleId="CharChar1CharChar">
    <w:name w:val="Char Char1 Char Char"/>
    <w:semiHidden/>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kern w:val="2"/>
      <w:sz w:val="18"/>
      <w:szCs w:val="18"/>
    </w:rPr>
  </w:style>
  <w:style w:type="paragraph" w:customStyle="1" w:styleId="afff9">
    <w:name w:val="附录表标号"/>
    <w:basedOn w:val="Normal"/>
    <w:next w:val="a"/>
    <w:pPr>
      <w:spacing w:line="14" w:lineRule="exact"/>
      <w:ind w:left="811" w:hanging="448"/>
      <w:jc w:val="center"/>
      <w:outlineLvl w:val="0"/>
    </w:pPr>
    <w:rPr>
      <w:color w:val="FFFFFF"/>
    </w:rPr>
  </w:style>
  <w:style w:type="paragraph" w:customStyle="1" w:styleId="afffa">
    <w:name w:val="附录图标题"/>
    <w:basedOn w:val="Normal"/>
    <w:next w:val="a"/>
    <w:pPr>
      <w:tabs>
        <w:tab w:val="left" w:pos="363"/>
      </w:tabs>
      <w:spacing w:beforeLines="50" w:afterLines="50"/>
      <w:jc w:val="center"/>
    </w:pPr>
    <w:rPr>
      <w:rFonts w:ascii="SimHei" w:eastAsia="SimHei"/>
    </w:rPr>
  </w:style>
  <w:style w:type="paragraph" w:customStyle="1" w:styleId="afffb">
    <w:name w:val="附录标题"/>
    <w:basedOn w:val="a"/>
    <w:next w:val="a"/>
    <w:pPr>
      <w:ind w:firstLineChars="0" w:firstLine="0"/>
      <w:jc w:val="center"/>
    </w:pPr>
    <w:rPr>
      <w:rFonts w:ascii="SimHei" w:eastAsia="SimHei"/>
    </w:rPr>
  </w:style>
  <w:style w:type="paragraph" w:customStyle="1" w:styleId="afffc">
    <w:name w:val="数字编号列项（二级）"/>
    <w:pPr>
      <w:tabs>
        <w:tab w:val="left" w:pos="1260"/>
      </w:tabs>
      <w:spacing w:after="160" w:line="259" w:lineRule="auto"/>
      <w:ind w:left="1190" w:hanging="567"/>
      <w:jc w:val="both"/>
    </w:pPr>
    <w:rPr>
      <w:rFonts w:ascii="SimSun"/>
      <w:kern w:val="2"/>
      <w:sz w:val="21"/>
      <w:szCs w:val="21"/>
    </w:rPr>
  </w:style>
  <w:style w:type="paragraph" w:customStyle="1" w:styleId="TAC">
    <w:name w:val="TAC"/>
    <w:basedOn w:val="TAL"/>
    <w:pPr>
      <w:jc w:val="center"/>
    </w:pPr>
    <w:rPr>
      <w:szCs w:val="20"/>
      <w:lang w:eastAsia="en-US"/>
    </w:rPr>
  </w:style>
  <w:style w:type="paragraph" w:customStyle="1" w:styleId="afffd">
    <w:name w:val="标准书眉_偶数页"/>
    <w:basedOn w:val="a8"/>
    <w:next w:val="Normal"/>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kern w:val="2"/>
      <w:sz w:val="21"/>
      <w:szCs w:val="21"/>
    </w:rPr>
  </w:style>
  <w:style w:type="paragraph" w:customStyle="1" w:styleId="affff0">
    <w:name w:val="附录字母编号列项（一级）"/>
    <w:qFormat/>
    <w:pPr>
      <w:tabs>
        <w:tab w:val="left" w:pos="839"/>
      </w:tabs>
      <w:spacing w:after="160" w:line="259" w:lineRule="auto"/>
      <w:ind w:firstLine="363"/>
    </w:pPr>
    <w:rPr>
      <w:rFonts w:ascii="SimSun"/>
      <w:kern w:val="2"/>
      <w:sz w:val="21"/>
      <w:szCs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kern w:val="2"/>
      <w:sz w:val="21"/>
      <w:szCs w:val="21"/>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b/>
      <w:bCs/>
      <w:spacing w:val="20"/>
      <w:w w:val="148"/>
      <w:kern w:val="2"/>
      <w:sz w:val="48"/>
      <w:szCs w:val="21"/>
    </w:rPr>
  </w:style>
  <w:style w:type="paragraph" w:customStyle="1" w:styleId="affff3">
    <w:name w:val="二级无"/>
    <w:basedOn w:val="ab"/>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rPr>
      <w:rFonts w:ascii="SimSun" w:eastAsia="SimSun"/>
    </w:rPr>
  </w:style>
  <w:style w:type="paragraph" w:customStyle="1" w:styleId="affff8">
    <w:name w:val="正文公式编号制表符"/>
    <w:basedOn w:val="a"/>
    <w:next w:val="a"/>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kern w:val="2"/>
      <w:sz w:val="21"/>
      <w:szCs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kern w:val="2"/>
      <w:sz w:val="21"/>
      <w:szCs w:val="21"/>
    </w:rPr>
  </w:style>
  <w:style w:type="paragraph" w:customStyle="1" w:styleId="24">
    <w:name w:val="封面标准名称2"/>
    <w:basedOn w:val="aff"/>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kern w:val="2"/>
      <w:sz w:val="32"/>
      <w:szCs w:val="21"/>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lang w:val="en-GB" w:eastAsia="en-GB"/>
    </w:rPr>
  </w:style>
  <w:style w:type="paragraph" w:customStyle="1" w:styleId="ZTD">
    <w:name w:val="ZTD"/>
    <w:basedOn w:val="ZB"/>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pPr>
      <w:spacing w:before="120" w:after="160" w:line="259" w:lineRule="auto"/>
      <w:ind w:right="198"/>
      <w:jc w:val="right"/>
    </w:pPr>
    <w:rPr>
      <w:rFonts w:ascii="SimSun"/>
      <w:kern w:val="2"/>
      <w:sz w:val="18"/>
      <w:szCs w:val="18"/>
    </w:rPr>
  </w:style>
  <w:style w:type="paragraph" w:customStyle="1" w:styleId="afffff0">
    <w:name w:val="附录二级无"/>
    <w:basedOn w:val="af6"/>
    <w:pPr>
      <w:tabs>
        <w:tab w:val="clear" w:pos="360"/>
      </w:tabs>
      <w:spacing w:beforeLines="0" w:afterLines="0"/>
    </w:pPr>
    <w:rPr>
      <w:rFonts w:ascii="SimSun" w:eastAsia="SimSun"/>
      <w:szCs w:val="21"/>
    </w:rPr>
  </w:style>
  <w:style w:type="paragraph" w:customStyle="1" w:styleId="afffff1">
    <w:name w:val="附录一级无"/>
    <w:basedOn w:val="ad"/>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kern w:val="2"/>
      <w:sz w:val="21"/>
      <w:szCs w:val="21"/>
    </w:rPr>
  </w:style>
  <w:style w:type="paragraph" w:customStyle="1" w:styleId="afffff3">
    <w:name w:val="目次、标准名称标题"/>
    <w:basedOn w:val="Normal"/>
    <w:next w:val="a"/>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pPr>
      <w:ind w:left="851" w:hanging="851"/>
    </w:pPr>
    <w:rPr>
      <w:szCs w:val="20"/>
      <w:lang w:eastAsia="en-US"/>
    </w:rPr>
  </w:style>
  <w:style w:type="paragraph" w:customStyle="1" w:styleId="afffff4">
    <w:name w:val="封面正文"/>
    <w:qFormat/>
    <w:pPr>
      <w:spacing w:after="160" w:line="259" w:lineRule="auto"/>
      <w:jc w:val="both"/>
    </w:pPr>
    <w:rPr>
      <w:kern w:val="2"/>
      <w:sz w:val="21"/>
      <w:szCs w:val="21"/>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rPr>
  </w:style>
  <w:style w:type="paragraph" w:customStyle="1" w:styleId="ZT">
    <w:name w:val="Z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val="en-GB" w:eastAsia="en-US"/>
    </w:rPr>
  </w:style>
  <w:style w:type="paragraph" w:customStyle="1" w:styleId="afffff5">
    <w:name w:val="标准书脚_偶数页"/>
    <w:qFormat/>
    <w:pPr>
      <w:spacing w:before="120" w:after="160" w:line="259" w:lineRule="auto"/>
      <w:ind w:left="221"/>
    </w:pPr>
    <w:rPr>
      <w:rFonts w:ascii="SimSun"/>
      <w:kern w:val="2"/>
      <w:sz w:val="18"/>
      <w:szCs w:val="18"/>
    </w:rPr>
  </w:style>
  <w:style w:type="paragraph" w:customStyle="1" w:styleId="EW">
    <w:name w:val="EW"/>
    <w:basedOn w:val="EX"/>
    <w:pPr>
      <w:spacing w:after="0"/>
    </w:pPr>
  </w:style>
  <w:style w:type="paragraph" w:customStyle="1" w:styleId="1">
    <w:name w:val="封面标准号1"/>
    <w:pPr>
      <w:widowControl w:val="0"/>
      <w:kinsoku w:val="0"/>
      <w:overflowPunct w:val="0"/>
      <w:autoSpaceDE w:val="0"/>
      <w:autoSpaceDN w:val="0"/>
      <w:spacing w:before="308" w:after="160" w:line="259" w:lineRule="auto"/>
      <w:jc w:val="right"/>
      <w:textAlignment w:val="center"/>
    </w:pPr>
    <w:rPr>
      <w:kern w:val="2"/>
      <w:sz w:val="28"/>
      <w:szCs w:val="21"/>
    </w:rPr>
  </w:style>
  <w:style w:type="character" w:customStyle="1" w:styleId="B1Char">
    <w:name w:val="B1 Char"/>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99445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0E5E870-89F0-4E84-9628-0ADA10022C1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11</Pages>
  <Words>3533</Words>
  <Characters>20143</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23629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EV2</cp:lastModifiedBy>
  <cp:revision>7</cp:revision>
  <cp:lastPrinted>2113-01-01T00:00:00Z</cp:lastPrinted>
  <dcterms:created xsi:type="dcterms:W3CDTF">2020-10-20T11:03:00Z</dcterms:created>
  <dcterms:modified xsi:type="dcterms:W3CDTF">2020-10-22T11:19:00Z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