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5A213C" w:rsidRDefault="00922647">
      <w:pPr>
        <w:pStyle w:val="3GPPHeader"/>
        <w:spacing w:after="60"/>
        <w:rPr>
          <w:lang w:val="de-DE"/>
        </w:rPr>
      </w:pPr>
      <w:bookmarkStart w:id="0" w:name="_GoBack"/>
      <w:bookmarkEnd w:id="0"/>
      <w:r>
        <w:rPr>
          <w:position w:val="20"/>
          <w:lang w:val="de-DE"/>
        </w:rPr>
        <w:t xml:space="preserve">3GPP TSG-RAN WG2 #112-e </w:t>
      </w:r>
      <w:r>
        <w:rPr>
          <w:position w:val="20"/>
          <w:lang w:val="de-DE"/>
        </w:rPr>
        <w:tab/>
        <w:t>R2- 2009064</w:t>
      </w:r>
    </w:p>
    <w:p w:rsidR="005A213C" w:rsidRDefault="00922647">
      <w:pPr>
        <w:pStyle w:val="3GPPHeader"/>
      </w:pPr>
      <w:r>
        <w:t>e-Meeting, November 2</w:t>
      </w:r>
      <w:r>
        <w:rPr>
          <w:vertAlign w:val="superscript"/>
        </w:rPr>
        <w:t>nd</w:t>
      </w:r>
      <w:r>
        <w:t xml:space="preserve"> – 13</w:t>
      </w:r>
      <w:r>
        <w:rPr>
          <w:vertAlign w:val="superscript"/>
        </w:rPr>
        <w:t>th</w:t>
      </w:r>
      <w:r>
        <w:t>, 2020</w:t>
      </w:r>
      <w:r>
        <w:tab/>
      </w:r>
    </w:p>
    <w:p w:rsidR="005A213C" w:rsidRDefault="00922647">
      <w:pPr>
        <w:pStyle w:val="3GPPHeader"/>
        <w:spacing w:after="60" w:line="276" w:lineRule="auto"/>
        <w:ind w:left="1699" w:hanging="1699"/>
        <w:jc w:val="left"/>
      </w:pPr>
      <w:r>
        <w:rPr>
          <w:sz w:val="22"/>
          <w:szCs w:val="22"/>
        </w:rPr>
        <w:t>Title:</w:t>
      </w:r>
      <w:r>
        <w:rPr>
          <w:sz w:val="22"/>
          <w:szCs w:val="22"/>
        </w:rPr>
        <w:tab/>
      </w:r>
      <w:bookmarkStart w:id="1" w:name="__DdeLink__5527_357931547"/>
      <w:bookmarkEnd w:id="1"/>
      <w:r>
        <w:rPr>
          <w:sz w:val="22"/>
          <w:szCs w:val="22"/>
        </w:rPr>
        <w:t>Enhancements on UL scheduling for NTN</w:t>
      </w:r>
    </w:p>
    <w:p w:rsidR="005A213C" w:rsidRDefault="00922647">
      <w:pPr>
        <w:pStyle w:val="3GPPHeader"/>
        <w:spacing w:after="60" w:line="276" w:lineRule="auto"/>
      </w:pPr>
      <w:r>
        <w:rPr>
          <w:sz w:val="22"/>
          <w:szCs w:val="22"/>
          <w:lang w:val="en-US"/>
        </w:rPr>
        <w:t>Source:</w:t>
      </w:r>
      <w:r>
        <w:rPr>
          <w:sz w:val="22"/>
          <w:szCs w:val="22"/>
          <w:lang w:val="en-US"/>
        </w:rPr>
        <w:tab/>
      </w:r>
      <w:proofErr w:type="spellStart"/>
      <w:r>
        <w:rPr>
          <w:sz w:val="22"/>
          <w:szCs w:val="22"/>
          <w:lang w:val="en-US"/>
        </w:rPr>
        <w:t>Nomor</w:t>
      </w:r>
      <w:proofErr w:type="spellEnd"/>
      <w:r>
        <w:rPr>
          <w:sz w:val="22"/>
          <w:szCs w:val="22"/>
          <w:lang w:val="en-US"/>
        </w:rPr>
        <w:t xml:space="preserve"> Research GmbH, Thales</w:t>
      </w:r>
    </w:p>
    <w:p w:rsidR="005A213C" w:rsidRDefault="00922647">
      <w:pPr>
        <w:tabs>
          <w:tab w:val="left" w:pos="1699"/>
        </w:tabs>
        <w:spacing w:after="60" w:line="276" w:lineRule="auto"/>
        <w:rPr>
          <w:b/>
          <w:sz w:val="22"/>
          <w:szCs w:val="22"/>
        </w:rPr>
      </w:pPr>
      <w:r>
        <w:rPr>
          <w:b/>
          <w:sz w:val="22"/>
          <w:szCs w:val="22"/>
        </w:rPr>
        <w:t>Type:</w:t>
      </w:r>
      <w:r>
        <w:rPr>
          <w:b/>
          <w:sz w:val="22"/>
          <w:szCs w:val="22"/>
        </w:rPr>
        <w:tab/>
        <w:t>Discussion</w:t>
      </w:r>
    </w:p>
    <w:p w:rsidR="005A213C" w:rsidRDefault="00922647">
      <w:pPr>
        <w:pStyle w:val="3GPPHeader"/>
        <w:spacing w:after="60" w:line="276" w:lineRule="auto"/>
        <w:rPr>
          <w:sz w:val="22"/>
          <w:szCs w:val="22"/>
        </w:rPr>
      </w:pPr>
      <w:r>
        <w:rPr>
          <w:sz w:val="22"/>
          <w:szCs w:val="22"/>
        </w:rPr>
        <w:t>Document for:</w:t>
      </w:r>
      <w:r>
        <w:rPr>
          <w:sz w:val="22"/>
          <w:szCs w:val="22"/>
        </w:rPr>
        <w:tab/>
        <w:t>Agreement</w:t>
      </w:r>
    </w:p>
    <w:p w:rsidR="005A213C" w:rsidRDefault="00922647">
      <w:pPr>
        <w:pStyle w:val="3GPPHeader"/>
        <w:spacing w:after="60" w:line="276" w:lineRule="auto"/>
      </w:pPr>
      <w:r>
        <w:rPr>
          <w:sz w:val="22"/>
          <w:szCs w:val="22"/>
        </w:rPr>
        <w:t xml:space="preserve">Agenda Item: </w:t>
      </w:r>
      <w:r>
        <w:rPr>
          <w:sz w:val="22"/>
          <w:szCs w:val="22"/>
        </w:rPr>
        <w:tab/>
        <w:t>8.10.2.2 Other MAC aspects</w:t>
      </w:r>
    </w:p>
    <w:p w:rsidR="005A213C" w:rsidRDefault="00922647">
      <w:pPr>
        <w:pStyle w:val="3GPPHeader"/>
        <w:spacing w:after="60" w:line="276" w:lineRule="auto"/>
        <w:ind w:left="1695" w:hanging="1695"/>
        <w:rPr>
          <w:sz w:val="22"/>
          <w:szCs w:val="22"/>
        </w:rPr>
      </w:pPr>
      <w:r>
        <w:rPr>
          <w:sz w:val="22"/>
          <w:szCs w:val="22"/>
        </w:rPr>
        <w:t xml:space="preserve">Study Item: </w:t>
      </w:r>
      <w:r>
        <w:rPr>
          <w:sz w:val="22"/>
          <w:szCs w:val="22"/>
        </w:rPr>
        <w:tab/>
      </w:r>
      <w:proofErr w:type="spellStart"/>
      <w:r>
        <w:rPr>
          <w:sz w:val="22"/>
          <w:szCs w:val="22"/>
        </w:rPr>
        <w:t>NR_NTN_solutions</w:t>
      </w:r>
      <w:proofErr w:type="spellEnd"/>
      <w:r>
        <w:rPr>
          <w:sz w:val="22"/>
          <w:szCs w:val="22"/>
        </w:rPr>
        <w:t xml:space="preserve">: Solutions for NR to support non-terrestrial networks (NTN) </w:t>
      </w:r>
    </w:p>
    <w:p w:rsidR="005A213C" w:rsidRDefault="00922647">
      <w:pPr>
        <w:pStyle w:val="berschrift1"/>
        <w:numPr>
          <w:ilvl w:val="0"/>
          <w:numId w:val="2"/>
        </w:numPr>
      </w:pPr>
      <w:r>
        <w:t>Introduction</w:t>
      </w:r>
    </w:p>
    <w:p w:rsidR="005A213C" w:rsidRDefault="00922647">
      <w:pPr>
        <w:pStyle w:val="Doc-text2"/>
        <w:spacing w:after="120"/>
        <w:ind w:left="0" w:firstLine="0"/>
      </w:pPr>
      <w:r>
        <w:rPr>
          <w:iCs/>
        </w:rPr>
        <w:t xml:space="preserve">At RAN#86, a new WI “Solutions for NR to support non-terrestrial networks (NTN)” </w:t>
      </w:r>
      <w:r>
        <w:rPr>
          <w:iCs/>
        </w:rPr>
        <w:fldChar w:fldCharType="begin"/>
      </w:r>
      <w:r>
        <w:instrText>REF _Ref30408455 \r \h</w:instrText>
      </w:r>
      <w:r>
        <w:rPr>
          <w:iCs/>
        </w:rPr>
      </w:r>
      <w:r>
        <w:fldChar w:fldCharType="separate"/>
      </w:r>
      <w:r>
        <w:t>[1]</w:t>
      </w:r>
      <w:r>
        <w:fldChar w:fldCharType="end"/>
      </w:r>
      <w:r>
        <w:rPr>
          <w:iCs/>
        </w:rPr>
        <w:t xml:space="preserve"> was agreed and has been updated in RAN#88-e</w:t>
      </w:r>
      <w:r>
        <w:rPr>
          <w:iCs/>
        </w:rPr>
        <w:fldChar w:fldCharType="begin"/>
      </w:r>
      <w:r>
        <w:instrText>REF _Ref52802805 \r \h</w:instrText>
      </w:r>
      <w:r>
        <w:rPr>
          <w:iCs/>
        </w:rPr>
      </w:r>
      <w:r>
        <w:fldChar w:fldCharType="separate"/>
      </w:r>
      <w:r>
        <w:t>[2]</w:t>
      </w:r>
      <w:r>
        <w:fldChar w:fldCharType="end"/>
      </w:r>
      <w:r>
        <w:rPr>
          <w:iCs/>
        </w:rPr>
        <w:t>. The objectives for user plane procedures enhancements in MAC layer include UL scheduling enhancements:</w:t>
      </w:r>
    </w:p>
    <w:p w:rsidR="005A213C" w:rsidRDefault="00922647">
      <w:pPr>
        <w:pStyle w:val="Doc-text2"/>
        <w:numPr>
          <w:ilvl w:val="0"/>
          <w:numId w:val="4"/>
        </w:numPr>
        <w:spacing w:after="120"/>
        <w:rPr>
          <w:iCs/>
        </w:rPr>
      </w:pPr>
      <w:r>
        <w:rPr>
          <w:iCs/>
        </w:rPr>
        <w:t>Random access:</w:t>
      </w:r>
    </w:p>
    <w:p w:rsidR="005A213C" w:rsidRDefault="00922647">
      <w:pPr>
        <w:pStyle w:val="Doc-text2"/>
        <w:numPr>
          <w:ilvl w:val="1"/>
          <w:numId w:val="4"/>
        </w:numPr>
        <w:spacing w:after="120"/>
        <w:rPr>
          <w:i/>
          <w:iCs/>
        </w:rPr>
      </w:pPr>
      <w:r>
        <w:rPr>
          <w:i/>
          <w:iCs/>
        </w:rPr>
        <w:t xml:space="preserve">Definition of an offset for the start of the </w:t>
      </w:r>
      <w:proofErr w:type="spellStart"/>
      <w:r>
        <w:rPr>
          <w:i/>
          <w:iCs/>
        </w:rPr>
        <w:t>ra-ResponseWindow</w:t>
      </w:r>
      <w:proofErr w:type="spellEnd"/>
      <w:r>
        <w:rPr>
          <w:i/>
          <w:iCs/>
        </w:rPr>
        <w:t xml:space="preserve"> for NTN.</w:t>
      </w:r>
    </w:p>
    <w:p w:rsidR="005A213C" w:rsidRDefault="00922647">
      <w:pPr>
        <w:pStyle w:val="Doc-text2"/>
        <w:numPr>
          <w:ilvl w:val="1"/>
          <w:numId w:val="4"/>
        </w:numPr>
        <w:spacing w:after="120"/>
        <w:rPr>
          <w:i/>
          <w:iCs/>
        </w:rPr>
      </w:pPr>
      <w:r>
        <w:rPr>
          <w:i/>
          <w:iCs/>
        </w:rPr>
        <w:t xml:space="preserve">Introduction of an offset for the start of the </w:t>
      </w:r>
      <w:proofErr w:type="spellStart"/>
      <w:r>
        <w:rPr>
          <w:i/>
          <w:iCs/>
        </w:rPr>
        <w:t>ra-ContentionResolutionTimer</w:t>
      </w:r>
      <w:proofErr w:type="spellEnd"/>
      <w:r>
        <w:rPr>
          <w:i/>
          <w:iCs/>
        </w:rPr>
        <w:t xml:space="preserve"> to resolve Random access contention</w:t>
      </w:r>
    </w:p>
    <w:p w:rsidR="005A213C" w:rsidRDefault="00922647">
      <w:pPr>
        <w:pStyle w:val="Doc-text2"/>
        <w:numPr>
          <w:ilvl w:val="1"/>
          <w:numId w:val="4"/>
        </w:numPr>
        <w:spacing w:after="120"/>
        <w:rPr>
          <w:i/>
          <w:iCs/>
        </w:rPr>
      </w:pPr>
      <w:r>
        <w:rPr>
          <w:i/>
          <w:iCs/>
        </w:rPr>
        <w:t>Solutions for resolving preamble ambiguity and extension of RAR window.</w:t>
      </w:r>
    </w:p>
    <w:p w:rsidR="005A213C" w:rsidRDefault="00922647">
      <w:pPr>
        <w:pStyle w:val="Doc-text2"/>
        <w:numPr>
          <w:ilvl w:val="1"/>
          <w:numId w:val="4"/>
        </w:numPr>
        <w:spacing w:after="120"/>
        <w:rPr>
          <w:i/>
          <w:iCs/>
        </w:rPr>
      </w:pPr>
      <w:r>
        <w:rPr>
          <w:i/>
          <w:iCs/>
        </w:rPr>
        <w:t>Adaptation for Msg-3 scheduling</w:t>
      </w:r>
    </w:p>
    <w:p w:rsidR="005A213C" w:rsidRDefault="00922647">
      <w:pPr>
        <w:pStyle w:val="Doc-text2"/>
        <w:numPr>
          <w:ilvl w:val="2"/>
          <w:numId w:val="4"/>
        </w:numPr>
        <w:spacing w:after="120"/>
        <w:rPr>
          <w:i/>
          <w:iCs/>
        </w:rPr>
      </w:pPr>
      <w:r>
        <w:rPr>
          <w:i/>
          <w:iCs/>
        </w:rPr>
        <w:t>Only for the case with pre-compensation of timing and frequency offset at UE side)</w:t>
      </w:r>
    </w:p>
    <w:p w:rsidR="005A213C" w:rsidRDefault="00922647">
      <w:pPr>
        <w:pStyle w:val="Doc-text2"/>
        <w:numPr>
          <w:ilvl w:val="0"/>
          <w:numId w:val="4"/>
        </w:numPr>
        <w:spacing w:after="120"/>
        <w:rPr>
          <w:i/>
          <w:iCs/>
          <w:highlight w:val="yellow"/>
        </w:rPr>
      </w:pPr>
      <w:r>
        <w:rPr>
          <w:i/>
          <w:iCs/>
          <w:highlight w:val="yellow"/>
        </w:rPr>
        <w:t>Enhancement on UL scheduling to reduce scheduling latency.</w:t>
      </w:r>
    </w:p>
    <w:p w:rsidR="005A213C" w:rsidRDefault="00922647">
      <w:pPr>
        <w:pStyle w:val="Doc-text2"/>
        <w:numPr>
          <w:ilvl w:val="0"/>
          <w:numId w:val="4"/>
        </w:numPr>
        <w:spacing w:after="120"/>
        <w:rPr>
          <w:i/>
          <w:iCs/>
        </w:rPr>
      </w:pPr>
      <w:r>
        <w:rPr>
          <w:i/>
          <w:iCs/>
        </w:rPr>
        <w:t xml:space="preserve">DRX: </w:t>
      </w:r>
    </w:p>
    <w:p w:rsidR="005A213C" w:rsidRDefault="00922647">
      <w:pPr>
        <w:pStyle w:val="Doc-text2"/>
        <w:numPr>
          <w:ilvl w:val="1"/>
          <w:numId w:val="4"/>
        </w:numPr>
        <w:spacing w:after="120"/>
        <w:rPr>
          <w:i/>
          <w:iCs/>
        </w:rPr>
      </w:pPr>
      <w:r>
        <w:rPr>
          <w:i/>
          <w:iCs/>
        </w:rPr>
        <w:t xml:space="preserve">If HARQ feedback is enabled, introduction of offset for </w:t>
      </w:r>
      <w:proofErr w:type="spellStart"/>
      <w:r>
        <w:rPr>
          <w:i/>
          <w:iCs/>
        </w:rPr>
        <w:t>drx</w:t>
      </w:r>
      <w:proofErr w:type="spellEnd"/>
      <w:r>
        <w:rPr>
          <w:i/>
          <w:iCs/>
        </w:rPr>
        <w:t>-HARQ-RTT-</w:t>
      </w:r>
      <w:proofErr w:type="spellStart"/>
      <w:r>
        <w:rPr>
          <w:i/>
          <w:iCs/>
        </w:rPr>
        <w:t>TimerDL</w:t>
      </w:r>
      <w:proofErr w:type="spellEnd"/>
      <w:r>
        <w:rPr>
          <w:i/>
          <w:iCs/>
        </w:rPr>
        <w:t xml:space="preserve"> and </w:t>
      </w:r>
      <w:proofErr w:type="spellStart"/>
      <w:r>
        <w:rPr>
          <w:i/>
          <w:iCs/>
        </w:rPr>
        <w:t>drx</w:t>
      </w:r>
      <w:proofErr w:type="spellEnd"/>
      <w:r>
        <w:rPr>
          <w:i/>
          <w:iCs/>
        </w:rPr>
        <w:t>-HARQ-RTT-</w:t>
      </w:r>
      <w:proofErr w:type="spellStart"/>
      <w:r>
        <w:rPr>
          <w:i/>
          <w:iCs/>
        </w:rPr>
        <w:t>TimerUL</w:t>
      </w:r>
      <w:proofErr w:type="spellEnd"/>
      <w:r>
        <w:rPr>
          <w:i/>
          <w:iCs/>
        </w:rPr>
        <w:t>.</w:t>
      </w:r>
    </w:p>
    <w:p w:rsidR="005A213C" w:rsidRDefault="00922647">
      <w:pPr>
        <w:pStyle w:val="Doc-text2"/>
        <w:numPr>
          <w:ilvl w:val="1"/>
          <w:numId w:val="4"/>
        </w:numPr>
        <w:spacing w:after="120"/>
        <w:rPr>
          <w:i/>
          <w:iCs/>
        </w:rPr>
      </w:pPr>
      <w:r>
        <w:rPr>
          <w:i/>
          <w:iCs/>
        </w:rPr>
        <w:t>If HARQ is turned off per HARQ process, adaptions in HARQ procedure</w:t>
      </w:r>
    </w:p>
    <w:p w:rsidR="005A213C" w:rsidRDefault="00922647">
      <w:pPr>
        <w:pStyle w:val="Doc-text2"/>
        <w:numPr>
          <w:ilvl w:val="0"/>
          <w:numId w:val="4"/>
        </w:numPr>
        <w:spacing w:after="120"/>
        <w:rPr>
          <w:i/>
          <w:iCs/>
        </w:rPr>
      </w:pPr>
      <w:r>
        <w:rPr>
          <w:i/>
          <w:iCs/>
        </w:rPr>
        <w:t xml:space="preserve">Scheduling Request: Extension of the value range of </w:t>
      </w:r>
      <w:proofErr w:type="spellStart"/>
      <w:r>
        <w:rPr>
          <w:i/>
          <w:iCs/>
        </w:rPr>
        <w:t>sr-ProhibitTimer</w:t>
      </w:r>
      <w:proofErr w:type="spellEnd"/>
      <w:r>
        <w:rPr>
          <w:i/>
          <w:iCs/>
        </w:rPr>
        <w:t xml:space="preserve"> </w:t>
      </w:r>
    </w:p>
    <w:p w:rsidR="005A213C" w:rsidRDefault="005A213C">
      <w:pPr>
        <w:pStyle w:val="Doc-text2"/>
        <w:spacing w:after="120"/>
        <w:ind w:left="0" w:firstLine="0"/>
        <w:rPr>
          <w:iCs/>
        </w:rPr>
      </w:pPr>
    </w:p>
    <w:p w:rsidR="005A213C" w:rsidRDefault="00922647">
      <w:pPr>
        <w:pStyle w:val="Doc-text2"/>
        <w:spacing w:after="120"/>
        <w:ind w:left="0" w:firstLine="0"/>
      </w:pPr>
      <w:r>
        <w:rPr>
          <w:iCs/>
        </w:rPr>
        <w:t xml:space="preserve">In RAN2#111-e </w:t>
      </w:r>
      <w:r>
        <w:rPr>
          <w:iCs/>
        </w:rPr>
        <w:fldChar w:fldCharType="begin"/>
      </w:r>
      <w:r>
        <w:instrText>REF _Ref52802873 \r \h</w:instrText>
      </w:r>
      <w:r>
        <w:rPr>
          <w:iCs/>
        </w:rPr>
      </w:r>
      <w:r>
        <w:fldChar w:fldCharType="separate"/>
      </w:r>
      <w:r>
        <w:t>[3]</w:t>
      </w:r>
      <w:r>
        <w:fldChar w:fldCharType="end"/>
      </w:r>
      <w:r>
        <w:rPr>
          <w:iCs/>
        </w:rPr>
        <w:t>, first discussions on such enhancements took place and the following agreement was achieved:</w:t>
      </w:r>
    </w:p>
    <w:p w:rsidR="005A213C" w:rsidRDefault="00922647">
      <w:pPr>
        <w:pStyle w:val="Doc-text2"/>
        <w:pBdr>
          <w:top w:val="single" w:sz="4" w:space="1" w:color="00000A"/>
          <w:left w:val="single" w:sz="4" w:space="4" w:color="00000A"/>
          <w:bottom w:val="single" w:sz="4" w:space="1" w:color="00000A"/>
          <w:right w:val="single" w:sz="4" w:space="4" w:color="00000A"/>
        </w:pBdr>
      </w:pPr>
      <w:r>
        <w:t>Agreements via email - from offline 107:</w:t>
      </w:r>
    </w:p>
    <w:p w:rsidR="005A213C" w:rsidRDefault="00922647">
      <w:pPr>
        <w:pStyle w:val="Doc-text2"/>
        <w:numPr>
          <w:ilvl w:val="0"/>
          <w:numId w:val="6"/>
        </w:numPr>
        <w:pBdr>
          <w:top w:val="single" w:sz="4" w:space="1" w:color="00000A"/>
          <w:left w:val="single" w:sz="4" w:space="4" w:color="00000A"/>
          <w:bottom w:val="single" w:sz="4" w:space="1" w:color="00000A"/>
          <w:right w:val="single" w:sz="4" w:space="4" w:color="00000A"/>
        </w:pBdr>
        <w:suppressAutoHyphens w:val="0"/>
        <w:overflowPunct/>
      </w:pPr>
      <w:r>
        <w:t xml:space="preserve">At least the following methods to enhance UL scheduling are further studied in NTN: configured grant and BSR over 2-step RACH. </w:t>
      </w:r>
      <w:r>
        <w:rPr>
          <w:rStyle w:val="Fett"/>
        </w:rPr>
        <w:t>(other solutions to enhance UL scheduling are not precluded)</w:t>
      </w:r>
    </w:p>
    <w:p w:rsidR="005A213C" w:rsidRDefault="005A213C">
      <w:pPr>
        <w:pStyle w:val="Doc-text2"/>
        <w:spacing w:after="120"/>
        <w:ind w:left="0" w:firstLine="0"/>
        <w:rPr>
          <w:iCs/>
        </w:rPr>
      </w:pPr>
    </w:p>
    <w:p w:rsidR="005A213C" w:rsidRDefault="00922647">
      <w:pPr>
        <w:pStyle w:val="Doc-text2"/>
        <w:spacing w:after="120"/>
        <w:ind w:left="0" w:firstLine="0"/>
        <w:rPr>
          <w:iCs/>
        </w:rPr>
      </w:pPr>
      <w:r>
        <w:rPr>
          <w:iCs/>
        </w:rPr>
        <w:t>This paper discusses the applicability and enhancements of configured grant and BSR over 2-step RACH for NTN.</w:t>
      </w:r>
    </w:p>
    <w:p w:rsidR="005A213C" w:rsidRDefault="005A213C">
      <w:pPr>
        <w:pStyle w:val="Doc-text2"/>
        <w:spacing w:after="120"/>
        <w:ind w:left="0" w:firstLine="0"/>
        <w:rPr>
          <w:iCs/>
          <w:highlight w:val="yellow"/>
        </w:rPr>
      </w:pPr>
    </w:p>
    <w:p w:rsidR="005A213C" w:rsidRDefault="00922647">
      <w:pPr>
        <w:pStyle w:val="berschrift1"/>
        <w:numPr>
          <w:ilvl w:val="0"/>
          <w:numId w:val="2"/>
        </w:numPr>
      </w:pPr>
      <w:r>
        <w:t>Discussion</w:t>
      </w:r>
    </w:p>
    <w:p w:rsidR="005A213C" w:rsidRDefault="00922647">
      <w:pPr>
        <w:pStyle w:val="Doc-text2"/>
        <w:spacing w:after="120"/>
        <w:ind w:left="0" w:firstLine="0"/>
      </w:pPr>
      <w:r>
        <w:rPr>
          <w:iCs/>
        </w:rPr>
        <w:t xml:space="preserve">In terrestrial networks, if the UE buffer status changes and the UE does not have any PUSCH resources to transmit the BSR, the UE typically sends a Scheduling Request (SR) on the PUCCH, see </w:t>
      </w:r>
      <w:r>
        <w:rPr>
          <w:iCs/>
        </w:rPr>
        <w:fldChar w:fldCharType="begin"/>
      </w:r>
      <w:r>
        <w:instrText>REF _Ref52796015 \h</w:instrText>
      </w:r>
      <w:r>
        <w:rPr>
          <w:iCs/>
        </w:rPr>
      </w:r>
      <w:r>
        <w:fldChar w:fldCharType="separate"/>
      </w:r>
      <w:r>
        <w:t>Figure 1</w:t>
      </w:r>
      <w:r>
        <w:fldChar w:fldCharType="end"/>
      </w:r>
      <w:r>
        <w:rPr>
          <w:iCs/>
        </w:rPr>
        <w:t xml:space="preserve">. The </w:t>
      </w:r>
      <w:proofErr w:type="spellStart"/>
      <w:r>
        <w:rPr>
          <w:iCs/>
        </w:rPr>
        <w:t>gNB</w:t>
      </w:r>
      <w:proofErr w:type="spellEnd"/>
      <w:r>
        <w:rPr>
          <w:iCs/>
        </w:rPr>
        <w:t xml:space="preserve"> </w:t>
      </w:r>
      <w:r>
        <w:rPr>
          <w:iCs/>
        </w:rPr>
        <w:lastRenderedPageBreak/>
        <w:t xml:space="preserve">usually replies with a grant to be used for the Buffer Status Report (BSR). Upon receiving the BSR from the UE, the </w:t>
      </w:r>
      <w:proofErr w:type="spellStart"/>
      <w:r>
        <w:rPr>
          <w:iCs/>
        </w:rPr>
        <w:t>gNB</w:t>
      </w:r>
      <w:proofErr w:type="spellEnd"/>
      <w:r>
        <w:rPr>
          <w:iCs/>
        </w:rPr>
        <w:t xml:space="preserve"> allocates a suitable amount of UL resources for the UL data transmission. </w:t>
      </w:r>
    </w:p>
    <w:p w:rsidR="005A213C" w:rsidRDefault="00922647">
      <w:pPr>
        <w:pStyle w:val="Doc-text2"/>
        <w:keepNext/>
        <w:spacing w:after="120"/>
        <w:ind w:left="0" w:firstLine="0"/>
        <w:jc w:val="center"/>
      </w:pPr>
      <w:r>
        <w:rPr>
          <w:noProof/>
          <w:lang w:eastAsia="en-GB"/>
        </w:rPr>
        <w:drawing>
          <wp:inline distT="0" distB="0" distL="0" distR="0">
            <wp:extent cx="3804285" cy="1897380"/>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pic:cNvPicPr>
                      <a:picLocks noChangeAspect="1" noChangeArrowheads="1"/>
                    </pic:cNvPicPr>
                  </pic:nvPicPr>
                  <pic:blipFill>
                    <a:blip r:embed="rId8"/>
                    <a:stretch>
                      <a:fillRect/>
                    </a:stretch>
                  </pic:blipFill>
                  <pic:spPr bwMode="auto">
                    <a:xfrm>
                      <a:off x="0" y="0"/>
                      <a:ext cx="3804285" cy="1897380"/>
                    </a:xfrm>
                    <a:prstGeom prst="rect">
                      <a:avLst/>
                    </a:prstGeom>
                  </pic:spPr>
                </pic:pic>
              </a:graphicData>
            </a:graphic>
          </wp:inline>
        </w:drawing>
      </w:r>
    </w:p>
    <w:p w:rsidR="005A213C" w:rsidRDefault="00922647">
      <w:pPr>
        <w:pStyle w:val="Beschriftung"/>
        <w:jc w:val="center"/>
      </w:pPr>
      <w:bookmarkStart w:id="2" w:name="_Ref52796015"/>
      <w:r>
        <w:t xml:space="preserve">Figure </w:t>
      </w:r>
      <w:r>
        <w:fldChar w:fldCharType="begin"/>
      </w:r>
      <w:r>
        <w:instrText>SEQ Figure \* ARABIC</w:instrText>
      </w:r>
      <w:r>
        <w:fldChar w:fldCharType="separate"/>
      </w:r>
      <w:r>
        <w:t>1</w:t>
      </w:r>
      <w:r>
        <w:fldChar w:fldCharType="end"/>
      </w:r>
      <w:bookmarkEnd w:id="2"/>
      <w:r>
        <w:t xml:space="preserve"> Procedure for UL Scheduling</w:t>
      </w:r>
    </w:p>
    <w:p w:rsidR="005A213C" w:rsidRDefault="005A213C">
      <w:pPr>
        <w:rPr>
          <w:bCs/>
        </w:rPr>
      </w:pPr>
    </w:p>
    <w:p w:rsidR="005A213C" w:rsidRDefault="00922647">
      <w:pPr>
        <w:pStyle w:val="Doc-text2"/>
        <w:spacing w:after="120"/>
        <w:ind w:left="0" w:firstLine="0"/>
      </w:pPr>
      <w:r>
        <w:rPr>
          <w:iCs/>
        </w:rPr>
        <w:t>During the Study Item phase, it was identified that this 4-step procedure to get UL resources assigned could become prohibitively large in NTN due to the large propagation delay. Therefore, several solutions have been proposed, see Table 7.2.1.5-1 in TR 38.821</w:t>
      </w:r>
      <w:r>
        <w:rPr>
          <w:iCs/>
        </w:rPr>
        <w:fldChar w:fldCharType="begin"/>
      </w:r>
      <w:r>
        <w:instrText>REF _Ref52802919 \r \h</w:instrText>
      </w:r>
      <w:r>
        <w:rPr>
          <w:iCs/>
        </w:rPr>
      </w:r>
      <w:r>
        <w:fldChar w:fldCharType="separate"/>
      </w:r>
      <w:r>
        <w:t>[4]</w:t>
      </w:r>
      <w:r>
        <w:fldChar w:fldCharType="end"/>
      </w:r>
      <w:r>
        <w:rPr>
          <w:iCs/>
        </w:rPr>
        <w:t>. In the first RAN2 meeting of the Work Item phase it was agreed that further study is needed at least on following two methods</w:t>
      </w:r>
      <w:r>
        <w:rPr>
          <w:iCs/>
        </w:rPr>
        <w:fldChar w:fldCharType="begin"/>
      </w:r>
      <w:r>
        <w:instrText>REF _Ref52802873 \r \h</w:instrText>
      </w:r>
      <w:r>
        <w:rPr>
          <w:iCs/>
        </w:rPr>
      </w:r>
      <w:r>
        <w:fldChar w:fldCharType="separate"/>
      </w:r>
      <w:r>
        <w:t>[3]</w:t>
      </w:r>
      <w:r>
        <w:fldChar w:fldCharType="end"/>
      </w:r>
      <w:r>
        <w:rPr>
          <w:iCs/>
        </w:rPr>
        <w:t>:</w:t>
      </w:r>
    </w:p>
    <w:p w:rsidR="005A213C" w:rsidRDefault="00922647">
      <w:pPr>
        <w:pStyle w:val="Doc-text2"/>
        <w:numPr>
          <w:ilvl w:val="0"/>
          <w:numId w:val="5"/>
        </w:numPr>
        <w:spacing w:after="120"/>
        <w:rPr>
          <w:iCs/>
        </w:rPr>
      </w:pPr>
      <w:r>
        <w:rPr>
          <w:iCs/>
        </w:rPr>
        <w:t>Configured grant</w:t>
      </w:r>
    </w:p>
    <w:p w:rsidR="005A213C" w:rsidRDefault="00922647">
      <w:pPr>
        <w:pStyle w:val="Doc-text2"/>
        <w:numPr>
          <w:ilvl w:val="0"/>
          <w:numId w:val="5"/>
        </w:numPr>
        <w:spacing w:after="120"/>
        <w:rPr>
          <w:iCs/>
        </w:rPr>
      </w:pPr>
      <w:r>
        <w:rPr>
          <w:iCs/>
        </w:rPr>
        <w:t>BSR over 2-step RACH</w:t>
      </w:r>
    </w:p>
    <w:p w:rsidR="005A213C" w:rsidRDefault="00922647">
      <w:pPr>
        <w:pStyle w:val="Doc-text2"/>
        <w:spacing w:after="120"/>
        <w:ind w:left="0" w:firstLine="0"/>
        <w:rPr>
          <w:iCs/>
        </w:rPr>
      </w:pPr>
      <w:r>
        <w:rPr>
          <w:iCs/>
        </w:rPr>
        <w:t>The following sections discuss these two methods in detail.</w:t>
      </w:r>
    </w:p>
    <w:p w:rsidR="005A213C" w:rsidRDefault="005A213C">
      <w:pPr>
        <w:pStyle w:val="Doc-text2"/>
        <w:spacing w:after="120"/>
        <w:ind w:left="0" w:firstLine="0"/>
        <w:rPr>
          <w:iCs/>
        </w:rPr>
      </w:pPr>
    </w:p>
    <w:p w:rsidR="005A213C" w:rsidRDefault="00922647">
      <w:pPr>
        <w:pStyle w:val="berschrift2"/>
        <w:numPr>
          <w:ilvl w:val="1"/>
          <w:numId w:val="2"/>
        </w:numPr>
      </w:pPr>
      <w:r>
        <w:t xml:space="preserve">Configured Grant </w:t>
      </w:r>
    </w:p>
    <w:p w:rsidR="005A213C" w:rsidRDefault="00922647">
      <w:pPr>
        <w:pStyle w:val="Doc-text2"/>
        <w:spacing w:after="120"/>
        <w:ind w:left="0" w:firstLine="0"/>
      </w:pPr>
      <w:r>
        <w:rPr>
          <w:iCs/>
        </w:rPr>
        <w:t>Configured grant means that the network provides resources for a specific UE or a group of UEs without an SR or BSR transmitted in advance. In NTN, due to the large propagation delay, this reduces the delay until the first transmission of data significantly.</w:t>
      </w:r>
    </w:p>
    <w:p w:rsidR="005A213C" w:rsidRDefault="00922647">
      <w:pPr>
        <w:pStyle w:val="Doc-text2"/>
        <w:spacing w:after="120"/>
        <w:ind w:left="1620" w:hanging="1620"/>
        <w:rPr>
          <w:iCs/>
        </w:rPr>
      </w:pPr>
      <w:r>
        <w:rPr>
          <w:b/>
          <w:iCs/>
        </w:rPr>
        <w:t>Observation 1:</w:t>
      </w:r>
      <w:r>
        <w:rPr>
          <w:iCs/>
        </w:rPr>
        <w:t xml:space="preserve"> </w:t>
      </w:r>
      <w:r>
        <w:rPr>
          <w:iCs/>
        </w:rPr>
        <w:tab/>
      </w:r>
      <w:r>
        <w:rPr>
          <w:iCs/>
        </w:rPr>
        <w:tab/>
        <w:t xml:space="preserve">In NTN, the delay until the first transmission of data could be significantly reduced with a configured grant in comparison to the conventional SR-BSR-procedure. </w:t>
      </w:r>
    </w:p>
    <w:p w:rsidR="005A213C" w:rsidRDefault="005A213C">
      <w:pPr>
        <w:pStyle w:val="Doc-text2"/>
        <w:spacing w:after="120"/>
        <w:ind w:left="0" w:firstLine="0"/>
        <w:rPr>
          <w:iCs/>
        </w:rPr>
      </w:pPr>
    </w:p>
    <w:p w:rsidR="005A213C" w:rsidRDefault="00922647">
      <w:pPr>
        <w:pStyle w:val="Doc-text2"/>
        <w:spacing w:after="120"/>
        <w:ind w:left="0" w:firstLine="0"/>
      </w:pPr>
      <w:r>
        <w:rPr>
          <w:noProof/>
          <w:lang w:eastAsia="en-GB"/>
        </w:rPr>
        <mc:AlternateContent>
          <mc:Choice Requires="wps">
            <w:drawing>
              <wp:anchor distT="0" distB="0" distL="114300" distR="114300" simplePos="0" relativeHeight="2" behindDoc="0" locked="0" layoutInCell="1" allowOverlap="1">
                <wp:simplePos x="0" y="0"/>
                <wp:positionH relativeFrom="column">
                  <wp:posOffset>-93345</wp:posOffset>
                </wp:positionH>
                <wp:positionV relativeFrom="paragraph">
                  <wp:posOffset>262255</wp:posOffset>
                </wp:positionV>
                <wp:extent cx="6310630" cy="1229995"/>
                <wp:effectExtent l="7620" t="9525" r="7620" b="9525"/>
                <wp:wrapSquare wrapText="bothSides"/>
                <wp:docPr id="2" name="Text Box 2"/>
                <wp:cNvGraphicFramePr/>
                <a:graphic xmlns:a="http://schemas.openxmlformats.org/drawingml/2006/main">
                  <a:graphicData uri="http://schemas.microsoft.com/office/word/2010/wordprocessingShape">
                    <wps:wsp>
                      <wps:cNvSpPr/>
                      <wps:spPr>
                        <a:xfrm>
                          <a:off x="0" y="0"/>
                          <a:ext cx="6310080" cy="122940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rsidR="005A213C" w:rsidRDefault="00922647">
                            <w:pPr>
                              <w:pStyle w:val="FrameContents"/>
                              <w:suppressAutoHyphens w:val="0"/>
                              <w:spacing w:after="180"/>
                              <w:ind w:left="568" w:hanging="284"/>
                              <w:jc w:val="left"/>
                              <w:rPr>
                                <w:rFonts w:ascii="Times New Roman" w:hAnsi="Times New Roman" w:cs="Times New Roman"/>
                                <w:lang w:eastAsia="ko-KR"/>
                              </w:rPr>
                            </w:pPr>
                            <w:r>
                              <w:rPr>
                                <w:rFonts w:ascii="Times New Roman" w:hAnsi="Times New Roman" w:cs="Times New Roman"/>
                                <w:lang w:eastAsia="ko-KR"/>
                              </w:rPr>
                              <w:t>-</w:t>
                            </w:r>
                            <w:r>
                              <w:rPr>
                                <w:rFonts w:ascii="Times New Roman" w:hAnsi="Times New Roman" w:cs="Times New Roman"/>
                                <w:lang w:eastAsia="ko-KR"/>
                              </w:rPr>
                              <w:tab/>
                              <w:t>configured grant Type 1 where an uplink grant is provided by RRC, and stored as configured uplink grant;</w:t>
                            </w:r>
                          </w:p>
                          <w:p w:rsidR="005A213C" w:rsidRDefault="00922647">
                            <w:pPr>
                              <w:pStyle w:val="FrameContents"/>
                              <w:suppressAutoHyphens w:val="0"/>
                              <w:spacing w:after="180"/>
                              <w:ind w:left="568" w:hanging="284"/>
                              <w:jc w:val="left"/>
                              <w:rPr>
                                <w:rFonts w:ascii="Times New Roman" w:hAnsi="Times New Roman" w:cs="Times New Roman"/>
                                <w:lang w:eastAsia="ko-KR"/>
                              </w:rPr>
                            </w:pPr>
                            <w:r>
                              <w:rPr>
                                <w:rFonts w:ascii="Times New Roman" w:hAnsi="Times New Roman" w:cs="Times New Roman"/>
                                <w:lang w:eastAsia="ko-KR"/>
                              </w:rPr>
                              <w:t>-</w:t>
                            </w:r>
                            <w:r>
                              <w:rPr>
                                <w:rFonts w:ascii="Times New Roman" w:hAnsi="Times New Roman" w:cs="Times New Roman"/>
                                <w:lang w:eastAsia="ko-KR"/>
                              </w:rPr>
                              <w:tab/>
                              <w:t>configured grant Type 2 where an uplink grant is provided by PDCCH, and stored or cleared as configured uplink grant based on L1 signalling indicating configured uplink grant activation or deactivation.</w:t>
                            </w:r>
                          </w:p>
                          <w:p w:rsidR="005A213C" w:rsidRDefault="00922647">
                            <w:pPr>
                              <w:pStyle w:val="FrameContents"/>
                              <w:suppressAutoHyphens w:val="0"/>
                              <w:spacing w:after="180"/>
                              <w:jc w:val="left"/>
                              <w:rPr>
                                <w:rFonts w:ascii="Times New Roman" w:hAnsi="Times New Roman" w:cs="Times New Roman"/>
                                <w:lang w:eastAsia="ko-KR"/>
                              </w:rPr>
                            </w:pPr>
                            <w:r>
                              <w:rPr>
                                <w:rFonts w:ascii="Times New Roman" w:hAnsi="Times New Roman" w:cs="Times New Roman"/>
                                <w:lang w:eastAsia="ko-KR"/>
                              </w:rPr>
                              <w:t xml:space="preserve">Type 1 and Type 2 are configured by RRC per Serving Cell and per BWP. Multiple configurations can be active simultaneously </w:t>
                            </w:r>
                            <w:r>
                              <w:rPr>
                                <w:rFonts w:ascii="Times New Roman" w:eastAsia="Malgun Gothic" w:hAnsi="Times New Roman" w:cs="Times New Roman"/>
                                <w:lang w:eastAsia="ko-KR"/>
                              </w:rPr>
                              <w:t>in the same BWP</w:t>
                            </w:r>
                            <w:r>
                              <w:rPr>
                                <w:rFonts w:ascii="Times New Roman" w:hAnsi="Times New Roman" w:cs="Times New Roman"/>
                                <w:lang w:eastAsia="ko-KR"/>
                              </w:rPr>
                              <w:t xml:space="preserve">. For Type 2, activation and deactivation are independent among the Serving Cells. For the same </w:t>
                            </w:r>
                            <w:r>
                              <w:rPr>
                                <w:rFonts w:ascii="Times New Roman" w:eastAsia="Malgun Gothic" w:hAnsi="Times New Roman" w:cs="Times New Roman"/>
                                <w:lang w:eastAsia="ko-KR"/>
                              </w:rPr>
                              <w:t>BWP</w:t>
                            </w:r>
                            <w:r>
                              <w:rPr>
                                <w:rFonts w:ascii="Times New Roman" w:hAnsi="Times New Roman" w:cs="Times New Roman"/>
                                <w:lang w:eastAsia="ko-KR"/>
                              </w:rPr>
                              <w:t xml:space="preserve">, the MAC entity </w:t>
                            </w:r>
                            <w:r>
                              <w:rPr>
                                <w:rFonts w:ascii="Times New Roman" w:eastAsia="Malgun Gothic" w:hAnsi="Times New Roman" w:cs="Times New Roman"/>
                                <w:lang w:eastAsia="ko-KR"/>
                              </w:rPr>
                              <w:t>can be</w:t>
                            </w:r>
                            <w:r>
                              <w:rPr>
                                <w:rFonts w:ascii="Times New Roman" w:hAnsi="Times New Roman" w:cs="Times New Roman"/>
                                <w:lang w:eastAsia="ko-KR"/>
                              </w:rPr>
                              <w:t xml:space="preserve"> configured with </w:t>
                            </w:r>
                            <w:r>
                              <w:rPr>
                                <w:rFonts w:ascii="Times New Roman" w:eastAsia="Malgun Gothic" w:hAnsi="Times New Roman" w:cs="Times New Roman"/>
                                <w:lang w:eastAsia="ko-KR"/>
                              </w:rPr>
                              <w:t xml:space="preserve">both </w:t>
                            </w:r>
                            <w:r>
                              <w:rPr>
                                <w:rFonts w:ascii="Times New Roman" w:hAnsi="Times New Roman" w:cs="Times New Roman"/>
                                <w:lang w:eastAsia="ko-KR"/>
                              </w:rPr>
                              <w:t xml:space="preserve">Type 1 </w:t>
                            </w:r>
                            <w:r>
                              <w:rPr>
                                <w:rFonts w:ascii="Times New Roman" w:eastAsia="Malgun Gothic" w:hAnsi="Times New Roman" w:cs="Times New Roman"/>
                                <w:lang w:eastAsia="ko-KR"/>
                              </w:rPr>
                              <w:t xml:space="preserve">and </w:t>
                            </w:r>
                            <w:r>
                              <w:rPr>
                                <w:rFonts w:ascii="Times New Roman" w:hAnsi="Times New Roman" w:cs="Times New Roman"/>
                                <w:lang w:eastAsia="ko-KR"/>
                              </w:rPr>
                              <w:t>Type 2.</w:t>
                            </w:r>
                          </w:p>
                          <w:p w:rsidR="005A213C" w:rsidRDefault="005A213C">
                            <w:pPr>
                              <w:pStyle w:val="FrameContents"/>
                            </w:pPr>
                          </w:p>
                        </w:txbxContent>
                      </wps:txbx>
                      <wps:bodyPr>
                        <a:noAutofit/>
                      </wps:bodyPr>
                    </wps:wsp>
                  </a:graphicData>
                </a:graphic>
              </wp:anchor>
            </w:drawing>
          </mc:Choice>
          <mc:Fallback>
            <w:pict>
              <v:rect id="shape_0" ID="Text Box 2" fillcolor="white" stroked="t" style="position:absolute;margin-left:-7.35pt;margin-top:20.65pt;width:496.8pt;height:96.75pt">
                <w10:wrap type="square"/>
                <v:fill o:detectmouseclick="t" type="solid" color2="black"/>
                <v:stroke color="black" weight="9360" joinstyle="miter" endcap="flat"/>
                <v:textbox>
                  <w:txbxContent>
                    <w:p>
                      <w:pPr>
                        <w:pStyle w:val="FrameContents"/>
                        <w:suppressAutoHyphens w:val="false"/>
                        <w:spacing w:before="0" w:after="180"/>
                        <w:ind w:left="568" w:hanging="284"/>
                        <w:jc w:val="left"/>
                        <w:rPr>
                          <w:rFonts w:ascii="Times New Roman" w:hAnsi="Times New Roman" w:cs="Times New Roman"/>
                          <w:color w:val="00000A"/>
                          <w:lang w:eastAsia="ko-KR"/>
                        </w:rPr>
                      </w:pPr>
                      <w:r>
                        <w:rPr>
                          <w:rFonts w:cs="Times New Roman" w:ascii="Times New Roman" w:hAnsi="Times New Roman"/>
                          <w:color w:val="00000A"/>
                          <w:lang w:eastAsia="ko-KR"/>
                        </w:rPr>
                        <w:t>-</w:t>
                        <w:tab/>
                        <w:t>configured grant Type 1 where an uplink grant is provided by RRC, and stored as configured uplink grant;</w:t>
                      </w:r>
                    </w:p>
                    <w:p>
                      <w:pPr>
                        <w:pStyle w:val="FrameContents"/>
                        <w:suppressAutoHyphens w:val="false"/>
                        <w:spacing w:before="0" w:after="180"/>
                        <w:ind w:left="568" w:hanging="284"/>
                        <w:jc w:val="left"/>
                        <w:rPr>
                          <w:rFonts w:ascii="Times New Roman" w:hAnsi="Times New Roman" w:cs="Times New Roman"/>
                          <w:color w:val="00000A"/>
                          <w:lang w:eastAsia="ko-KR"/>
                        </w:rPr>
                      </w:pPr>
                      <w:r>
                        <w:rPr>
                          <w:rFonts w:cs="Times New Roman" w:ascii="Times New Roman" w:hAnsi="Times New Roman"/>
                          <w:color w:val="00000A"/>
                          <w:lang w:eastAsia="ko-KR"/>
                        </w:rPr>
                        <w:t>-</w:t>
                        <w:tab/>
                        <w:t>configured grant Type 2 where an uplink grant is provided by PDCCH, and stored or cleared as configured uplink grant based on L1 signalling indicating configured uplink grant activation or deactivation.</w:t>
                      </w:r>
                    </w:p>
                    <w:p>
                      <w:pPr>
                        <w:pStyle w:val="FrameContents"/>
                        <w:suppressAutoHyphens w:val="false"/>
                        <w:spacing w:before="0" w:after="180"/>
                        <w:jc w:val="left"/>
                        <w:rPr>
                          <w:rFonts w:ascii="Times New Roman" w:hAnsi="Times New Roman" w:cs="Times New Roman"/>
                          <w:color w:val="00000A"/>
                          <w:lang w:eastAsia="ko-KR"/>
                        </w:rPr>
                      </w:pPr>
                      <w:r>
                        <w:rPr>
                          <w:rFonts w:cs="Times New Roman" w:ascii="Times New Roman" w:hAnsi="Times New Roman"/>
                          <w:color w:val="00000A"/>
                          <w:lang w:eastAsia="ko-KR"/>
                        </w:rPr>
                        <w:t xml:space="preserve">Type 1 and Type 2 are configured by RRC per Serving Cell and per BWP. Multiple configurations can be active simultaneously </w:t>
                      </w:r>
                      <w:r>
                        <w:rPr>
                          <w:rFonts w:eastAsia="Malgun Gothic" w:cs="Times New Roman" w:ascii="Times New Roman" w:hAnsi="Times New Roman"/>
                          <w:color w:val="00000A"/>
                          <w:lang w:eastAsia="ko-KR"/>
                        </w:rPr>
                        <w:t>in the same BWP</w:t>
                      </w:r>
                      <w:r>
                        <w:rPr>
                          <w:rFonts w:cs="Times New Roman" w:ascii="Times New Roman" w:hAnsi="Times New Roman"/>
                          <w:color w:val="00000A"/>
                          <w:lang w:eastAsia="ko-KR"/>
                        </w:rPr>
                        <w:t xml:space="preserve">. For Type 2, activation and deactivation are independent among the Serving Cells. For the same </w:t>
                      </w:r>
                      <w:r>
                        <w:rPr>
                          <w:rFonts w:eastAsia="Malgun Gothic" w:cs="Times New Roman" w:ascii="Times New Roman" w:hAnsi="Times New Roman"/>
                          <w:color w:val="00000A"/>
                          <w:lang w:eastAsia="ko-KR"/>
                        </w:rPr>
                        <w:t>BWP</w:t>
                      </w:r>
                      <w:r>
                        <w:rPr>
                          <w:rFonts w:cs="Times New Roman" w:ascii="Times New Roman" w:hAnsi="Times New Roman"/>
                          <w:color w:val="00000A"/>
                          <w:lang w:eastAsia="ko-KR"/>
                        </w:rPr>
                        <w:t xml:space="preserve">, the MAC entity </w:t>
                      </w:r>
                      <w:r>
                        <w:rPr>
                          <w:rFonts w:eastAsia="Malgun Gothic" w:cs="Times New Roman" w:ascii="Times New Roman" w:hAnsi="Times New Roman"/>
                          <w:color w:val="00000A"/>
                          <w:lang w:eastAsia="ko-KR"/>
                        </w:rPr>
                        <w:t>can be</w:t>
                      </w:r>
                      <w:r>
                        <w:rPr>
                          <w:rFonts w:cs="Times New Roman" w:ascii="Times New Roman" w:hAnsi="Times New Roman"/>
                          <w:color w:val="00000A"/>
                          <w:lang w:eastAsia="ko-KR"/>
                        </w:rPr>
                        <w:t xml:space="preserve"> configured with </w:t>
                      </w:r>
                      <w:r>
                        <w:rPr>
                          <w:rFonts w:eastAsia="Malgun Gothic" w:cs="Times New Roman" w:ascii="Times New Roman" w:hAnsi="Times New Roman"/>
                          <w:color w:val="00000A"/>
                          <w:lang w:eastAsia="ko-KR"/>
                        </w:rPr>
                        <w:t xml:space="preserve">both </w:t>
                      </w:r>
                      <w:r>
                        <w:rPr>
                          <w:rFonts w:cs="Times New Roman" w:ascii="Times New Roman" w:hAnsi="Times New Roman"/>
                          <w:color w:val="00000A"/>
                          <w:lang w:eastAsia="ko-KR"/>
                        </w:rPr>
                        <w:t xml:space="preserve">Type 1 </w:t>
                      </w:r>
                      <w:r>
                        <w:rPr>
                          <w:rFonts w:eastAsia="Malgun Gothic" w:cs="Times New Roman" w:ascii="Times New Roman" w:hAnsi="Times New Roman"/>
                          <w:color w:val="00000A"/>
                          <w:lang w:eastAsia="ko-KR"/>
                        </w:rPr>
                        <w:t xml:space="preserve">and </w:t>
                      </w:r>
                      <w:r>
                        <w:rPr>
                          <w:rFonts w:cs="Times New Roman" w:ascii="Times New Roman" w:hAnsi="Times New Roman"/>
                          <w:color w:val="00000A"/>
                          <w:lang w:eastAsia="ko-KR"/>
                        </w:rPr>
                        <w:t>Type 2.</w:t>
                      </w:r>
                    </w:p>
                    <w:p>
                      <w:pPr>
                        <w:pStyle w:val="FrameContents"/>
                        <w:spacing w:before="0" w:after="120"/>
                        <w:rPr/>
                      </w:pPr>
                      <w:r>
                        <w:rPr/>
                      </w:r>
                    </w:p>
                  </w:txbxContent>
                </v:textbox>
              </v:rect>
            </w:pict>
          </mc:Fallback>
        </mc:AlternateContent>
      </w:r>
      <w:r>
        <w:rPr>
          <w:iCs/>
        </w:rPr>
        <w:t xml:space="preserve">In NR UL, there are two types of transmission without dynamic grant specified </w:t>
      </w:r>
      <w:r>
        <w:rPr>
          <w:iCs/>
        </w:rPr>
        <w:fldChar w:fldCharType="begin"/>
      </w:r>
      <w:r>
        <w:instrText>REF _Ref52796296 \r \h</w:instrText>
      </w:r>
      <w:r>
        <w:rPr>
          <w:iCs/>
        </w:rPr>
      </w:r>
      <w:r>
        <w:fldChar w:fldCharType="separate"/>
      </w:r>
      <w:r>
        <w:t>[6]</w:t>
      </w:r>
      <w:r>
        <w:fldChar w:fldCharType="end"/>
      </w:r>
      <w:r>
        <w:rPr>
          <w:iCs/>
        </w:rPr>
        <w:t>:</w:t>
      </w:r>
    </w:p>
    <w:p w:rsidR="005A213C" w:rsidRDefault="005A213C">
      <w:pPr>
        <w:pStyle w:val="Doc-text2"/>
        <w:spacing w:after="120"/>
        <w:ind w:left="0" w:firstLine="0"/>
        <w:rPr>
          <w:iCs/>
        </w:rPr>
      </w:pPr>
    </w:p>
    <w:p w:rsidR="005A213C" w:rsidRDefault="00922647">
      <w:pPr>
        <w:pStyle w:val="Doc-text2"/>
        <w:spacing w:after="120"/>
        <w:ind w:left="0" w:firstLine="0"/>
        <w:rPr>
          <w:iCs/>
        </w:rPr>
      </w:pPr>
      <w:r>
        <w:rPr>
          <w:iCs/>
        </w:rPr>
        <w:t xml:space="preserve">Configured grant </w:t>
      </w:r>
      <w:r>
        <w:rPr>
          <w:i/>
          <w:iCs/>
        </w:rPr>
        <w:t>Type 1</w:t>
      </w:r>
      <w:r>
        <w:rPr>
          <w:iCs/>
        </w:rPr>
        <w:t xml:space="preserve"> is a fully RRC-configured UL grant, while </w:t>
      </w:r>
      <w:r>
        <w:rPr>
          <w:i/>
          <w:iCs/>
        </w:rPr>
        <w:t>Type 2</w:t>
      </w:r>
      <w:r>
        <w:rPr>
          <w:iCs/>
        </w:rPr>
        <w:t xml:space="preserve"> is an UL grant configured by DCI addressed to CS-RNTI. This means </w:t>
      </w:r>
      <w:r>
        <w:rPr>
          <w:i/>
          <w:iCs/>
        </w:rPr>
        <w:t>Type 2</w:t>
      </w:r>
      <w:r>
        <w:rPr>
          <w:iCs/>
        </w:rPr>
        <w:t xml:space="preserve"> is UE specific due to the use of CS-RNTI (Configured Scheduling RNTI), while </w:t>
      </w:r>
      <w:r>
        <w:rPr>
          <w:i/>
          <w:iCs/>
        </w:rPr>
        <w:t>Type 1</w:t>
      </w:r>
      <w:r>
        <w:rPr>
          <w:iCs/>
        </w:rPr>
        <w:t xml:space="preserve"> configured grant can be used by a group of UEs. This </w:t>
      </w:r>
      <w:r>
        <w:rPr>
          <w:i/>
          <w:iCs/>
        </w:rPr>
        <w:t>Type 1</w:t>
      </w:r>
      <w:r>
        <w:rPr>
          <w:iCs/>
        </w:rPr>
        <w:t xml:space="preserve"> is particularly relevant to support applications with aperiodic or sporadic traffic.</w:t>
      </w:r>
    </w:p>
    <w:p w:rsidR="005A213C" w:rsidRDefault="00922647">
      <w:pPr>
        <w:pStyle w:val="Doc-text2"/>
        <w:spacing w:after="120"/>
        <w:ind w:left="0" w:firstLine="0"/>
      </w:pPr>
      <w:r>
        <w:rPr>
          <w:iCs/>
        </w:rPr>
        <w:t xml:space="preserve">If the configured grant reserves radio resources for a group of UEs, packet collisions between UEs can happen. In NR, there is the possibility to transmit repetitions of the packet to combat such collisions. The corresponding parameter </w:t>
      </w:r>
      <w:proofErr w:type="spellStart"/>
      <w:r>
        <w:rPr>
          <w:i/>
          <w:iCs/>
        </w:rPr>
        <w:t>repK</w:t>
      </w:r>
      <w:proofErr w:type="spellEnd"/>
      <w:r>
        <w:rPr>
          <w:iCs/>
        </w:rPr>
        <w:t xml:space="preserve"> can be configured with {1, 2, 4, 8} </w:t>
      </w:r>
      <w:r>
        <w:rPr>
          <w:iCs/>
        </w:rPr>
        <w:fldChar w:fldCharType="begin"/>
      </w:r>
      <w:r>
        <w:instrText>REF _Ref52796972 \r \h</w:instrText>
      </w:r>
      <w:r>
        <w:rPr>
          <w:iCs/>
        </w:rPr>
      </w:r>
      <w:r>
        <w:fldChar w:fldCharType="separate"/>
      </w:r>
      <w:r>
        <w:t>[5]</w:t>
      </w:r>
      <w:r>
        <w:fldChar w:fldCharType="end"/>
      </w:r>
      <w:r>
        <w:rPr>
          <w:iCs/>
        </w:rPr>
        <w:t>.</w:t>
      </w:r>
    </w:p>
    <w:p w:rsidR="005A213C" w:rsidRDefault="00922647">
      <w:pPr>
        <w:pStyle w:val="Doc-text2"/>
        <w:spacing w:after="120"/>
        <w:ind w:left="0" w:firstLine="0"/>
        <w:rPr>
          <w:iCs/>
        </w:rPr>
      </w:pPr>
      <w:r>
        <w:rPr>
          <w:iCs/>
        </w:rPr>
        <w:lastRenderedPageBreak/>
        <w:t>The goal of the configuration should be to apply a balanced mix of provided and used resources in order to avoid waste of resources as well as numerous collisions.</w:t>
      </w:r>
    </w:p>
    <w:p w:rsidR="005A213C" w:rsidRDefault="00922647">
      <w:pPr>
        <w:pStyle w:val="Doc-text2"/>
        <w:spacing w:after="120"/>
        <w:ind w:left="0" w:firstLine="0"/>
      </w:pPr>
      <w:r>
        <w:rPr>
          <w:iCs/>
        </w:rPr>
        <w:t xml:space="preserve">Considering the large cell size in NTN, e.g. 90km satellite beam diameter in LEO-1200 S-band scenario, see Table 6.1.1.1-1 in TR 38.821 </w:t>
      </w:r>
      <w:r>
        <w:rPr>
          <w:iCs/>
        </w:rPr>
        <w:fldChar w:fldCharType="begin"/>
      </w:r>
      <w:r>
        <w:instrText>REF _Ref52802919 \r \h</w:instrText>
      </w:r>
      <w:r>
        <w:rPr>
          <w:iCs/>
        </w:rPr>
      </w:r>
      <w:r>
        <w:fldChar w:fldCharType="separate"/>
      </w:r>
      <w:r>
        <w:t>[4]</w:t>
      </w:r>
      <w:r>
        <w:fldChar w:fldCharType="end"/>
      </w:r>
      <w:r>
        <w:rPr>
          <w:iCs/>
        </w:rPr>
        <w:t>, we assume the typical number of UEs per cell will be in the range of several tens or even hundreds. Meaning UE specific configured grant will result in a large amount of required resources. As the goal of NTN is more to provide coverage everywhere than to provide high peak data rate, we propose the following:</w:t>
      </w:r>
    </w:p>
    <w:p w:rsidR="005A213C" w:rsidRDefault="00922647">
      <w:pPr>
        <w:pStyle w:val="Doc-text2"/>
        <w:spacing w:after="120"/>
        <w:ind w:left="0" w:firstLine="0"/>
        <w:rPr>
          <w:iCs/>
        </w:rPr>
      </w:pPr>
      <w:r>
        <w:rPr>
          <w:b/>
          <w:iCs/>
        </w:rPr>
        <w:t>Proposal 1:</w:t>
      </w:r>
      <w:r>
        <w:rPr>
          <w:iCs/>
        </w:rPr>
        <w:t xml:space="preserve"> </w:t>
      </w:r>
      <w:r>
        <w:rPr>
          <w:iCs/>
        </w:rPr>
        <w:tab/>
        <w:t>In NTN, the preferred configured grant is Type 1, which is configurable for a group of UEs.</w:t>
      </w:r>
    </w:p>
    <w:p w:rsidR="005A213C" w:rsidRDefault="005A213C">
      <w:pPr>
        <w:pStyle w:val="Doc-text2"/>
        <w:spacing w:after="120"/>
        <w:ind w:left="0" w:firstLine="0"/>
        <w:rPr>
          <w:iCs/>
        </w:rPr>
      </w:pPr>
    </w:p>
    <w:p w:rsidR="005A213C" w:rsidRDefault="00922647">
      <w:pPr>
        <w:pStyle w:val="Doc-text2"/>
        <w:spacing w:after="120"/>
        <w:ind w:left="0" w:firstLine="0"/>
        <w:rPr>
          <w:iCs/>
        </w:rPr>
      </w:pPr>
      <w:r>
        <w:rPr>
          <w:iCs/>
        </w:rPr>
        <w:t xml:space="preserve">In scenarios, with non-geostationary satellites, due to the movement of the satellites and the resulting changes in elevation angle, the channel quality or path loss may change drastically in a short period of time and may require a timely reconfiguration of the configured grant. In current NR specifications, </w:t>
      </w:r>
      <w:r>
        <w:rPr>
          <w:iCs/>
          <w:szCs w:val="22"/>
        </w:rPr>
        <w:t>configured grant parameters can be provided via RRC and need to be activated via DCI or RRC signalling. The long propagation delay in NTN, may have impacts on the configuration as well as the activation or deactivation of configured grant. Therefore, enhancements on e.g. how to adjust configured grant parameters without frequent RRC reconfigurations should be discussed in NTN.</w:t>
      </w:r>
    </w:p>
    <w:p w:rsidR="005A213C" w:rsidRDefault="00922647">
      <w:pPr>
        <w:pStyle w:val="Doc-text2"/>
        <w:spacing w:after="120"/>
        <w:ind w:left="1620" w:hanging="1620"/>
        <w:rPr>
          <w:iCs/>
        </w:rPr>
      </w:pPr>
      <w:r>
        <w:rPr>
          <w:b/>
          <w:iCs/>
          <w:szCs w:val="22"/>
          <w:lang w:val="en-US"/>
        </w:rPr>
        <w:t xml:space="preserve">Proposal 2: </w:t>
      </w:r>
      <w:r>
        <w:rPr>
          <w:b/>
          <w:iCs/>
          <w:szCs w:val="22"/>
          <w:lang w:val="en-US"/>
        </w:rPr>
        <w:tab/>
      </w:r>
      <w:r>
        <w:rPr>
          <w:b/>
          <w:iCs/>
          <w:szCs w:val="22"/>
          <w:lang w:val="en-US"/>
        </w:rPr>
        <w:tab/>
      </w:r>
      <w:r>
        <w:rPr>
          <w:iCs/>
          <w:szCs w:val="22"/>
          <w:lang w:val="en-US"/>
        </w:rPr>
        <w:t>Enhancement to reduce the signaling overhead on configuration as well as activation / deactivation of configured grant should be discussed for NTN</w:t>
      </w:r>
      <w:r>
        <w:rPr>
          <w:bCs/>
          <w:iCs/>
          <w:szCs w:val="22"/>
          <w:lang w:val="en-US"/>
        </w:rPr>
        <w:t>.</w:t>
      </w:r>
      <w:r>
        <w:rPr>
          <w:iCs/>
          <w:szCs w:val="22"/>
          <w:lang w:val="en-US"/>
        </w:rPr>
        <w:t xml:space="preserve"> </w:t>
      </w:r>
    </w:p>
    <w:p w:rsidR="005A213C" w:rsidRDefault="005A213C">
      <w:pPr>
        <w:pStyle w:val="Doc-text2"/>
        <w:spacing w:after="120"/>
        <w:ind w:left="0" w:firstLine="0"/>
        <w:rPr>
          <w:szCs w:val="22"/>
        </w:rPr>
      </w:pPr>
    </w:p>
    <w:p w:rsidR="005A213C" w:rsidRDefault="00922647">
      <w:pPr>
        <w:pStyle w:val="Doc-text2"/>
        <w:spacing w:after="120"/>
        <w:ind w:left="0" w:firstLine="0"/>
      </w:pPr>
      <w:r>
        <w:rPr>
          <w:iCs/>
        </w:rPr>
        <w:t xml:space="preserve">For both types of configured grant, a periodicity of the configured UL grant is configurable. The supported periodicities are depending on the configured subcarrier spacing. The value range for a subcarrier spacing of 15kHz is from 2 symbols to 640*14symbols = 8960 symbols </w:t>
      </w:r>
      <w:r>
        <w:rPr>
          <w:iCs/>
        </w:rPr>
        <w:fldChar w:fldCharType="begin"/>
      </w:r>
      <w:r>
        <w:instrText>REF _Ref52796972 \r \h</w:instrText>
      </w:r>
      <w:r>
        <w:rPr>
          <w:iCs/>
        </w:rPr>
      </w:r>
      <w:r>
        <w:fldChar w:fldCharType="separate"/>
      </w:r>
      <w:r>
        <w:t>[5]</w:t>
      </w:r>
      <w:r>
        <w:fldChar w:fldCharType="end"/>
      </w:r>
      <w:r>
        <w:rPr>
          <w:iCs/>
        </w:rPr>
        <w:t xml:space="preserve">. For a subcarrier spacing of 15kHz, 14 symbols present a </w:t>
      </w:r>
      <w:proofErr w:type="spellStart"/>
      <w:r>
        <w:rPr>
          <w:iCs/>
        </w:rPr>
        <w:t>subframe</w:t>
      </w:r>
      <w:proofErr w:type="spellEnd"/>
      <w:r>
        <w:rPr>
          <w:iCs/>
        </w:rPr>
        <w:t xml:space="preserve"> of 1ms duration meaning the range is from below 1ms to 640ms.</w:t>
      </w:r>
    </w:p>
    <w:p w:rsidR="005A213C" w:rsidRDefault="00922647">
      <w:pPr>
        <w:pStyle w:val="Doc-text2"/>
        <w:spacing w:after="120"/>
        <w:ind w:left="0" w:firstLine="0"/>
        <w:rPr>
          <w:iCs/>
        </w:rPr>
      </w:pPr>
      <w:r>
        <w:rPr>
          <w:b/>
          <w:iCs/>
        </w:rPr>
        <w:t>Observation 2:</w:t>
      </w:r>
      <w:r>
        <w:rPr>
          <w:iCs/>
        </w:rPr>
        <w:t xml:space="preserve"> </w:t>
      </w:r>
      <w:r>
        <w:rPr>
          <w:iCs/>
        </w:rPr>
        <w:tab/>
        <w:t>Configurable periodicity should provide enough flexibility for NTN.</w:t>
      </w:r>
    </w:p>
    <w:p w:rsidR="005A213C" w:rsidRDefault="00922647">
      <w:pPr>
        <w:pStyle w:val="Doc-text2"/>
        <w:spacing w:after="120"/>
        <w:ind w:left="1620" w:hanging="1620"/>
        <w:rPr>
          <w:iCs/>
        </w:rPr>
      </w:pPr>
      <w:r>
        <w:rPr>
          <w:b/>
          <w:iCs/>
        </w:rPr>
        <w:t>Proposal 3:</w:t>
      </w:r>
      <w:r>
        <w:rPr>
          <w:iCs/>
        </w:rPr>
        <w:t xml:space="preserve"> </w:t>
      </w:r>
      <w:r>
        <w:rPr>
          <w:iCs/>
        </w:rPr>
        <w:tab/>
        <w:t xml:space="preserve">There is no need to modify parameter </w:t>
      </w:r>
      <w:r>
        <w:rPr>
          <w:i/>
          <w:iCs/>
        </w:rPr>
        <w:t>periodicity</w:t>
      </w:r>
      <w:r>
        <w:rPr>
          <w:iCs/>
        </w:rPr>
        <w:t xml:space="preserve"> of information element (IE) </w:t>
      </w:r>
      <w:proofErr w:type="spellStart"/>
      <w:r>
        <w:rPr>
          <w:i/>
          <w:iCs/>
        </w:rPr>
        <w:t>ConfiguredGrantConfig</w:t>
      </w:r>
      <w:proofErr w:type="spellEnd"/>
      <w:r>
        <w:rPr>
          <w:iCs/>
        </w:rPr>
        <w:t xml:space="preserve"> to support NTN.</w:t>
      </w:r>
    </w:p>
    <w:p w:rsidR="005A213C" w:rsidRDefault="005A213C">
      <w:pPr>
        <w:pStyle w:val="Doc-text2"/>
        <w:spacing w:after="120"/>
        <w:ind w:left="0" w:firstLine="0"/>
        <w:rPr>
          <w:iCs/>
        </w:rPr>
      </w:pPr>
    </w:p>
    <w:p w:rsidR="005A213C" w:rsidRDefault="00922647">
      <w:pPr>
        <w:pStyle w:val="Doc-text2"/>
        <w:spacing w:after="120"/>
        <w:ind w:left="0" w:firstLine="0"/>
      </w:pPr>
      <w:r>
        <w:rPr>
          <w:iCs/>
        </w:rPr>
        <w:t xml:space="preserve">Another parameter, configurable regarding configured grant is the maximum number of configured grant configurations per BWP </w:t>
      </w:r>
      <w:r>
        <w:rPr>
          <w:i/>
          <w:iCs/>
        </w:rPr>
        <w:t>maxNrofConfiguredGrantConfig-r16</w:t>
      </w:r>
      <w:r>
        <w:rPr>
          <w:iCs/>
        </w:rPr>
        <w:t xml:space="preserve"> and the maximum number of configured grant configurations per MAC entity </w:t>
      </w:r>
      <w:bookmarkStart w:id="3" w:name="__DdeLink__29269_1446731309"/>
      <w:r>
        <w:rPr>
          <w:i/>
          <w:iCs/>
        </w:rPr>
        <w:t>maxNrofConfiguredGrantConfigMAC-r16</w:t>
      </w:r>
      <w:bookmarkEnd w:id="3"/>
      <w:r>
        <w:rPr>
          <w:iCs/>
        </w:rPr>
        <w:t xml:space="preserve">. In Rel-16 </w:t>
      </w:r>
      <w:r>
        <w:rPr>
          <w:iCs/>
        </w:rPr>
        <w:fldChar w:fldCharType="begin"/>
      </w:r>
      <w:r>
        <w:instrText>REF _Ref52796972 \r \h</w:instrText>
      </w:r>
      <w:r>
        <w:rPr>
          <w:iCs/>
        </w:rPr>
      </w:r>
      <w:r>
        <w:fldChar w:fldCharType="separate"/>
      </w:r>
      <w:r>
        <w:t>[5]</w:t>
      </w:r>
      <w:r>
        <w:fldChar w:fldCharType="end"/>
      </w:r>
      <w:r>
        <w:rPr>
          <w:iCs/>
        </w:rPr>
        <w:t xml:space="preserve"> </w:t>
      </w:r>
      <w:r>
        <w:rPr>
          <w:i/>
          <w:iCs/>
        </w:rPr>
        <w:t xml:space="preserve">maxNrofConfiguredGrantConfig-r16 </w:t>
      </w:r>
      <w:r>
        <w:rPr>
          <w:iCs/>
        </w:rPr>
        <w:t xml:space="preserve"> is equal 12 and </w:t>
      </w:r>
      <w:r>
        <w:rPr>
          <w:i/>
          <w:iCs/>
        </w:rPr>
        <w:t>maxNrofConfiguredGrantConfigMAC-r16</w:t>
      </w:r>
      <w:r>
        <w:rPr>
          <w:iCs/>
        </w:rPr>
        <w:t xml:space="preserve"> is equal 32. As in NTN, the goal is more to provide coverage everywhere and support high mobility than to provide high peak data rate, there is no need to configure a lot of UEs with a large number of configured grants.</w:t>
      </w:r>
    </w:p>
    <w:p w:rsidR="005A213C" w:rsidRDefault="00922647">
      <w:pPr>
        <w:pStyle w:val="Doc-text2"/>
        <w:spacing w:after="120"/>
        <w:ind w:left="1620" w:hanging="1620"/>
        <w:rPr>
          <w:iCs/>
        </w:rPr>
      </w:pPr>
      <w:r>
        <w:rPr>
          <w:b/>
          <w:iCs/>
        </w:rPr>
        <w:t>Proposal 4:</w:t>
      </w:r>
      <w:r>
        <w:rPr>
          <w:iCs/>
        </w:rPr>
        <w:t xml:space="preserve"> </w:t>
      </w:r>
      <w:r>
        <w:rPr>
          <w:iCs/>
        </w:rPr>
        <w:tab/>
        <w:t xml:space="preserve">There is no need to modify </w:t>
      </w:r>
      <w:r>
        <w:rPr>
          <w:i/>
          <w:iCs/>
        </w:rPr>
        <w:t>maxNrofConfiguredGrantConfig-r16</w:t>
      </w:r>
      <w:r>
        <w:rPr>
          <w:iCs/>
        </w:rPr>
        <w:t xml:space="preserve"> and </w:t>
      </w:r>
      <w:r>
        <w:rPr>
          <w:i/>
          <w:iCs/>
        </w:rPr>
        <w:t>maxNrofConfiguredGrantConfigMAC-r16</w:t>
      </w:r>
      <w:r>
        <w:rPr>
          <w:iCs/>
        </w:rPr>
        <w:t xml:space="preserve"> to support NTN.</w:t>
      </w:r>
    </w:p>
    <w:p w:rsidR="005A213C" w:rsidRDefault="005A213C">
      <w:pPr>
        <w:pStyle w:val="Doc-text2"/>
        <w:spacing w:after="120"/>
        <w:ind w:left="0" w:firstLine="0"/>
        <w:rPr>
          <w:iCs/>
        </w:rPr>
      </w:pPr>
    </w:p>
    <w:p w:rsidR="005A213C" w:rsidRDefault="00922647">
      <w:pPr>
        <w:pStyle w:val="Doc-text2"/>
        <w:spacing w:after="120"/>
        <w:ind w:left="0" w:firstLine="0"/>
        <w:rPr>
          <w:iCs/>
        </w:rPr>
      </w:pPr>
      <w:r>
        <w:rPr>
          <w:iCs/>
        </w:rPr>
        <w:t>Due to above analysis, where we observed that the delay for providing resources for UL data transmission may decrease significantly, the resource utilization may be adjusted appropriately and the specification effort is manageable, we propose to support configured grant for NTN.</w:t>
      </w:r>
    </w:p>
    <w:p w:rsidR="005A213C" w:rsidRDefault="00922647">
      <w:pPr>
        <w:pStyle w:val="Doc-text2"/>
        <w:spacing w:after="120"/>
        <w:ind w:left="1620" w:hanging="1620"/>
        <w:rPr>
          <w:iCs/>
        </w:rPr>
      </w:pPr>
      <w:r>
        <w:rPr>
          <w:b/>
          <w:iCs/>
        </w:rPr>
        <w:t>Observation 3:</w:t>
      </w:r>
      <w:r>
        <w:rPr>
          <w:iCs/>
        </w:rPr>
        <w:t xml:space="preserve"> </w:t>
      </w:r>
      <w:r>
        <w:rPr>
          <w:iCs/>
        </w:rPr>
        <w:tab/>
      </w:r>
      <w:r>
        <w:rPr>
          <w:iCs/>
        </w:rPr>
        <w:tab/>
        <w:t>There is l</w:t>
      </w:r>
      <w:r w:rsidR="00783365">
        <w:rPr>
          <w:iCs/>
        </w:rPr>
        <w:t xml:space="preserve">ittle </w:t>
      </w:r>
      <w:r>
        <w:rPr>
          <w:iCs/>
        </w:rPr>
        <w:t>specification impact to support configured grant in NTN.</w:t>
      </w:r>
    </w:p>
    <w:p w:rsidR="005A213C" w:rsidRDefault="00922647">
      <w:pPr>
        <w:pStyle w:val="Doc-text2"/>
        <w:spacing w:after="120"/>
        <w:ind w:left="0" w:firstLine="0"/>
        <w:rPr>
          <w:iCs/>
        </w:rPr>
      </w:pPr>
      <w:r>
        <w:rPr>
          <w:b/>
          <w:iCs/>
        </w:rPr>
        <w:t>Proposal 5:</w:t>
      </w:r>
      <w:r>
        <w:rPr>
          <w:iCs/>
        </w:rPr>
        <w:t xml:space="preserve"> </w:t>
      </w:r>
      <w:r>
        <w:rPr>
          <w:iCs/>
        </w:rPr>
        <w:tab/>
        <w:t>Support configured grant in NTN for UL scheduling.</w:t>
      </w:r>
    </w:p>
    <w:p w:rsidR="005A213C" w:rsidRDefault="005A213C">
      <w:pPr>
        <w:pStyle w:val="Doc-text2"/>
        <w:spacing w:after="120"/>
        <w:ind w:left="1418" w:hanging="1418"/>
        <w:rPr>
          <w:iCs/>
        </w:rPr>
      </w:pPr>
    </w:p>
    <w:p w:rsidR="005A213C" w:rsidRDefault="00922647">
      <w:pPr>
        <w:pStyle w:val="berschrift2"/>
        <w:numPr>
          <w:ilvl w:val="1"/>
          <w:numId w:val="2"/>
        </w:numPr>
      </w:pPr>
      <w:r>
        <w:t>BSR over 2-step RACH</w:t>
      </w:r>
    </w:p>
    <w:p w:rsidR="005A213C" w:rsidRDefault="00922647">
      <w:pPr>
        <w:widowControl w:val="0"/>
        <w:tabs>
          <w:tab w:val="left" w:pos="7607"/>
        </w:tabs>
        <w:rPr>
          <w:rFonts w:eastAsia="等线;DengXian"/>
          <w:lang w:val="en-US"/>
        </w:rPr>
      </w:pPr>
      <w:r>
        <w:rPr>
          <w:rFonts w:eastAsia="等线;DengXian"/>
          <w:lang w:val="en-US"/>
        </w:rPr>
        <w:t xml:space="preserve">Another method to get UL resources assigned and to avoid the delay of two times the RTD of the conventional SR-BSR-procedure, is to include a BSR in </w:t>
      </w:r>
      <w:proofErr w:type="spellStart"/>
      <w:r>
        <w:rPr>
          <w:rFonts w:eastAsia="等线;DengXian"/>
          <w:lang w:val="en-US"/>
        </w:rPr>
        <w:t>MsgA</w:t>
      </w:r>
      <w:proofErr w:type="spellEnd"/>
      <w:r>
        <w:rPr>
          <w:rFonts w:eastAsia="等线;DengXian"/>
          <w:lang w:val="en-US"/>
        </w:rPr>
        <w:t xml:space="preserve"> of the 2-step RACH procedure. </w:t>
      </w:r>
    </w:p>
    <w:p w:rsidR="005A213C" w:rsidRDefault="00922647">
      <w:pPr>
        <w:widowControl w:val="0"/>
        <w:tabs>
          <w:tab w:val="left" w:pos="7607"/>
        </w:tabs>
      </w:pPr>
      <w:r>
        <w:rPr>
          <w:rFonts w:eastAsia="等线;DengXian"/>
          <w:lang w:val="en-US"/>
        </w:rPr>
        <w:t xml:space="preserve">In TS 38.300 Section 7.3.2 </w:t>
      </w:r>
      <w:r>
        <w:rPr>
          <w:rFonts w:eastAsia="等线;DengXian"/>
          <w:lang w:val="en-US"/>
        </w:rPr>
        <w:fldChar w:fldCharType="begin"/>
      </w:r>
      <w:r>
        <w:instrText>REF _Ref52805192 \r \h</w:instrText>
      </w:r>
      <w:r>
        <w:rPr>
          <w:rFonts w:eastAsia="等线;DengXian"/>
          <w:lang w:val="en-US"/>
        </w:rPr>
      </w:r>
      <w:r>
        <w:fldChar w:fldCharType="separate"/>
      </w:r>
      <w:r>
        <w:t>[7]</w:t>
      </w:r>
      <w:r>
        <w:fldChar w:fldCharType="end"/>
      </w:r>
      <w:r>
        <w:rPr>
          <w:rFonts w:eastAsia="等线;DengXian"/>
          <w:lang w:val="en-US"/>
        </w:rPr>
        <w:t xml:space="preserve">, it is specified that for UEs in RRC_IDLE and RRC_INACTIVE mode, a random access procedure, 2-step or 4-step RACH procedure, can be used to request for further SI. Considering the large propagation delay in NTN, the 2-step RACH procedure will be the preferred option for NTN. </w:t>
      </w:r>
    </w:p>
    <w:p w:rsidR="005A213C" w:rsidRDefault="00922647">
      <w:pPr>
        <w:pStyle w:val="Doc-text2"/>
        <w:spacing w:after="120"/>
        <w:ind w:left="1620" w:hanging="1620"/>
        <w:rPr>
          <w:b/>
          <w:iCs/>
        </w:rPr>
      </w:pPr>
      <w:r>
        <w:rPr>
          <w:b/>
          <w:iCs/>
        </w:rPr>
        <w:lastRenderedPageBreak/>
        <w:t>Proposal 6:</w:t>
      </w:r>
      <w:r>
        <w:rPr>
          <w:iCs/>
        </w:rPr>
        <w:t xml:space="preserve"> </w:t>
      </w:r>
      <w:r>
        <w:rPr>
          <w:iCs/>
        </w:rPr>
        <w:tab/>
      </w:r>
      <w:r>
        <w:rPr>
          <w:iCs/>
        </w:rPr>
        <w:tab/>
        <w:t>2-step RACH procedure will be the preferred random access procedure to request for a grant for UL data transmission in NTN.</w:t>
      </w:r>
    </w:p>
    <w:p w:rsidR="005A213C" w:rsidRDefault="00922647">
      <w:pPr>
        <w:widowControl w:val="0"/>
        <w:tabs>
          <w:tab w:val="left" w:pos="7607"/>
        </w:tabs>
        <w:rPr>
          <w:rFonts w:eastAsia="等线;DengXian"/>
          <w:lang w:val="en-US"/>
        </w:rPr>
      </w:pPr>
      <w:r>
        <w:rPr>
          <w:rFonts w:eastAsia="等线;DengXian"/>
          <w:lang w:val="en-US"/>
        </w:rPr>
        <w:t xml:space="preserve">The BSR (SI request message) will be included in </w:t>
      </w:r>
      <w:proofErr w:type="spellStart"/>
      <w:r>
        <w:rPr>
          <w:rFonts w:eastAsia="等线;DengXian"/>
          <w:lang w:val="en-US"/>
        </w:rPr>
        <w:t>MsgA</w:t>
      </w:r>
      <w:proofErr w:type="spellEnd"/>
      <w:r>
        <w:rPr>
          <w:rFonts w:eastAsia="等线;DengXian"/>
          <w:lang w:val="en-US"/>
        </w:rPr>
        <w:t xml:space="preserve"> using PUSCH resources (corresponding to Msg3 in 4-step RACH procedure). Using this method, </w:t>
      </w:r>
      <w:r>
        <w:rPr>
          <w:iCs/>
        </w:rPr>
        <w:t xml:space="preserve">the delay until the first transmission of data could be significantly reduced </w:t>
      </w:r>
      <w:r>
        <w:rPr>
          <w:rFonts w:eastAsia="等线;DengXian"/>
          <w:lang w:val="en-US"/>
        </w:rPr>
        <w:t xml:space="preserve">compared to conventional SR-BSR-procedure. </w:t>
      </w:r>
    </w:p>
    <w:p w:rsidR="005A213C" w:rsidRDefault="00922647">
      <w:pPr>
        <w:pStyle w:val="Doc-text2"/>
        <w:spacing w:after="120"/>
        <w:ind w:left="1620" w:hanging="1620"/>
        <w:rPr>
          <w:iCs/>
        </w:rPr>
      </w:pPr>
      <w:r>
        <w:rPr>
          <w:b/>
          <w:iCs/>
        </w:rPr>
        <w:t>Observation 4:</w:t>
      </w:r>
      <w:r>
        <w:rPr>
          <w:iCs/>
        </w:rPr>
        <w:tab/>
        <w:t xml:space="preserve">In NTN, the delay until the first transmission of data could be significantly reduced using BSR over 2-step RACH in comparison to the conventional SR-BSR-procedure. </w:t>
      </w:r>
    </w:p>
    <w:p w:rsidR="005A213C" w:rsidRDefault="00922647">
      <w:pPr>
        <w:widowControl w:val="0"/>
      </w:pPr>
      <w:r>
        <w:rPr>
          <w:rFonts w:eastAsia="等线;DengXian"/>
        </w:rPr>
        <w:t xml:space="preserve">However, considering the large </w:t>
      </w:r>
      <w:r>
        <w:rPr>
          <w:iCs/>
        </w:rPr>
        <w:t xml:space="preserve">cell size in NTN, e.g. 90km satellite beam diameter in LEO-1200  S-band scenario, see Table 6.1.1.1-1 in TR 38.821 </w:t>
      </w:r>
      <w:r>
        <w:rPr>
          <w:iCs/>
        </w:rPr>
        <w:fldChar w:fldCharType="begin"/>
      </w:r>
      <w:r>
        <w:instrText>REF _Ref52802919 \r \h</w:instrText>
      </w:r>
      <w:r>
        <w:rPr>
          <w:iCs/>
        </w:rPr>
      </w:r>
      <w:r>
        <w:fldChar w:fldCharType="separate"/>
      </w:r>
      <w:r>
        <w:t>[4]</w:t>
      </w:r>
      <w:r>
        <w:fldChar w:fldCharType="end"/>
      </w:r>
      <w:r>
        <w:rPr>
          <w:iCs/>
        </w:rPr>
        <w:t xml:space="preserve">, the number of UEs per cell/beam could become quite large. Therefore, it is worth to mention that the random access capacity is limited and using BSR over 2-step RACH will increase the collision probability. </w:t>
      </w:r>
    </w:p>
    <w:p w:rsidR="005A213C" w:rsidRDefault="00922647">
      <w:pPr>
        <w:pStyle w:val="Doc-text2"/>
        <w:spacing w:after="120"/>
        <w:ind w:left="1620" w:hanging="1620"/>
        <w:rPr>
          <w:iCs/>
        </w:rPr>
      </w:pPr>
      <w:r>
        <w:rPr>
          <w:b/>
          <w:iCs/>
        </w:rPr>
        <w:t>Observation 5:</w:t>
      </w:r>
      <w:r>
        <w:rPr>
          <w:iCs/>
        </w:rPr>
        <w:tab/>
        <w:t>Using BSR over 2-step RACH will increase the collision probability of RACH procedure.</w:t>
      </w:r>
    </w:p>
    <w:p w:rsidR="005A213C" w:rsidRDefault="005A213C">
      <w:pPr>
        <w:widowControl w:val="0"/>
        <w:rPr>
          <w:iCs/>
        </w:rPr>
      </w:pPr>
    </w:p>
    <w:p w:rsidR="005A213C" w:rsidRDefault="00922647">
      <w:pPr>
        <w:widowControl w:val="0"/>
        <w:rPr>
          <w:iCs/>
        </w:rPr>
      </w:pPr>
      <w:r>
        <w:rPr>
          <w:iCs/>
        </w:rPr>
        <w:t>From our perspective, low latency will not be of such importance for all NTN services. For example, if a UE wants to transmit huge amount of data, the delay until the first data transmission will not play such an important role and the usage of BSR over 2-step RACH could be avoided. All in all, in order to handle the RACH resource shortage, we propose to limit the usage of BSR over 2-step RACH in NTN.</w:t>
      </w:r>
    </w:p>
    <w:p w:rsidR="005A213C" w:rsidRDefault="00922647">
      <w:pPr>
        <w:pStyle w:val="Doc-text2"/>
        <w:spacing w:after="120"/>
        <w:ind w:left="1620" w:hanging="1620"/>
        <w:rPr>
          <w:iCs/>
        </w:rPr>
      </w:pPr>
      <w:r>
        <w:rPr>
          <w:b/>
          <w:iCs/>
        </w:rPr>
        <w:t>Proposal 7:</w:t>
      </w:r>
      <w:r>
        <w:rPr>
          <w:iCs/>
        </w:rPr>
        <w:t xml:space="preserve"> </w:t>
      </w:r>
      <w:r>
        <w:rPr>
          <w:iCs/>
        </w:rPr>
        <w:tab/>
        <w:t>In NTN, use BSR over 2-step RACH only to a limited level. FFS whether a level should be specified or is up to network implementation.</w:t>
      </w:r>
    </w:p>
    <w:p w:rsidR="005A213C" w:rsidRDefault="005A213C">
      <w:pPr>
        <w:pStyle w:val="Doc-text2"/>
        <w:spacing w:after="120"/>
        <w:ind w:left="1620" w:hanging="1620"/>
        <w:rPr>
          <w:iCs/>
        </w:rPr>
      </w:pPr>
    </w:p>
    <w:p w:rsidR="005A213C" w:rsidRDefault="00922647">
      <w:pPr>
        <w:pStyle w:val="Doc-text2"/>
        <w:spacing w:after="120"/>
        <w:ind w:left="1620" w:hanging="1620"/>
        <w:rPr>
          <w:iCs/>
        </w:rPr>
      </w:pPr>
      <w:r>
        <w:rPr>
          <w:iCs/>
        </w:rPr>
        <w:t xml:space="preserve">Above analysis shows, that the specification impact to support BSR over 2-step RACH is limited. </w:t>
      </w:r>
    </w:p>
    <w:p w:rsidR="005A213C" w:rsidRDefault="00922647">
      <w:pPr>
        <w:pStyle w:val="Doc-text2"/>
        <w:spacing w:after="120"/>
        <w:ind w:left="1620" w:hanging="1620"/>
        <w:rPr>
          <w:iCs/>
        </w:rPr>
      </w:pPr>
      <w:r>
        <w:rPr>
          <w:b/>
          <w:iCs/>
        </w:rPr>
        <w:t>Observation 6:</w:t>
      </w:r>
      <w:r>
        <w:rPr>
          <w:iCs/>
        </w:rPr>
        <w:t xml:space="preserve"> </w:t>
      </w:r>
      <w:r>
        <w:rPr>
          <w:iCs/>
        </w:rPr>
        <w:tab/>
      </w:r>
      <w:r>
        <w:rPr>
          <w:iCs/>
        </w:rPr>
        <w:tab/>
        <w:t>There is l</w:t>
      </w:r>
      <w:r w:rsidR="00783365">
        <w:rPr>
          <w:iCs/>
        </w:rPr>
        <w:t>ittle</w:t>
      </w:r>
      <w:r>
        <w:rPr>
          <w:iCs/>
        </w:rPr>
        <w:t xml:space="preserve"> specification impact to support BSR over 2-step RACH in NTN.</w:t>
      </w:r>
    </w:p>
    <w:p w:rsidR="005A213C" w:rsidRDefault="005A213C">
      <w:pPr>
        <w:pStyle w:val="Doc-text2"/>
        <w:spacing w:after="120"/>
        <w:ind w:left="1620" w:hanging="1620"/>
        <w:rPr>
          <w:iCs/>
        </w:rPr>
      </w:pPr>
    </w:p>
    <w:p w:rsidR="005A213C" w:rsidRDefault="00922647">
      <w:pPr>
        <w:widowControl w:val="0"/>
        <w:rPr>
          <w:rFonts w:eastAsia="等线;DengXian"/>
          <w:lang w:val="en-US"/>
        </w:rPr>
      </w:pPr>
      <w:r>
        <w:rPr>
          <w:iCs/>
        </w:rPr>
        <w:t xml:space="preserve">The specified RACH procedure allows multiplexing of several UEs on the same 2-step RA resources. This means that </w:t>
      </w:r>
      <w:r>
        <w:rPr>
          <w:rFonts w:eastAsia="等线;DengXian"/>
          <w:lang w:val="en-US"/>
        </w:rPr>
        <w:t>BSR over 2-step RACH procedure is a more resource-efficient method for performing access resource requests compared to configured grant.</w:t>
      </w:r>
    </w:p>
    <w:p w:rsidR="005A213C" w:rsidRDefault="00922647">
      <w:pPr>
        <w:pStyle w:val="Doc-text2"/>
        <w:spacing w:after="120"/>
        <w:ind w:left="1620" w:hanging="1620"/>
        <w:rPr>
          <w:iCs/>
        </w:rPr>
      </w:pPr>
      <w:r>
        <w:rPr>
          <w:b/>
          <w:iCs/>
        </w:rPr>
        <w:t>Observation 7:</w:t>
      </w:r>
      <w:r>
        <w:rPr>
          <w:iCs/>
        </w:rPr>
        <w:t xml:space="preserve"> </w:t>
      </w:r>
      <w:r>
        <w:rPr>
          <w:iCs/>
        </w:rPr>
        <w:tab/>
        <w:t>BSR over 2-step RACH procedure is a more resource-efficient method for performing access resource requests compared to configured grant.</w:t>
      </w:r>
    </w:p>
    <w:p w:rsidR="005A213C" w:rsidRDefault="00922647">
      <w:pPr>
        <w:widowControl w:val="0"/>
        <w:rPr>
          <w:rFonts w:eastAsia="等线;DengXian"/>
          <w:lang w:val="en-US"/>
        </w:rPr>
      </w:pPr>
      <w:r>
        <w:rPr>
          <w:rFonts w:eastAsia="等线;DengXian"/>
          <w:lang w:val="en-US"/>
        </w:rPr>
        <w:t xml:space="preserve">However, as discussed above the capacity for random access procedure is limited and therefore we propose to support both methods, configured grant and BSR over 2-step RACH for NTN. </w:t>
      </w:r>
    </w:p>
    <w:p w:rsidR="005A213C" w:rsidRDefault="00922647">
      <w:pPr>
        <w:pStyle w:val="Doc-text2"/>
        <w:spacing w:after="120"/>
        <w:ind w:left="1620" w:hanging="1620"/>
        <w:rPr>
          <w:iCs/>
        </w:rPr>
      </w:pPr>
      <w:r>
        <w:rPr>
          <w:b/>
          <w:iCs/>
        </w:rPr>
        <w:t>Proposal 8:</w:t>
      </w:r>
      <w:r>
        <w:rPr>
          <w:iCs/>
        </w:rPr>
        <w:t xml:space="preserve"> </w:t>
      </w:r>
      <w:r>
        <w:rPr>
          <w:iCs/>
        </w:rPr>
        <w:tab/>
        <w:t>Support BSR over 2-step RACH procedure in NTN for UL scheduling.</w:t>
      </w:r>
    </w:p>
    <w:p w:rsidR="005A213C" w:rsidRDefault="005A213C">
      <w:pPr>
        <w:pStyle w:val="Doc-text2"/>
        <w:spacing w:after="120"/>
        <w:ind w:left="0" w:firstLine="0"/>
        <w:rPr>
          <w:iCs/>
          <w:highlight w:val="yellow"/>
        </w:rPr>
      </w:pPr>
    </w:p>
    <w:p w:rsidR="005A213C" w:rsidRDefault="00922647">
      <w:pPr>
        <w:pStyle w:val="berschrift1"/>
        <w:numPr>
          <w:ilvl w:val="0"/>
          <w:numId w:val="2"/>
        </w:numPr>
      </w:pPr>
      <w:r>
        <w:t>Conclusion and Proposals</w:t>
      </w:r>
    </w:p>
    <w:p w:rsidR="005A213C" w:rsidRDefault="00922647">
      <w:pPr>
        <w:rPr>
          <w:iCs/>
        </w:rPr>
      </w:pPr>
      <w:r>
        <w:t xml:space="preserve">In this document, we discussed </w:t>
      </w:r>
      <w:r>
        <w:rPr>
          <w:iCs/>
        </w:rPr>
        <w:t xml:space="preserve">enhancements for UL scheduling in NTN. </w:t>
      </w:r>
      <w:r>
        <w:t>The following observations and proposals are made:</w:t>
      </w:r>
      <w:r>
        <w:rPr>
          <w:iCs/>
        </w:rPr>
        <w:t xml:space="preserve"> </w:t>
      </w:r>
    </w:p>
    <w:p w:rsidR="005A213C" w:rsidRDefault="00922647">
      <w:pPr>
        <w:pStyle w:val="Doc-text2"/>
        <w:spacing w:after="120"/>
        <w:ind w:hanging="1622"/>
        <w:rPr>
          <w:iCs/>
        </w:rPr>
      </w:pPr>
      <w:r>
        <w:rPr>
          <w:b/>
          <w:iCs/>
        </w:rPr>
        <w:t>Observation 1:</w:t>
      </w:r>
      <w:r>
        <w:rPr>
          <w:iCs/>
        </w:rPr>
        <w:tab/>
        <w:t>In NTN, the delay until the first transmission of data could be significantly reduced with a configured grant in comparison to the conventional SR-BSR-procedure.</w:t>
      </w:r>
    </w:p>
    <w:p w:rsidR="005A213C" w:rsidRDefault="00922647">
      <w:pPr>
        <w:pStyle w:val="Doc-text2"/>
        <w:spacing w:after="120"/>
        <w:ind w:hanging="1622"/>
        <w:rPr>
          <w:iCs/>
        </w:rPr>
      </w:pPr>
      <w:r>
        <w:rPr>
          <w:b/>
          <w:iCs/>
        </w:rPr>
        <w:t>Observation 2:</w:t>
      </w:r>
      <w:r>
        <w:rPr>
          <w:iCs/>
        </w:rPr>
        <w:t xml:space="preserve"> </w:t>
      </w:r>
      <w:r>
        <w:rPr>
          <w:iCs/>
        </w:rPr>
        <w:tab/>
        <w:t>Configurable periodicity should provide enough flexibility for NTN.</w:t>
      </w:r>
    </w:p>
    <w:p w:rsidR="005A213C" w:rsidRDefault="00922647">
      <w:pPr>
        <w:pStyle w:val="Doc-text2"/>
        <w:spacing w:after="120"/>
        <w:ind w:hanging="1622"/>
        <w:rPr>
          <w:iCs/>
        </w:rPr>
      </w:pPr>
      <w:r>
        <w:rPr>
          <w:b/>
          <w:iCs/>
        </w:rPr>
        <w:t>Observation 3:</w:t>
      </w:r>
      <w:r>
        <w:rPr>
          <w:iCs/>
        </w:rPr>
        <w:t xml:space="preserve"> </w:t>
      </w:r>
      <w:r>
        <w:rPr>
          <w:iCs/>
        </w:rPr>
        <w:tab/>
        <w:t>There is l</w:t>
      </w:r>
      <w:r w:rsidR="00783365">
        <w:rPr>
          <w:iCs/>
        </w:rPr>
        <w:t>ittle</w:t>
      </w:r>
      <w:r>
        <w:rPr>
          <w:iCs/>
        </w:rPr>
        <w:t xml:space="preserve"> specification impact to support configured grant in NTN.</w:t>
      </w:r>
    </w:p>
    <w:p w:rsidR="005A213C" w:rsidRDefault="00922647">
      <w:pPr>
        <w:pStyle w:val="Doc-text2"/>
        <w:spacing w:after="120"/>
        <w:ind w:hanging="1622"/>
        <w:rPr>
          <w:iCs/>
        </w:rPr>
      </w:pPr>
      <w:r>
        <w:rPr>
          <w:b/>
          <w:iCs/>
        </w:rPr>
        <w:t>Observation 4:</w:t>
      </w:r>
      <w:r>
        <w:rPr>
          <w:iCs/>
        </w:rPr>
        <w:tab/>
        <w:t>In NTN, the delay until the first transmission of data could be significantly reduced using BSR over 2-step RACH in comparison to the conventional SR-BSR-procedure.</w:t>
      </w:r>
    </w:p>
    <w:p w:rsidR="005A213C" w:rsidRDefault="00922647">
      <w:pPr>
        <w:pStyle w:val="Doc-text2"/>
        <w:spacing w:after="120"/>
        <w:ind w:hanging="1622"/>
        <w:rPr>
          <w:iCs/>
        </w:rPr>
      </w:pPr>
      <w:r>
        <w:rPr>
          <w:b/>
          <w:iCs/>
        </w:rPr>
        <w:t>Observation 5:</w:t>
      </w:r>
      <w:r>
        <w:rPr>
          <w:iCs/>
        </w:rPr>
        <w:tab/>
        <w:t>Using BSR over 2-step RACH will increase the collision probability of RACH procedure.</w:t>
      </w:r>
    </w:p>
    <w:p w:rsidR="005A213C" w:rsidRDefault="00922647">
      <w:pPr>
        <w:pStyle w:val="Doc-text2"/>
        <w:spacing w:after="120"/>
        <w:ind w:hanging="1622"/>
        <w:rPr>
          <w:iCs/>
        </w:rPr>
      </w:pPr>
      <w:r>
        <w:rPr>
          <w:b/>
          <w:iCs/>
        </w:rPr>
        <w:t>Observation 6:</w:t>
      </w:r>
      <w:r>
        <w:rPr>
          <w:iCs/>
        </w:rPr>
        <w:t xml:space="preserve"> </w:t>
      </w:r>
      <w:r>
        <w:rPr>
          <w:iCs/>
        </w:rPr>
        <w:tab/>
        <w:t>There is l</w:t>
      </w:r>
      <w:r w:rsidR="00783365">
        <w:rPr>
          <w:iCs/>
        </w:rPr>
        <w:t>ittle</w:t>
      </w:r>
      <w:r>
        <w:rPr>
          <w:iCs/>
        </w:rPr>
        <w:t xml:space="preserve"> specification impact to support BSR over 2-step RACH in NTN.</w:t>
      </w:r>
    </w:p>
    <w:p w:rsidR="005A213C" w:rsidRDefault="00922647">
      <w:pPr>
        <w:pStyle w:val="Doc-text2"/>
        <w:spacing w:after="120"/>
        <w:ind w:hanging="1622"/>
        <w:rPr>
          <w:iCs/>
        </w:rPr>
      </w:pPr>
      <w:r>
        <w:rPr>
          <w:b/>
          <w:iCs/>
        </w:rPr>
        <w:t>Observation 7:</w:t>
      </w:r>
      <w:r>
        <w:rPr>
          <w:iCs/>
        </w:rPr>
        <w:t xml:space="preserve"> </w:t>
      </w:r>
      <w:r>
        <w:rPr>
          <w:iCs/>
        </w:rPr>
        <w:tab/>
        <w:t>BSR over 2-step RACH procedure is a more resource-efficient method for performing access resource requests compared to configured grant.</w:t>
      </w:r>
    </w:p>
    <w:p w:rsidR="005A213C" w:rsidRDefault="005A213C">
      <w:pPr>
        <w:ind w:left="1622" w:hanging="1622"/>
      </w:pPr>
    </w:p>
    <w:p w:rsidR="005A213C" w:rsidRDefault="00922647">
      <w:pPr>
        <w:pStyle w:val="Doc-text2"/>
        <w:spacing w:after="120"/>
        <w:ind w:hanging="1622"/>
        <w:rPr>
          <w:iCs/>
        </w:rPr>
      </w:pPr>
      <w:r>
        <w:rPr>
          <w:b/>
          <w:iCs/>
        </w:rPr>
        <w:lastRenderedPageBreak/>
        <w:t>Proposal 1:</w:t>
      </w:r>
      <w:r>
        <w:rPr>
          <w:iCs/>
        </w:rPr>
        <w:t xml:space="preserve"> </w:t>
      </w:r>
      <w:r>
        <w:rPr>
          <w:iCs/>
        </w:rPr>
        <w:tab/>
        <w:t>In NTN, the preferred configured grant is Type 1, which is configurable for a group of UEs.</w:t>
      </w:r>
    </w:p>
    <w:p w:rsidR="005A213C" w:rsidRDefault="00922647">
      <w:pPr>
        <w:pStyle w:val="Doc-text2"/>
        <w:spacing w:after="120"/>
        <w:ind w:hanging="1622"/>
        <w:rPr>
          <w:iCs/>
        </w:rPr>
      </w:pPr>
      <w:r>
        <w:rPr>
          <w:b/>
          <w:iCs/>
          <w:szCs w:val="22"/>
          <w:lang w:val="en-US"/>
        </w:rPr>
        <w:t xml:space="preserve">Proposal 2: </w:t>
      </w:r>
      <w:r>
        <w:rPr>
          <w:b/>
          <w:iCs/>
          <w:szCs w:val="22"/>
          <w:lang w:val="en-US"/>
        </w:rPr>
        <w:tab/>
      </w:r>
      <w:r>
        <w:rPr>
          <w:iCs/>
          <w:szCs w:val="22"/>
          <w:lang w:val="en-US"/>
        </w:rPr>
        <w:t>Enhancement to reduce the signaling overhead on configuration as well as activation / deactivation of configured grant should be discussed for NTN</w:t>
      </w:r>
      <w:r>
        <w:rPr>
          <w:bCs/>
          <w:iCs/>
          <w:szCs w:val="22"/>
          <w:lang w:val="en-US"/>
        </w:rPr>
        <w:t>.</w:t>
      </w:r>
      <w:r>
        <w:rPr>
          <w:iCs/>
          <w:szCs w:val="22"/>
          <w:lang w:val="en-US"/>
        </w:rPr>
        <w:t xml:space="preserve"> </w:t>
      </w:r>
    </w:p>
    <w:p w:rsidR="005A213C" w:rsidRDefault="00922647">
      <w:pPr>
        <w:pStyle w:val="Doc-text2"/>
        <w:spacing w:after="120"/>
        <w:ind w:hanging="1622"/>
        <w:rPr>
          <w:iCs/>
        </w:rPr>
      </w:pPr>
      <w:r>
        <w:rPr>
          <w:b/>
          <w:iCs/>
        </w:rPr>
        <w:t>Proposal 3:</w:t>
      </w:r>
      <w:r>
        <w:rPr>
          <w:iCs/>
        </w:rPr>
        <w:t xml:space="preserve"> </w:t>
      </w:r>
      <w:r>
        <w:rPr>
          <w:iCs/>
        </w:rPr>
        <w:tab/>
        <w:t xml:space="preserve">There is no need to modify </w:t>
      </w:r>
      <w:r>
        <w:rPr>
          <w:i/>
          <w:iCs/>
        </w:rPr>
        <w:t>periodicity</w:t>
      </w:r>
      <w:r>
        <w:rPr>
          <w:iCs/>
        </w:rPr>
        <w:t xml:space="preserve"> of information element (IE) </w:t>
      </w:r>
      <w:proofErr w:type="spellStart"/>
      <w:r>
        <w:rPr>
          <w:i/>
          <w:iCs/>
        </w:rPr>
        <w:t>ConfiguredGrantConfig</w:t>
      </w:r>
      <w:proofErr w:type="spellEnd"/>
      <w:r>
        <w:rPr>
          <w:iCs/>
        </w:rPr>
        <w:t xml:space="preserve"> to support NTN.</w:t>
      </w:r>
    </w:p>
    <w:p w:rsidR="005A213C" w:rsidRDefault="00922647">
      <w:pPr>
        <w:pStyle w:val="Doc-text2"/>
        <w:spacing w:after="120"/>
        <w:ind w:hanging="1622"/>
        <w:rPr>
          <w:iCs/>
        </w:rPr>
      </w:pPr>
      <w:r>
        <w:rPr>
          <w:b/>
          <w:iCs/>
        </w:rPr>
        <w:t>Proposal 4:</w:t>
      </w:r>
      <w:r>
        <w:rPr>
          <w:iCs/>
        </w:rPr>
        <w:t xml:space="preserve"> </w:t>
      </w:r>
      <w:r>
        <w:rPr>
          <w:iCs/>
        </w:rPr>
        <w:tab/>
        <w:t xml:space="preserve">There is no need to modify </w:t>
      </w:r>
      <w:r>
        <w:rPr>
          <w:i/>
          <w:iCs/>
        </w:rPr>
        <w:t>maxNrofConfiguredGrantConfig-r16</w:t>
      </w:r>
      <w:r>
        <w:rPr>
          <w:iCs/>
        </w:rPr>
        <w:t xml:space="preserve"> and </w:t>
      </w:r>
      <w:r>
        <w:rPr>
          <w:i/>
          <w:iCs/>
        </w:rPr>
        <w:t>maxNrofConfiguredGrantConfigMAC-r16</w:t>
      </w:r>
      <w:r>
        <w:rPr>
          <w:iCs/>
        </w:rPr>
        <w:t xml:space="preserve"> to support NTN.</w:t>
      </w:r>
    </w:p>
    <w:p w:rsidR="005A213C" w:rsidRDefault="00922647">
      <w:pPr>
        <w:pStyle w:val="Doc-text2"/>
        <w:spacing w:after="120"/>
        <w:ind w:hanging="1622"/>
        <w:rPr>
          <w:iCs/>
        </w:rPr>
      </w:pPr>
      <w:r>
        <w:rPr>
          <w:b/>
          <w:iCs/>
        </w:rPr>
        <w:t>Proposal 5:</w:t>
      </w:r>
      <w:r>
        <w:rPr>
          <w:iCs/>
        </w:rPr>
        <w:t xml:space="preserve"> </w:t>
      </w:r>
      <w:r>
        <w:rPr>
          <w:iCs/>
        </w:rPr>
        <w:tab/>
        <w:t>Support configured grant in NTN for UL scheduling.</w:t>
      </w:r>
    </w:p>
    <w:p w:rsidR="005A213C" w:rsidRDefault="00922647">
      <w:pPr>
        <w:pStyle w:val="Doc-text2"/>
        <w:spacing w:after="120"/>
        <w:ind w:left="1620" w:hanging="1620"/>
        <w:rPr>
          <w:b/>
          <w:iCs/>
        </w:rPr>
      </w:pPr>
      <w:r>
        <w:rPr>
          <w:b/>
          <w:iCs/>
        </w:rPr>
        <w:t>Proposal 6:</w:t>
      </w:r>
      <w:r>
        <w:rPr>
          <w:iCs/>
        </w:rPr>
        <w:t xml:space="preserve"> </w:t>
      </w:r>
      <w:r>
        <w:rPr>
          <w:iCs/>
        </w:rPr>
        <w:tab/>
      </w:r>
      <w:r>
        <w:rPr>
          <w:iCs/>
        </w:rPr>
        <w:tab/>
        <w:t>2-step RACH procedure will be the preferred random access procedure to request for a grant for UL data transmission in NTN.</w:t>
      </w:r>
    </w:p>
    <w:p w:rsidR="005A213C" w:rsidRDefault="00922647">
      <w:pPr>
        <w:pStyle w:val="Doc-text2"/>
        <w:spacing w:after="120"/>
        <w:ind w:hanging="1622"/>
        <w:rPr>
          <w:iCs/>
        </w:rPr>
      </w:pPr>
      <w:r>
        <w:rPr>
          <w:b/>
          <w:iCs/>
        </w:rPr>
        <w:t>Proposal 7:</w:t>
      </w:r>
      <w:r>
        <w:rPr>
          <w:iCs/>
        </w:rPr>
        <w:t xml:space="preserve"> </w:t>
      </w:r>
      <w:r>
        <w:rPr>
          <w:iCs/>
        </w:rPr>
        <w:tab/>
        <w:t>In NTN, use BSR over 2-step RACH only to a limited level. FFS whether a level should be specified or is up to network implementation.</w:t>
      </w:r>
    </w:p>
    <w:p w:rsidR="005A213C" w:rsidRDefault="00922647">
      <w:pPr>
        <w:pStyle w:val="Doc-text2"/>
        <w:spacing w:after="120"/>
        <w:ind w:hanging="1622"/>
        <w:rPr>
          <w:iCs/>
        </w:rPr>
      </w:pPr>
      <w:r>
        <w:rPr>
          <w:b/>
          <w:iCs/>
        </w:rPr>
        <w:t>Proposal 8:</w:t>
      </w:r>
      <w:r>
        <w:rPr>
          <w:iCs/>
        </w:rPr>
        <w:t xml:space="preserve"> </w:t>
      </w:r>
      <w:r>
        <w:rPr>
          <w:iCs/>
        </w:rPr>
        <w:tab/>
        <w:t>Support BSR over 2-step RACH procedure in NTN for UL scheduling.</w:t>
      </w:r>
    </w:p>
    <w:p w:rsidR="005A213C" w:rsidRDefault="005A213C">
      <w:pPr>
        <w:pStyle w:val="Doc-text2"/>
        <w:spacing w:after="120"/>
        <w:ind w:hanging="1622"/>
        <w:rPr>
          <w:iCs/>
        </w:rPr>
      </w:pPr>
    </w:p>
    <w:p w:rsidR="005A213C" w:rsidRDefault="00922647">
      <w:pPr>
        <w:pStyle w:val="berschrift1"/>
        <w:numPr>
          <w:ilvl w:val="0"/>
          <w:numId w:val="2"/>
        </w:numPr>
      </w:pPr>
      <w:r>
        <w:t>References</w:t>
      </w:r>
    </w:p>
    <w:p w:rsidR="005A213C" w:rsidRDefault="00922647">
      <w:pPr>
        <w:pStyle w:val="Reference"/>
        <w:numPr>
          <w:ilvl w:val="0"/>
          <w:numId w:val="3"/>
        </w:numPr>
        <w:spacing w:after="60"/>
      </w:pPr>
      <w:bookmarkStart w:id="4" w:name="_Ref30408455"/>
      <w:bookmarkEnd w:id="4"/>
      <w:r>
        <w:t xml:space="preserve">RP-193234, “Solutions for NR to support non-terrestrial networks (NTN)”, </w:t>
      </w:r>
      <w:proofErr w:type="spellStart"/>
      <w:r>
        <w:t>Sitges</w:t>
      </w:r>
      <w:proofErr w:type="spellEnd"/>
      <w:r>
        <w:t>, Spain, 3GPP TSG RAN meeting #86, Thales</w:t>
      </w:r>
    </w:p>
    <w:p w:rsidR="005A213C" w:rsidRDefault="00922647">
      <w:pPr>
        <w:pStyle w:val="Reference"/>
        <w:numPr>
          <w:ilvl w:val="0"/>
          <w:numId w:val="3"/>
        </w:numPr>
        <w:spacing w:after="60"/>
        <w:rPr>
          <w:szCs w:val="22"/>
        </w:rPr>
      </w:pPr>
      <w:bookmarkStart w:id="5" w:name="_Ref52802805"/>
      <w:bookmarkStart w:id="6" w:name="_Ref30408694"/>
      <w:bookmarkStart w:id="7" w:name="_Ref30408726"/>
      <w:bookmarkEnd w:id="5"/>
      <w:bookmarkEnd w:id="6"/>
      <w:bookmarkEnd w:id="7"/>
      <w:r>
        <w:rPr>
          <w:szCs w:val="22"/>
        </w:rPr>
        <w:t>RP-201256, “Solutions for NR to support non-terrestrial networks (NTN)”, e-meeting, 3GPP TSG RAN meeting #88-e, Thales</w:t>
      </w:r>
    </w:p>
    <w:p w:rsidR="005A213C" w:rsidRDefault="00922647">
      <w:pPr>
        <w:pStyle w:val="Reference"/>
        <w:numPr>
          <w:ilvl w:val="0"/>
          <w:numId w:val="3"/>
        </w:numPr>
        <w:spacing w:after="60"/>
        <w:rPr>
          <w:szCs w:val="22"/>
        </w:rPr>
      </w:pPr>
      <w:bookmarkStart w:id="8" w:name="_Ref52802873"/>
      <w:r>
        <w:rPr>
          <w:szCs w:val="22"/>
        </w:rPr>
        <w:t xml:space="preserve">R2-2008xxx, Draft Report of 3GPP TSG RAN2#111-e meeting, </w:t>
      </w:r>
      <w:bookmarkEnd w:id="8"/>
      <w:r>
        <w:rPr>
          <w:szCs w:val="22"/>
        </w:rPr>
        <w:t>ETSI MCC</w:t>
      </w:r>
    </w:p>
    <w:p w:rsidR="005A213C" w:rsidRDefault="00922647">
      <w:pPr>
        <w:pStyle w:val="Reference"/>
        <w:numPr>
          <w:ilvl w:val="0"/>
          <w:numId w:val="3"/>
        </w:numPr>
        <w:spacing w:after="60"/>
      </w:pPr>
      <w:bookmarkStart w:id="9" w:name="_Ref52802919"/>
      <w:bookmarkStart w:id="10" w:name="_Ref52796073"/>
      <w:bookmarkEnd w:id="9"/>
      <w:bookmarkEnd w:id="10"/>
      <w:r>
        <w:t>3GPP TR 38.821 V16.0.0, “Solutions for NR to support non-terrestrial networks (NTN) (Release 16)”</w:t>
      </w:r>
    </w:p>
    <w:p w:rsidR="005A213C" w:rsidRDefault="00922647">
      <w:pPr>
        <w:pStyle w:val="Reference"/>
        <w:numPr>
          <w:ilvl w:val="0"/>
          <w:numId w:val="3"/>
        </w:numPr>
        <w:spacing w:after="60"/>
      </w:pPr>
      <w:bookmarkStart w:id="11" w:name="_Ref52796972"/>
      <w:bookmarkStart w:id="12" w:name="_Ref30417773"/>
      <w:bookmarkEnd w:id="11"/>
      <w:bookmarkEnd w:id="12"/>
      <w:r>
        <w:t>3GPP TS 38.331 V16.1.0, “NR; Radio Resource Control (RRC) protocol specification (Release 16)”</w:t>
      </w:r>
    </w:p>
    <w:p w:rsidR="005A213C" w:rsidRDefault="00922647">
      <w:pPr>
        <w:pStyle w:val="Reference"/>
        <w:numPr>
          <w:ilvl w:val="0"/>
          <w:numId w:val="3"/>
        </w:numPr>
        <w:spacing w:after="60"/>
        <w:ind w:left="562" w:hanging="562"/>
      </w:pPr>
      <w:bookmarkStart w:id="13" w:name="_Ref52796296"/>
      <w:bookmarkStart w:id="14" w:name="_Ref14768342"/>
      <w:bookmarkStart w:id="15" w:name="_Ref20499381"/>
      <w:bookmarkStart w:id="16" w:name="_Ref510528593"/>
      <w:bookmarkStart w:id="17" w:name="_Ref477789992"/>
      <w:bookmarkStart w:id="18" w:name="_Ref484449735"/>
      <w:bookmarkStart w:id="19" w:name="_Ref30417756"/>
      <w:bookmarkStart w:id="20" w:name="_Ref481513005"/>
      <w:bookmarkStart w:id="21" w:name="_Ref523215654"/>
      <w:bookmarkEnd w:id="13"/>
      <w:bookmarkEnd w:id="14"/>
      <w:bookmarkEnd w:id="15"/>
      <w:bookmarkEnd w:id="16"/>
      <w:bookmarkEnd w:id="17"/>
      <w:bookmarkEnd w:id="18"/>
      <w:bookmarkEnd w:id="19"/>
      <w:bookmarkEnd w:id="20"/>
      <w:bookmarkEnd w:id="21"/>
      <w:r>
        <w:t>3GPP TS 38.321 V16.1.0, “NR; Medium Access Control (MAC) protocol specification (Release 16)”</w:t>
      </w:r>
    </w:p>
    <w:p w:rsidR="005A213C" w:rsidRDefault="00922647">
      <w:pPr>
        <w:pStyle w:val="Reference"/>
        <w:numPr>
          <w:ilvl w:val="0"/>
          <w:numId w:val="3"/>
        </w:numPr>
        <w:spacing w:after="60"/>
        <w:rPr>
          <w:szCs w:val="22"/>
        </w:rPr>
      </w:pPr>
      <w:bookmarkStart w:id="22" w:name="_Ref52805192"/>
      <w:bookmarkStart w:id="23" w:name="_Ref30694948"/>
      <w:bookmarkStart w:id="24" w:name="_Ref46240492"/>
      <w:bookmarkEnd w:id="22"/>
      <w:bookmarkEnd w:id="23"/>
      <w:bookmarkEnd w:id="24"/>
      <w:r>
        <w:t>3GPP TR 38.300 V16.3.0, “NR; NR and NG-RAN Overall Description; Stage 2 (Release 16)”</w:t>
      </w:r>
    </w:p>
    <w:p w:rsidR="005A213C" w:rsidRDefault="005A213C">
      <w:pPr>
        <w:pStyle w:val="Reference"/>
        <w:spacing w:after="60"/>
      </w:pPr>
    </w:p>
    <w:sectPr w:rsidR="005A213C">
      <w:footerReference w:type="default" r:id="rId9"/>
      <w:pgSz w:w="11906" w:h="16838"/>
      <w:pgMar w:top="1418" w:right="1134" w:bottom="1134" w:left="1134" w:header="0" w:footer="567"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0E42" w:rsidRDefault="00D30E42">
      <w:pPr>
        <w:spacing w:after="0"/>
      </w:pPr>
      <w:r>
        <w:separator/>
      </w:r>
    </w:p>
  </w:endnote>
  <w:endnote w:type="continuationSeparator" w:id="0">
    <w:p w:rsidR="00D30E42" w:rsidRDefault="00D30E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CJK SC Regular">
    <w:panose1 w:val="00000000000000000000"/>
    <w:charset w:val="00"/>
    <w:family w:val="roman"/>
    <w:notTrueType/>
    <w:pitch w:val="default"/>
  </w:font>
  <w:font w:name="ZapfDingbats">
    <w:charset w:val="01"/>
    <w:family w:val="roman"/>
    <w:pitch w:val="variable"/>
  </w:font>
  <w:font w:name="Malgun Gothic">
    <w:panose1 w:val="020B0503020000020004"/>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1"/>
    <w:family w:val="roman"/>
    <w:pitch w:val="variable"/>
  </w:font>
  <w:font w:name="OpenSymbol">
    <w:altName w:val="Arial Unicode MS"/>
    <w:charset w:val="01"/>
    <w:family w:val="roman"/>
    <w:pitch w:val="variable"/>
  </w:font>
  <w:font w:name="等线;DengXian">
    <w:panose1 w:val="00000000000000000000"/>
    <w:charset w:val="80"/>
    <w:family w:val="roman"/>
    <w:notTrueType/>
    <w:pitch w:val="default"/>
  </w:font>
  <w:font w:name="Liberation Sans">
    <w:altName w:val="Arial"/>
    <w:charset w:val="01"/>
    <w:family w:val="roman"/>
    <w:pitch w:val="variable"/>
  </w:font>
  <w:font w:name="FreeSans">
    <w:panose1 w:val="00000000000000000000"/>
    <w:charset w:val="00"/>
    <w:family w:val="roman"/>
    <w:notTrueType/>
    <w:pitch w:val="default"/>
  </w:font>
  <w:font w:name="Tahoma">
    <w:panose1 w:val="020B0604030504040204"/>
    <w:charset w:val="01"/>
    <w:family w:val="roman"/>
    <w:pitch w:val="variable"/>
  </w:font>
  <w:font w:name="SimSun">
    <w:altName w:val="宋体"/>
    <w:panose1 w:val="02010600030101010101"/>
    <w:charset w:val="86"/>
    <w:family w:val="auto"/>
    <w:pitch w:val="variable"/>
    <w:sig w:usb0="00000001" w:usb1="080E0000" w:usb2="00000010" w:usb3="00000000" w:csb0="00040000" w:csb1="00000000"/>
  </w:font>
  <w:font w:name="Batang">
    <w:altName w:val="바탕"/>
    <w:panose1 w:val="02030600000101010101"/>
    <w:charset w:val="81"/>
    <w:family w:val="auto"/>
    <w:pitch w:val="fixed"/>
    <w:sig w:usb0="00000001" w:usb1="09060000" w:usb2="00000010" w:usb3="00000000" w:csb0="00080000" w:csb1="00000000"/>
  </w:font>
  <w:font w:name="Monotype Sorts">
    <w:charset w:val="01"/>
    <w:family w:val="roman"/>
    <w:pitch w:val="variable"/>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13C" w:rsidRDefault="00922647">
    <w:pPr>
      <w:pStyle w:val="Fuzeile"/>
      <w:tabs>
        <w:tab w:val="center" w:pos="4820"/>
        <w:tab w:val="right" w:pos="9639"/>
      </w:tabs>
      <w:jc w:val="left"/>
    </w:pPr>
    <w:r>
      <w:tab/>
    </w:r>
    <w:r>
      <w:fldChar w:fldCharType="begin"/>
    </w:r>
    <w:r>
      <w:instrText>PAGE</w:instrText>
    </w:r>
    <w:r>
      <w:fldChar w:fldCharType="separate"/>
    </w:r>
    <w:r w:rsidR="00C23CDB">
      <w:rPr>
        <w:noProof/>
      </w:rPr>
      <w:t>4</w:t>
    </w:r>
    <w:r>
      <w:fldChar w:fldCharType="end"/>
    </w:r>
    <w:r>
      <w:rPr>
        <w:rStyle w:val="Seitenzahl"/>
      </w:rPr>
      <w:t>/</w:t>
    </w:r>
    <w:r>
      <w:rPr>
        <w:rStyle w:val="Seitenzahl"/>
      </w:rPr>
      <w:fldChar w:fldCharType="begin"/>
    </w:r>
    <w:r>
      <w:instrText>NUMPAGES</w:instrText>
    </w:r>
    <w:r>
      <w:fldChar w:fldCharType="separate"/>
    </w:r>
    <w:r w:rsidR="00C23CDB">
      <w:rPr>
        <w:noProof/>
      </w:rPr>
      <w:t>5</w:t>
    </w:r>
    <w:r>
      <w:fldChar w:fldCharType="end"/>
    </w:r>
    <w:r>
      <w:rPr>
        <w:rStyle w:val="Seitenzahl"/>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0E42" w:rsidRDefault="00D30E42">
      <w:pPr>
        <w:spacing w:after="0"/>
      </w:pPr>
      <w:r>
        <w:separator/>
      </w:r>
    </w:p>
  </w:footnote>
  <w:footnote w:type="continuationSeparator" w:id="0">
    <w:p w:rsidR="00D30E42" w:rsidRDefault="00D30E4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A92B63"/>
    <w:multiLevelType w:val="multilevel"/>
    <w:tmpl w:val="83FAA1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6A1E80"/>
    <w:multiLevelType w:val="multilevel"/>
    <w:tmpl w:val="B1EA11B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51E748EB"/>
    <w:multiLevelType w:val="multilevel"/>
    <w:tmpl w:val="2668E7F4"/>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3" w15:restartNumberingAfterBreak="0">
    <w:nsid w:val="541C7E9F"/>
    <w:multiLevelType w:val="multilevel"/>
    <w:tmpl w:val="B628C59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6E865260"/>
    <w:multiLevelType w:val="multilevel"/>
    <w:tmpl w:val="DCDA3EDE"/>
    <w:lvl w:ilvl="0">
      <w:start w:val="1"/>
      <w:numFmt w:val="decimal"/>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7DE3509B"/>
    <w:multiLevelType w:val="multilevel"/>
    <w:tmpl w:val="41A028E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2"/>
  </w:num>
  <w:num w:numId="2">
    <w:abstractNumId w:val="0"/>
  </w:num>
  <w:num w:numId="3">
    <w:abstractNumId w:val="4"/>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13C"/>
    <w:rsid w:val="005A213C"/>
    <w:rsid w:val="00783365"/>
    <w:rsid w:val="00922647"/>
    <w:rsid w:val="00C23CDB"/>
    <w:rsid w:val="00D30E4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8BD3DF-547A-492F-8443-7309799F4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uppressAutoHyphens/>
      <w:overflowPunct w:val="0"/>
      <w:spacing w:after="120"/>
      <w:jc w:val="both"/>
      <w:textAlignment w:val="baseline"/>
    </w:pPr>
    <w:rPr>
      <w:rFonts w:ascii="Arial" w:hAnsi="Arial" w:cs="Arial"/>
      <w:color w:val="00000A"/>
      <w:lang w:eastAsia="zh-CN"/>
    </w:rPr>
  </w:style>
  <w:style w:type="paragraph" w:styleId="berschrift1">
    <w:name w:val="heading 1"/>
    <w:basedOn w:val="Heading"/>
    <w:qFormat/>
    <w:pPr>
      <w:keepLines/>
      <w:numPr>
        <w:numId w:val="1"/>
      </w:numPr>
      <w:pBdr>
        <w:top w:val="single" w:sz="12" w:space="3" w:color="000001"/>
      </w:pBdr>
      <w:spacing w:after="180"/>
      <w:jc w:val="left"/>
      <w:outlineLvl w:val="0"/>
    </w:pPr>
    <w:rPr>
      <w:rFonts w:ascii="Arial" w:hAnsi="Arial" w:cs="Arial"/>
      <w:sz w:val="36"/>
      <w:szCs w:val="36"/>
    </w:rPr>
  </w:style>
  <w:style w:type="paragraph" w:styleId="berschrift2">
    <w:name w:val="heading 2"/>
    <w:basedOn w:val="berschrift1"/>
    <w:qFormat/>
    <w:pPr>
      <w:numPr>
        <w:ilvl w:val="1"/>
      </w:numPr>
      <w:spacing w:before="180"/>
      <w:outlineLvl w:val="1"/>
    </w:pPr>
    <w:rPr>
      <w:sz w:val="32"/>
      <w:szCs w:val="32"/>
    </w:rPr>
  </w:style>
  <w:style w:type="paragraph" w:styleId="berschrift3">
    <w:name w:val="heading 3"/>
    <w:basedOn w:val="berschrift2"/>
    <w:qFormat/>
    <w:pPr>
      <w:numPr>
        <w:ilvl w:val="2"/>
      </w:numPr>
      <w:spacing w:before="120"/>
      <w:outlineLvl w:val="2"/>
    </w:pPr>
    <w:rPr>
      <w:sz w:val="28"/>
      <w:szCs w:val="28"/>
    </w:rPr>
  </w:style>
  <w:style w:type="paragraph" w:styleId="berschrift4">
    <w:name w:val="heading 4"/>
    <w:basedOn w:val="berschrift3"/>
    <w:qFormat/>
    <w:pPr>
      <w:numPr>
        <w:ilvl w:val="3"/>
      </w:numPr>
      <w:outlineLvl w:val="3"/>
    </w:pPr>
    <w:rPr>
      <w:sz w:val="24"/>
      <w:szCs w:val="24"/>
    </w:rPr>
  </w:style>
  <w:style w:type="paragraph" w:styleId="berschrift5">
    <w:name w:val="heading 5"/>
    <w:basedOn w:val="berschrift4"/>
    <w:qFormat/>
    <w:pPr>
      <w:numPr>
        <w:ilvl w:val="4"/>
      </w:numPr>
      <w:outlineLvl w:val="4"/>
    </w:pPr>
    <w:rPr>
      <w:sz w:val="22"/>
      <w:szCs w:val="22"/>
    </w:rPr>
  </w:style>
  <w:style w:type="paragraph" w:styleId="berschrift6">
    <w:name w:val="heading 6"/>
    <w:basedOn w:val="Standard"/>
    <w:qFormat/>
    <w:pPr>
      <w:keepNext/>
      <w:keepLines/>
      <w:numPr>
        <w:ilvl w:val="5"/>
        <w:numId w:val="1"/>
      </w:numPr>
      <w:spacing w:before="120"/>
      <w:outlineLvl w:val="5"/>
    </w:pPr>
  </w:style>
  <w:style w:type="paragraph" w:styleId="berschrift7">
    <w:name w:val="heading 7"/>
    <w:basedOn w:val="Standard"/>
    <w:qFormat/>
    <w:pPr>
      <w:keepNext/>
      <w:keepLines/>
      <w:numPr>
        <w:ilvl w:val="6"/>
        <w:numId w:val="1"/>
      </w:numPr>
      <w:spacing w:before="120"/>
      <w:outlineLvl w:val="6"/>
    </w:pPr>
  </w:style>
  <w:style w:type="paragraph" w:styleId="berschrift8">
    <w:name w:val="heading 8"/>
    <w:basedOn w:val="berschrift7"/>
    <w:qFormat/>
    <w:pPr>
      <w:numPr>
        <w:ilvl w:val="7"/>
      </w:numPr>
      <w:outlineLvl w:val="7"/>
    </w:pPr>
  </w:style>
  <w:style w:type="paragraph" w:styleId="berschrift9">
    <w:name w:val="heading 9"/>
    <w:basedOn w:val="berschrift8"/>
    <w:qFormat/>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qFormat/>
  </w:style>
  <w:style w:type="character" w:customStyle="1" w:styleId="WW8Num2z0">
    <w:name w:val="WW8Num2z0"/>
    <w:qFormat/>
    <w:rPr>
      <w:rFonts w:ascii="Times New Roman" w:hAnsi="Times New Roman" w:cs="Times New Roman"/>
    </w:rPr>
  </w:style>
  <w:style w:type="character" w:customStyle="1" w:styleId="WW8Num3z0">
    <w:name w:val="WW8Num3z0"/>
    <w:qFormat/>
    <w:rPr>
      <w:rFonts w:ascii="Times New Roman" w:hAnsi="Times New Roman" w:cs="Times New Roman"/>
    </w:rPr>
  </w:style>
  <w:style w:type="character" w:customStyle="1" w:styleId="WW8Num4z0">
    <w:name w:val="WW8Num4z0"/>
    <w:qFormat/>
    <w:rPr>
      <w:color w:val="00000A"/>
    </w:rPr>
  </w:style>
  <w:style w:type="character" w:customStyle="1" w:styleId="WW8Num5z0">
    <w:name w:val="WW8Num5z0"/>
    <w:qFormat/>
    <w:rPr>
      <w:rFonts w:ascii="Times New Roman" w:hAnsi="Times New Roman" w:cs="Times New Roman"/>
      <w:lang w:val="en-US"/>
    </w:rPr>
  </w:style>
  <w:style w:type="character" w:customStyle="1" w:styleId="WW8Num6z0">
    <w:name w:val="WW8Num6z0"/>
    <w:qFormat/>
    <w:rPr>
      <w:rFonts w:ascii="Times New Roman" w:hAnsi="Times New Roman" w:cs="Times New Roman"/>
      <w:sz w:val="22"/>
      <w:szCs w:val="22"/>
    </w:rPr>
  </w:style>
  <w:style w:type="character" w:customStyle="1" w:styleId="WW8Num7z0">
    <w:name w:val="WW8Num7z0"/>
    <w:qFormat/>
    <w:rPr>
      <w:rFonts w:ascii="Times New Roman" w:hAnsi="Times New Roman" w:cs="Times New Roman"/>
    </w:rPr>
  </w:style>
  <w:style w:type="character" w:customStyle="1" w:styleId="WW8Num8z0">
    <w:name w:val="WW8Num8z0"/>
    <w:qFormat/>
  </w:style>
  <w:style w:type="character" w:customStyle="1" w:styleId="WW8Num9z0">
    <w:name w:val="WW8Num9z0"/>
    <w:qFormat/>
  </w:style>
  <w:style w:type="character" w:customStyle="1" w:styleId="WW8Num10z0">
    <w:name w:val="WW8Num10z0"/>
    <w:qFormat/>
    <w:rPr>
      <w:b/>
      <w:bCs/>
      <w:u w:val="single"/>
      <w:lang w:val="x-none" w:bidi="x-none"/>
    </w:rPr>
  </w:style>
  <w:style w:type="character" w:customStyle="1" w:styleId="WW8Num11z0">
    <w:name w:val="WW8Num11z0"/>
    <w:qFormat/>
    <w:rPr>
      <w:rFonts w:ascii="Times New Roman" w:hAnsi="Times New Roman" w:cs="Times New Roman"/>
    </w:rPr>
  </w:style>
  <w:style w:type="character" w:customStyle="1" w:styleId="WW8Num12z0">
    <w:name w:val="WW8Num12z0"/>
    <w:qFormat/>
    <w:rPr>
      <w:rFonts w:ascii="ZapfDingbats" w:hAnsi="ZapfDingbats" w:cs="ZapfDingbats"/>
      <w:b/>
      <w:i w:val="0"/>
      <w:color w:val="70CEF5"/>
      <w:sz w:val="20"/>
      <w:szCs w:val="20"/>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rFonts w:ascii="Wingdings" w:hAnsi="Wingdings" w:cs="Wingdings"/>
    </w:rPr>
  </w:style>
  <w:style w:type="character" w:customStyle="1" w:styleId="WW8Num16z1">
    <w:name w:val="WW8Num16z1"/>
    <w:qFormat/>
    <w:rPr>
      <w:rFonts w:ascii="Courier New" w:hAnsi="Courier New" w:cs="Courier New"/>
    </w:rPr>
  </w:style>
  <w:style w:type="character" w:customStyle="1" w:styleId="WW8Num16z3">
    <w:name w:val="WW8Num16z3"/>
    <w:qFormat/>
    <w:rPr>
      <w:rFonts w:ascii="Symbol" w:hAnsi="Symbol" w:cs="Symbol"/>
    </w:rPr>
  </w:style>
  <w:style w:type="character" w:customStyle="1" w:styleId="WW8Num17z0">
    <w:name w:val="WW8Num17z0"/>
    <w:qFormat/>
    <w:rPr>
      <w:rFonts w:ascii="Symbol" w:hAnsi="Symbol" w:cs="Symbol"/>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DefaultParagraphFont1">
    <w:name w:val="Default Paragraph Font1"/>
    <w:qFormat/>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 w:hAnsi="Symbol" w:cs="Symbo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8z3">
    <w:name w:val="WW8Num8z3"/>
    <w:qFormat/>
    <w:rPr>
      <w:rFonts w:ascii="Symbol" w:hAnsi="Symbol" w:cs="Symbol"/>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6z2">
    <w:name w:val="WW8Num16z2"/>
    <w:qFormat/>
    <w:rPr>
      <w:rFonts w:ascii="Wingdings" w:hAnsi="Wingdings" w:cs="Wingdings"/>
    </w:rPr>
  </w:style>
  <w:style w:type="character" w:customStyle="1" w:styleId="WW8Num18z0">
    <w:name w:val="WW8Num18z0"/>
    <w:qFormat/>
    <w:rPr>
      <w:rFonts w:ascii="Symbol" w:hAnsi="Symbol" w:cs="Symbol"/>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cs="Wingdings"/>
    </w:rPr>
  </w:style>
  <w:style w:type="character" w:customStyle="1" w:styleId="WW8Num19z0">
    <w:name w:val="WW8Num19z0"/>
    <w:qFormat/>
    <w:rPr>
      <w:rFonts w:ascii="Times New Roman" w:eastAsia="Times New Roman" w:hAnsi="Times New Roman" w:cs="Times New Roman"/>
      <w:b/>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ZapfDingbats" w:hAnsi="ZapfDingbats" w:cs="ZapfDingbats"/>
      <w:b/>
      <w:i w:val="0"/>
      <w:color w:val="70CEF5"/>
      <w:sz w:val="20"/>
      <w:szCs w:val="20"/>
    </w:rPr>
  </w:style>
  <w:style w:type="character" w:customStyle="1" w:styleId="WW8Num20z1">
    <w:name w:val="WW8Num20z1"/>
    <w:qFormat/>
    <w:rPr>
      <w:rFonts w:ascii="Courier New" w:hAnsi="Courier New" w:cs="Courier New"/>
    </w:rPr>
  </w:style>
  <w:style w:type="character" w:customStyle="1" w:styleId="WW8Num20z2">
    <w:name w:val="WW8Num20z2"/>
    <w:qFormat/>
    <w:rPr>
      <w:rFonts w:ascii="Wingdings" w:hAnsi="Wingdings" w:cs="Wingdings"/>
    </w:rPr>
  </w:style>
  <w:style w:type="character" w:customStyle="1" w:styleId="WW8Num20z3">
    <w:name w:val="WW8Num20z3"/>
    <w:qFormat/>
    <w:rPr>
      <w:rFonts w:ascii="Symbol" w:hAnsi="Symbol" w:cs="Symbol"/>
    </w:rPr>
  </w:style>
  <w:style w:type="character" w:customStyle="1" w:styleId="WW-DefaultParagraphFont">
    <w:name w:val="WW-Default Paragraph Font"/>
    <w:qFormat/>
  </w:style>
  <w:style w:type="character" w:customStyle="1" w:styleId="FootnoteCharacters">
    <w:name w:val="Footnote Characters"/>
    <w:qFormat/>
    <w:rPr>
      <w:b/>
      <w:bCs/>
      <w:sz w:val="16"/>
      <w:szCs w:val="16"/>
    </w:rPr>
  </w:style>
  <w:style w:type="character" w:styleId="Seitenzahl">
    <w:name w:val="page number"/>
    <w:qFormat/>
  </w:style>
  <w:style w:type="character" w:customStyle="1" w:styleId="InternetLink">
    <w:name w:val="Internet Link"/>
    <w:rPr>
      <w:color w:val="0000FF"/>
      <w:u w:val="single"/>
      <w:lang w:val="en-GB"/>
    </w:rPr>
  </w:style>
  <w:style w:type="character" w:styleId="BesuchterLink">
    <w:name w:val="FollowedHyperlink"/>
    <w:qFormat/>
    <w:rPr>
      <w:color w:val="FF0000"/>
      <w:u w:val="single"/>
    </w:rPr>
  </w:style>
  <w:style w:type="character" w:customStyle="1" w:styleId="CommentReference1">
    <w:name w:val="Comment Reference1"/>
    <w:qFormat/>
    <w:rPr>
      <w:sz w:val="16"/>
      <w:szCs w:val="16"/>
    </w:rPr>
  </w:style>
  <w:style w:type="character" w:customStyle="1" w:styleId="Heading1Char">
    <w:name w:val="Heading 1 Char"/>
    <w:qFormat/>
    <w:rPr>
      <w:rFonts w:ascii="Arial" w:hAnsi="Arial" w:cs="Arial"/>
      <w:sz w:val="36"/>
      <w:szCs w:val="36"/>
      <w:lang w:val="en-GB" w:eastAsia="zh-CN"/>
    </w:rPr>
  </w:style>
  <w:style w:type="character" w:customStyle="1" w:styleId="BodyTextChar">
    <w:name w:val="Body Text Char"/>
    <w:qFormat/>
    <w:rPr>
      <w:rFonts w:ascii="Arial" w:hAnsi="Arial" w:cs="Arial"/>
      <w:lang w:val="en-GB"/>
    </w:rPr>
  </w:style>
  <w:style w:type="character" w:customStyle="1" w:styleId="ZGSM">
    <w:name w:val="ZGSM"/>
    <w:qFormat/>
  </w:style>
  <w:style w:type="character" w:customStyle="1" w:styleId="B1Char">
    <w:name w:val="B1 Char"/>
    <w:qFormat/>
    <w:rPr>
      <w:rFonts w:ascii="Arial" w:hAnsi="Arial" w:cs="Arial"/>
      <w:lang w:val="en-GB"/>
    </w:rPr>
  </w:style>
  <w:style w:type="character" w:customStyle="1" w:styleId="B2Char">
    <w:name w:val="B2 Char"/>
    <w:qFormat/>
    <w:rPr>
      <w:rFonts w:ascii="Arial" w:hAnsi="Arial" w:cs="Arial"/>
      <w:lang w:val="en-GB"/>
    </w:rPr>
  </w:style>
  <w:style w:type="character" w:customStyle="1" w:styleId="B3Char">
    <w:name w:val="B3 Char"/>
    <w:qFormat/>
    <w:rPr>
      <w:rFonts w:ascii="Arial" w:hAnsi="Arial" w:cs="Arial"/>
      <w:lang w:val="en-GB"/>
    </w:rPr>
  </w:style>
  <w:style w:type="character" w:customStyle="1" w:styleId="NOChar">
    <w:name w:val="NO Char"/>
    <w:qFormat/>
    <w:rPr>
      <w:rFonts w:ascii="Times New Roman" w:eastAsia="Malgun Gothic" w:hAnsi="Times New Roman" w:cs="Times New Roman"/>
      <w:lang w:val="en-GB" w:eastAsia="ko-KR"/>
    </w:rPr>
  </w:style>
  <w:style w:type="character" w:customStyle="1" w:styleId="CaptionChar1">
    <w:name w:val="Caption Char1"/>
    <w:qFormat/>
    <w:rPr>
      <w:rFonts w:ascii="Arial" w:hAnsi="Arial" w:cs="Arial"/>
      <w:b/>
      <w:bCs/>
      <w:lang w:val="en-GB" w:eastAsia="zh-CN"/>
    </w:rPr>
  </w:style>
  <w:style w:type="character" w:customStyle="1" w:styleId="B1Zchn">
    <w:name w:val="B1 Zchn"/>
    <w:qFormat/>
    <w:rPr>
      <w:rFonts w:ascii="Arial" w:eastAsia="MS Mincho" w:hAnsi="Arial" w:cs="Arial"/>
      <w:color w:val="0000FF"/>
      <w:lang w:val="en-GB" w:bidi="ar-SA"/>
    </w:rPr>
  </w:style>
  <w:style w:type="character" w:customStyle="1" w:styleId="Doc-text2Char">
    <w:name w:val="Doc-text2 Char"/>
    <w:qFormat/>
    <w:rPr>
      <w:rFonts w:ascii="Arial" w:eastAsia="MS Mincho" w:hAnsi="Arial" w:cs="Arial"/>
      <w:szCs w:val="24"/>
      <w:lang w:val="en-GB"/>
    </w:rPr>
  </w:style>
  <w:style w:type="character" w:customStyle="1" w:styleId="THChar">
    <w:name w:val="TH Char"/>
    <w:qFormat/>
    <w:rPr>
      <w:rFonts w:ascii="Arial" w:hAnsi="Arial" w:cs="Arial"/>
      <w:b/>
      <w:lang w:val="en-GB"/>
    </w:rPr>
  </w:style>
  <w:style w:type="character" w:customStyle="1" w:styleId="TACChar">
    <w:name w:val="TAC Char"/>
    <w:qFormat/>
    <w:rPr>
      <w:rFonts w:ascii="Arial" w:hAnsi="Arial" w:cs="Arial"/>
      <w:sz w:val="18"/>
      <w:lang w:val="en-GB"/>
    </w:rPr>
  </w:style>
  <w:style w:type="character" w:customStyle="1" w:styleId="TAHCar">
    <w:name w:val="TAH Car"/>
    <w:qFormat/>
    <w:rPr>
      <w:rFonts w:ascii="Arial" w:hAnsi="Arial" w:cs="Arial"/>
      <w:b/>
      <w:sz w:val="18"/>
      <w:lang w:val="en-GB"/>
    </w:rPr>
  </w:style>
  <w:style w:type="character" w:customStyle="1" w:styleId="ListParagraphChar">
    <w:name w:val="List Paragraph Char"/>
    <w:qFormat/>
    <w:rPr>
      <w:rFonts w:ascii="Arial" w:hAnsi="Arial" w:cs="Arial"/>
      <w:lang w:val="en-GB" w:eastAsia="zh-CN"/>
    </w:rPr>
  </w:style>
  <w:style w:type="character" w:customStyle="1" w:styleId="Heading3Char">
    <w:name w:val="Heading 3 Char"/>
    <w:qFormat/>
    <w:rPr>
      <w:rFonts w:ascii="Arial" w:hAnsi="Arial" w:cs="Arial"/>
      <w:sz w:val="28"/>
      <w:szCs w:val="28"/>
      <w:lang w:val="en-GB" w:eastAsia="zh-CN"/>
    </w:rPr>
  </w:style>
  <w:style w:type="character" w:customStyle="1" w:styleId="EmailDiscussionChar">
    <w:name w:val="EmailDiscussion Char"/>
    <w:qFormat/>
    <w:rPr>
      <w:rFonts w:ascii="Arial" w:eastAsia="MS Mincho" w:hAnsi="Arial" w:cs="Arial"/>
      <w:b/>
      <w:szCs w:val="24"/>
      <w:lang w:val="x-none"/>
    </w:rPr>
  </w:style>
  <w:style w:type="character" w:styleId="Kommentarzeichen">
    <w:name w:val="annotation reference"/>
    <w:qFormat/>
    <w:rPr>
      <w:sz w:val="16"/>
      <w:szCs w:val="16"/>
    </w:rPr>
  </w:style>
  <w:style w:type="character" w:customStyle="1" w:styleId="KommentartextZchn">
    <w:name w:val="Kommentartext Zchn"/>
    <w:qFormat/>
    <w:rPr>
      <w:rFonts w:ascii="Arial" w:hAnsi="Arial" w:cs="Arial"/>
      <w:lang w:val="en-GB" w:eastAsia="zh-CN"/>
    </w:rPr>
  </w:style>
  <w:style w:type="character" w:customStyle="1" w:styleId="KommentarthemaZchn">
    <w:name w:val="Kommentarthema Zchn"/>
    <w:qFormat/>
    <w:rPr>
      <w:rFonts w:ascii="Arial" w:hAnsi="Arial" w:cs="Arial"/>
      <w:b/>
      <w:bCs/>
      <w:lang w:val="en-GB" w:eastAsia="zh-CN"/>
    </w:rPr>
  </w:style>
  <w:style w:type="character" w:customStyle="1" w:styleId="SprechblasentextZchn">
    <w:name w:val="Sprechblasentext Zchn"/>
    <w:qFormat/>
    <w:rPr>
      <w:rFonts w:ascii="Segoe UI" w:hAnsi="Segoe UI" w:cs="Segoe UI"/>
      <w:sz w:val="18"/>
      <w:szCs w:val="18"/>
      <w:lang w:val="en-GB" w:eastAsia="zh-CN"/>
    </w:rPr>
  </w:style>
  <w:style w:type="character" w:customStyle="1" w:styleId="ListenabsatzZchn">
    <w:name w:val="Listenabsatz Zchn"/>
    <w:qFormat/>
    <w:rPr>
      <w:rFonts w:ascii="Arial" w:hAnsi="Arial" w:cs="Arial"/>
      <w:lang w:val="en-GB" w:eastAsia="zh-CN"/>
    </w:rPr>
  </w:style>
  <w:style w:type="character" w:customStyle="1" w:styleId="berschrift2Zchn">
    <w:name w:val="Überschrift 2 Zchn"/>
    <w:qFormat/>
    <w:rPr>
      <w:rFonts w:ascii="Arial" w:hAnsi="Arial" w:cs="Arial"/>
      <w:sz w:val="32"/>
      <w:szCs w:val="32"/>
      <w:lang w:val="en-GB" w:eastAsia="zh-CN"/>
    </w:rPr>
  </w:style>
  <w:style w:type="character" w:customStyle="1" w:styleId="berschrift4Zchn">
    <w:name w:val="Überschrift 4 Zchn"/>
    <w:qFormat/>
    <w:rPr>
      <w:rFonts w:ascii="Arial" w:hAnsi="Arial" w:cs="Arial"/>
      <w:sz w:val="24"/>
      <w:szCs w:val="24"/>
      <w:lang w:val="en-GB" w:eastAsia="zh-CN"/>
    </w:rPr>
  </w:style>
  <w:style w:type="character" w:customStyle="1" w:styleId="berschrift5Zchn">
    <w:name w:val="Überschrift 5 Zchn"/>
    <w:qFormat/>
    <w:rPr>
      <w:rFonts w:ascii="Arial" w:hAnsi="Arial" w:cs="Arial"/>
      <w:sz w:val="22"/>
      <w:szCs w:val="22"/>
      <w:lang w:val="en-GB" w:eastAsia="zh-CN"/>
    </w:rPr>
  </w:style>
  <w:style w:type="character" w:customStyle="1" w:styleId="berschrift6Zchn">
    <w:name w:val="Überschrift 6 Zchn"/>
    <w:qFormat/>
    <w:rPr>
      <w:rFonts w:ascii="Arial" w:hAnsi="Arial" w:cs="Arial"/>
      <w:lang w:val="en-GB" w:eastAsia="zh-CN"/>
    </w:rPr>
  </w:style>
  <w:style w:type="character" w:customStyle="1" w:styleId="berschrift7Zchn">
    <w:name w:val="Überschrift 7 Zchn"/>
    <w:qFormat/>
    <w:rPr>
      <w:rFonts w:ascii="Arial" w:hAnsi="Arial" w:cs="Arial"/>
      <w:lang w:val="en-GB" w:eastAsia="zh-CN"/>
    </w:rPr>
  </w:style>
  <w:style w:type="character" w:customStyle="1" w:styleId="berschrift8Zchn">
    <w:name w:val="Überschrift 8 Zchn"/>
    <w:qFormat/>
    <w:rPr>
      <w:rFonts w:ascii="Arial" w:hAnsi="Arial" w:cs="Arial"/>
      <w:lang w:val="en-GB" w:eastAsia="zh-CN"/>
    </w:rPr>
  </w:style>
  <w:style w:type="character" w:customStyle="1" w:styleId="berschrift9Zchn">
    <w:name w:val="Überschrift 9 Zchn"/>
    <w:qFormat/>
    <w:rPr>
      <w:rFonts w:ascii="Arial" w:hAnsi="Arial" w:cs="Arial"/>
      <w:lang w:val="en-GB" w:eastAsia="zh-CN"/>
    </w:rPr>
  </w:style>
  <w:style w:type="character" w:customStyle="1" w:styleId="KopfzeileZchn">
    <w:name w:val="Kopfzeile Zchn"/>
    <w:qFormat/>
    <w:rPr>
      <w:rFonts w:ascii="Arial" w:hAnsi="Arial" w:cs="Arial"/>
      <w:b/>
      <w:bCs/>
      <w:sz w:val="18"/>
      <w:szCs w:val="18"/>
      <w:lang w:eastAsia="en-GB"/>
    </w:rPr>
  </w:style>
  <w:style w:type="character" w:customStyle="1" w:styleId="FuzeileZchn">
    <w:name w:val="Fußzeile Zchn"/>
    <w:qFormat/>
    <w:rPr>
      <w:rFonts w:ascii="Arial" w:hAnsi="Arial" w:cs="Arial"/>
      <w:b/>
      <w:bCs/>
      <w:i/>
      <w:iCs/>
      <w:sz w:val="18"/>
      <w:szCs w:val="18"/>
      <w:lang w:eastAsia="en-GB"/>
    </w:rPr>
  </w:style>
  <w:style w:type="character" w:customStyle="1" w:styleId="PLChar">
    <w:name w:val="PL Char"/>
    <w:qFormat/>
    <w:rPr>
      <w:rFonts w:ascii="Courier New" w:hAnsi="Courier New"/>
      <w:sz w:val="16"/>
      <w:highlight w:val="white"/>
      <w:lang w:val="en-GB" w:eastAsia="en-GB"/>
    </w:rPr>
  </w:style>
  <w:style w:type="character" w:customStyle="1" w:styleId="TALCar">
    <w:name w:val="TAL Car"/>
    <w:qFormat/>
    <w:rPr>
      <w:rFonts w:ascii="Arial" w:hAnsi="Arial" w:cs="Arial"/>
      <w:sz w:val="18"/>
      <w:lang w:val="en-GB" w:eastAsia="zh-CN"/>
    </w:rPr>
  </w:style>
  <w:style w:type="character" w:customStyle="1" w:styleId="B1Char1">
    <w:name w:val="B1 Char1"/>
    <w:qFormat/>
    <w:rPr>
      <w:rFonts w:ascii="Arial" w:hAnsi="Arial" w:cs="Arial"/>
      <w:lang w:val="en-GB" w:eastAsia="zh-CN"/>
    </w:rPr>
  </w:style>
  <w:style w:type="character" w:customStyle="1" w:styleId="EditorsNoteChar">
    <w:name w:val="Editor's Note Char"/>
    <w:qFormat/>
    <w:rPr>
      <w:rFonts w:ascii="Arial" w:hAnsi="Arial" w:cs="Arial"/>
      <w:color w:val="FF0000"/>
      <w:lang w:val="en-GB" w:eastAsia="zh-CN"/>
    </w:rPr>
  </w:style>
  <w:style w:type="character" w:customStyle="1" w:styleId="TFChar">
    <w:name w:val="TF Char"/>
    <w:qFormat/>
    <w:rPr>
      <w:rFonts w:ascii="Arial" w:hAnsi="Arial" w:cs="Arial"/>
      <w:b/>
      <w:lang w:val="en-GB" w:eastAsia="zh-CN"/>
    </w:rPr>
  </w:style>
  <w:style w:type="character" w:customStyle="1" w:styleId="B3Char2">
    <w:name w:val="B3 Char2"/>
    <w:qFormat/>
    <w:rPr>
      <w:rFonts w:ascii="Arial" w:hAnsi="Arial" w:cs="Arial"/>
      <w:lang w:val="en-GB" w:eastAsia="zh-CN"/>
    </w:rPr>
  </w:style>
  <w:style w:type="character" w:customStyle="1" w:styleId="B4Char">
    <w:name w:val="B4 Char"/>
    <w:qFormat/>
    <w:rPr>
      <w:rFonts w:ascii="Arial" w:hAnsi="Arial" w:cs="Arial"/>
      <w:lang w:val="en-GB" w:eastAsia="zh-CN"/>
    </w:rPr>
  </w:style>
  <w:style w:type="character" w:customStyle="1" w:styleId="B5Char">
    <w:name w:val="B5 Char"/>
    <w:qFormat/>
    <w:rPr>
      <w:rFonts w:ascii="Arial" w:hAnsi="Arial" w:cs="Arial"/>
      <w:lang w:val="en-GB" w:eastAsia="zh-CN"/>
    </w:rPr>
  </w:style>
  <w:style w:type="character" w:styleId="Funotenzeichen">
    <w:name w:val="footnote reference"/>
    <w:qFormat/>
    <w:rPr>
      <w:b/>
      <w:sz w:val="16"/>
    </w:rPr>
  </w:style>
  <w:style w:type="character" w:customStyle="1" w:styleId="FunotentextZchn">
    <w:name w:val="Fußnotentext Zchn"/>
    <w:qFormat/>
    <w:rPr>
      <w:rFonts w:ascii="Arial" w:hAnsi="Arial" w:cs="Arial"/>
      <w:sz w:val="16"/>
      <w:szCs w:val="16"/>
      <w:lang w:val="en-GB" w:eastAsia="zh-CN"/>
    </w:rPr>
  </w:style>
  <w:style w:type="character" w:customStyle="1" w:styleId="B6Char">
    <w:name w:val="B6 Char"/>
    <w:qFormat/>
    <w:rPr>
      <w:lang w:val="x-none" w:eastAsia="ja-JP"/>
    </w:rPr>
  </w:style>
  <w:style w:type="character" w:customStyle="1" w:styleId="B7Char">
    <w:name w:val="B7 Char"/>
    <w:qFormat/>
    <w:rPr>
      <w:lang w:val="x-none" w:eastAsia="ja-JP"/>
    </w:rPr>
  </w:style>
  <w:style w:type="character" w:customStyle="1" w:styleId="ListLabel1">
    <w:name w:val="ListLabel 1"/>
    <w:qFormat/>
    <w:rPr>
      <w:rFonts w:cs="Times New Roman"/>
    </w:rPr>
  </w:style>
  <w:style w:type="character" w:customStyle="1" w:styleId="ListLabel2">
    <w:name w:val="ListLabel 2"/>
    <w:qFormat/>
    <w:rPr>
      <w:rFonts w:cs="Times New Roman"/>
    </w:rPr>
  </w:style>
  <w:style w:type="character" w:customStyle="1" w:styleId="ListLabel3">
    <w:name w:val="ListLabel 3"/>
    <w:qFormat/>
    <w:rPr>
      <w:color w:val="00000A"/>
    </w:rPr>
  </w:style>
  <w:style w:type="character" w:customStyle="1" w:styleId="ListLabel4">
    <w:name w:val="ListLabel 4"/>
    <w:qFormat/>
    <w:rPr>
      <w:rFonts w:cs="Times New Roman"/>
      <w:lang w:val="en-US"/>
    </w:rPr>
  </w:style>
  <w:style w:type="character" w:customStyle="1" w:styleId="ListLabel5">
    <w:name w:val="ListLabel 5"/>
    <w:qFormat/>
    <w:rPr>
      <w:rFonts w:cs="Times New Roman"/>
    </w:rPr>
  </w:style>
  <w:style w:type="character" w:customStyle="1" w:styleId="ListLabel6">
    <w:name w:val="ListLabel 6"/>
    <w:qFormat/>
    <w:rPr>
      <w:b/>
      <w:bCs/>
      <w:u w:val="single"/>
      <w:lang w:val="x-none" w:bidi="x-none"/>
    </w:rPr>
  </w:style>
  <w:style w:type="character" w:customStyle="1" w:styleId="ListLabel7">
    <w:name w:val="ListLabel 7"/>
    <w:qFormat/>
    <w:rPr>
      <w:rFonts w:cs="Times New Roman"/>
    </w:rPr>
  </w:style>
  <w:style w:type="character" w:customStyle="1" w:styleId="ListLabel8">
    <w:name w:val="ListLabel 8"/>
    <w:qFormat/>
    <w:rPr>
      <w:rFonts w:cs="ZapfDingbats"/>
      <w:b/>
      <w:i w:val="0"/>
      <w:color w:val="70CEF5"/>
      <w:sz w:val="20"/>
      <w:szCs w:val="20"/>
    </w:rPr>
  </w:style>
  <w:style w:type="character" w:customStyle="1" w:styleId="ListLabel9">
    <w:name w:val="ListLabel 9"/>
    <w:qFormat/>
    <w:rPr>
      <w:rFonts w:cs="Wingdings"/>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eastAsia="Times New Roman" w:cs="Arial"/>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eastAsia="Times New Roman" w:cs="Times New Roman"/>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eastAsia="MS Mincho" w:cs="Arial"/>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eastAsia="MS Mincho" w:cs="Arial"/>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styleId="Fett">
    <w:name w:val="Strong"/>
    <w:basedOn w:val="Absatz-Standardschriftart"/>
    <w:qFormat/>
    <w:rPr>
      <w:b/>
      <w:bCs/>
    </w:rPr>
  </w:style>
  <w:style w:type="character" w:customStyle="1" w:styleId="ListLabel50">
    <w:name w:val="ListLabel 50"/>
    <w:qFormat/>
    <w:rPr>
      <w:rFonts w:cs="Symbol"/>
    </w:rPr>
  </w:style>
  <w:style w:type="character" w:customStyle="1" w:styleId="ListLabel51">
    <w:name w:val="ListLabel 51"/>
    <w:qFormat/>
    <w:rPr>
      <w:rFonts w:cs="Courier New"/>
    </w:rPr>
  </w:style>
  <w:style w:type="character" w:customStyle="1" w:styleId="ListLabel52">
    <w:name w:val="ListLabel 52"/>
    <w:qFormat/>
    <w:rPr>
      <w:rFonts w:cs="Wingdings"/>
    </w:rPr>
  </w:style>
  <w:style w:type="character" w:customStyle="1" w:styleId="ListLabel53">
    <w:name w:val="ListLabel 53"/>
    <w:qFormat/>
    <w:rPr>
      <w:rFonts w:cs="Symbol"/>
    </w:rPr>
  </w:style>
  <w:style w:type="character" w:customStyle="1" w:styleId="ListLabel54">
    <w:name w:val="ListLabel 54"/>
    <w:qFormat/>
    <w:rPr>
      <w:rFonts w:cs="Courier New"/>
    </w:rPr>
  </w:style>
  <w:style w:type="character" w:customStyle="1" w:styleId="ListLabel55">
    <w:name w:val="ListLabel 55"/>
    <w:qFormat/>
    <w:rPr>
      <w:rFonts w:cs="Wingdings"/>
    </w:rPr>
  </w:style>
  <w:style w:type="character" w:customStyle="1" w:styleId="ListLabel56">
    <w:name w:val="ListLabel 56"/>
    <w:qFormat/>
    <w:rPr>
      <w:rFonts w:cs="Symbol"/>
    </w:rPr>
  </w:style>
  <w:style w:type="character" w:customStyle="1" w:styleId="ListLabel57">
    <w:name w:val="ListLabel 57"/>
    <w:qFormat/>
    <w:rPr>
      <w:rFonts w:cs="Courier New"/>
    </w:rPr>
  </w:style>
  <w:style w:type="character" w:customStyle="1" w:styleId="ListLabel58">
    <w:name w:val="ListLabel 58"/>
    <w:qFormat/>
    <w:rPr>
      <w:rFonts w:cs="Wingdings"/>
    </w:rPr>
  </w:style>
  <w:style w:type="character" w:customStyle="1" w:styleId="ListLabel59">
    <w:name w:val="ListLabel 59"/>
    <w:qFormat/>
    <w:rPr>
      <w:rFonts w:cs="Symbol"/>
    </w:rPr>
  </w:style>
  <w:style w:type="character" w:customStyle="1" w:styleId="ListLabel60">
    <w:name w:val="ListLabel 60"/>
    <w:qFormat/>
    <w:rPr>
      <w:rFonts w:cs="Courier New"/>
    </w:rPr>
  </w:style>
  <w:style w:type="character" w:customStyle="1" w:styleId="ListLabel61">
    <w:name w:val="ListLabel 61"/>
    <w:qFormat/>
    <w:rPr>
      <w:rFonts w:cs="Wingdings"/>
    </w:rPr>
  </w:style>
  <w:style w:type="character" w:customStyle="1" w:styleId="ListLabel62">
    <w:name w:val="ListLabel 62"/>
    <w:qFormat/>
    <w:rPr>
      <w:rFonts w:cs="Symbol"/>
    </w:rPr>
  </w:style>
  <w:style w:type="character" w:customStyle="1" w:styleId="ListLabel63">
    <w:name w:val="ListLabel 63"/>
    <w:qFormat/>
    <w:rPr>
      <w:rFonts w:cs="Courier New"/>
    </w:rPr>
  </w:style>
  <w:style w:type="character" w:customStyle="1" w:styleId="ListLabel64">
    <w:name w:val="ListLabel 64"/>
    <w:qFormat/>
    <w:rPr>
      <w:rFonts w:cs="Wingdings"/>
    </w:rPr>
  </w:style>
  <w:style w:type="character" w:customStyle="1" w:styleId="ListLabel65">
    <w:name w:val="ListLabel 65"/>
    <w:qFormat/>
    <w:rPr>
      <w:rFonts w:cs="Symbol"/>
    </w:rPr>
  </w:style>
  <w:style w:type="character" w:customStyle="1" w:styleId="ListLabel66">
    <w:name w:val="ListLabel 66"/>
    <w:qFormat/>
    <w:rPr>
      <w:rFonts w:cs="Courier New"/>
    </w:rPr>
  </w:style>
  <w:style w:type="character" w:customStyle="1" w:styleId="ListLabel67">
    <w:name w:val="ListLabel 67"/>
    <w:qFormat/>
    <w:rPr>
      <w:rFonts w:cs="Wingdings"/>
    </w:rPr>
  </w:style>
  <w:style w:type="character" w:customStyle="1" w:styleId="ListLabel68">
    <w:name w:val="ListLabel 68"/>
    <w:qFormat/>
    <w:rPr>
      <w:rFonts w:cs="Symbol"/>
    </w:rPr>
  </w:style>
  <w:style w:type="character" w:customStyle="1" w:styleId="ListLabel69">
    <w:name w:val="ListLabel 69"/>
    <w:qFormat/>
    <w:rPr>
      <w:rFonts w:cs="Courier New"/>
    </w:rPr>
  </w:style>
  <w:style w:type="character" w:customStyle="1" w:styleId="ListLabel70">
    <w:name w:val="ListLabel 70"/>
    <w:qFormat/>
    <w:rPr>
      <w:rFonts w:cs="Wingdings"/>
    </w:rPr>
  </w:style>
  <w:style w:type="character" w:customStyle="1" w:styleId="ListLabel71">
    <w:name w:val="ListLabel 71"/>
    <w:qFormat/>
    <w:rPr>
      <w:rFonts w:cs="Symbol"/>
    </w:rPr>
  </w:style>
  <w:style w:type="character" w:customStyle="1" w:styleId="ListLabel72">
    <w:name w:val="ListLabel 72"/>
    <w:qFormat/>
    <w:rPr>
      <w:rFonts w:cs="Courier New"/>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rFonts w:cs="Symbol"/>
    </w:rPr>
  </w:style>
  <w:style w:type="character" w:customStyle="1" w:styleId="ListLabel102">
    <w:name w:val="ListLabel 102"/>
    <w:qFormat/>
    <w:rPr>
      <w:rFonts w:cs="Courier New"/>
    </w:rPr>
  </w:style>
  <w:style w:type="character" w:customStyle="1" w:styleId="ListLabel103">
    <w:name w:val="ListLabel 103"/>
    <w:qFormat/>
    <w:rPr>
      <w:rFonts w:cs="Wingdings"/>
    </w:rPr>
  </w:style>
  <w:style w:type="character" w:customStyle="1" w:styleId="ListLabel104">
    <w:name w:val="ListLabel 104"/>
    <w:qFormat/>
    <w:rPr>
      <w:rFonts w:eastAsia="Times New Roman" w:cs="Times New Roman"/>
    </w:rPr>
  </w:style>
  <w:style w:type="character" w:customStyle="1" w:styleId="Bullets">
    <w:name w:val="Bullets"/>
    <w:qFormat/>
    <w:rPr>
      <w:rFonts w:ascii="OpenSymbol" w:eastAsia="OpenSymbol" w:hAnsi="OpenSymbol" w:cs="OpenSymbol"/>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rFonts w:cs="Symbol"/>
    </w:rPr>
  </w:style>
  <w:style w:type="character" w:customStyle="1" w:styleId="ListLabel112">
    <w:name w:val="ListLabel 112"/>
    <w:qFormat/>
    <w:rPr>
      <w:rFonts w:cs="Courier New"/>
    </w:rPr>
  </w:style>
  <w:style w:type="character" w:customStyle="1" w:styleId="ListLabel113">
    <w:name w:val="ListLabel 113"/>
    <w:qFormat/>
    <w:rPr>
      <w:rFonts w:cs="Wingdings"/>
    </w:rPr>
  </w:style>
  <w:style w:type="character" w:customStyle="1" w:styleId="ListLabel114">
    <w:name w:val="ListLabel 114"/>
    <w:qFormat/>
    <w:rPr>
      <w:rFonts w:cs="Symbol"/>
    </w:rPr>
  </w:style>
  <w:style w:type="character" w:customStyle="1" w:styleId="ListLabel115">
    <w:name w:val="ListLabel 115"/>
    <w:qFormat/>
    <w:rPr>
      <w:rFonts w:cs="Courier New"/>
    </w:rPr>
  </w:style>
  <w:style w:type="character" w:customStyle="1" w:styleId="ListLabel116">
    <w:name w:val="ListLabel 116"/>
    <w:qFormat/>
    <w:rPr>
      <w:rFonts w:cs="Wingdings"/>
    </w:rPr>
  </w:style>
  <w:style w:type="character" w:customStyle="1" w:styleId="ListLabel117">
    <w:name w:val="ListLabel 117"/>
    <w:qFormat/>
    <w:rPr>
      <w:rFonts w:cs="Symbol"/>
    </w:rPr>
  </w:style>
  <w:style w:type="character" w:customStyle="1" w:styleId="ListLabel118">
    <w:name w:val="ListLabel 118"/>
    <w:qFormat/>
    <w:rPr>
      <w:rFonts w:cs="Courier New"/>
    </w:rPr>
  </w:style>
  <w:style w:type="character" w:customStyle="1" w:styleId="ListLabel119">
    <w:name w:val="ListLabel 119"/>
    <w:qFormat/>
    <w:rPr>
      <w:rFonts w:cs="Wingdings"/>
    </w:rPr>
  </w:style>
  <w:style w:type="character" w:customStyle="1" w:styleId="ListLabel120">
    <w:name w:val="ListLabel 120"/>
    <w:qFormat/>
    <w:rPr>
      <w:rFonts w:cs="Symbol"/>
    </w:rPr>
  </w:style>
  <w:style w:type="character" w:customStyle="1" w:styleId="ListLabel121">
    <w:name w:val="ListLabel 121"/>
    <w:qFormat/>
    <w:rPr>
      <w:rFonts w:cs="Courier New"/>
    </w:rPr>
  </w:style>
  <w:style w:type="character" w:customStyle="1" w:styleId="ListLabel122">
    <w:name w:val="ListLabel 122"/>
    <w:qFormat/>
    <w:rPr>
      <w:rFonts w:cs="Wingdings"/>
    </w:rPr>
  </w:style>
  <w:style w:type="character" w:customStyle="1" w:styleId="ListLabel123">
    <w:name w:val="ListLabel 123"/>
    <w:qFormat/>
    <w:rPr>
      <w:rFonts w:cs="Symbol"/>
    </w:rPr>
  </w:style>
  <w:style w:type="character" w:customStyle="1" w:styleId="ListLabel124">
    <w:name w:val="ListLabel 124"/>
    <w:qFormat/>
    <w:rPr>
      <w:rFonts w:cs="Courier New"/>
    </w:rPr>
  </w:style>
  <w:style w:type="character" w:customStyle="1" w:styleId="ListLabel125">
    <w:name w:val="ListLabel 125"/>
    <w:qFormat/>
    <w:rPr>
      <w:rFonts w:cs="Wingdings"/>
    </w:rPr>
  </w:style>
  <w:style w:type="character" w:customStyle="1" w:styleId="ListLabel126">
    <w:name w:val="ListLabel 126"/>
    <w:qFormat/>
    <w:rPr>
      <w:rFonts w:cs="Symbol"/>
    </w:rPr>
  </w:style>
  <w:style w:type="character" w:customStyle="1" w:styleId="ListLabel127">
    <w:name w:val="ListLabel 127"/>
    <w:qFormat/>
    <w:rPr>
      <w:rFonts w:cs="Courier New"/>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OpenSymbol"/>
    </w:rPr>
  </w:style>
  <w:style w:type="character" w:customStyle="1" w:styleId="ListLabel133">
    <w:name w:val="ListLabel 133"/>
    <w:qFormat/>
    <w:rPr>
      <w:rFonts w:cs="OpenSymbol"/>
    </w:rPr>
  </w:style>
  <w:style w:type="character" w:customStyle="1" w:styleId="ListLabel134">
    <w:name w:val="ListLabel 134"/>
    <w:qFormat/>
    <w:rPr>
      <w:rFonts w:cs="OpenSymbol"/>
    </w:rPr>
  </w:style>
  <w:style w:type="character" w:customStyle="1" w:styleId="ListLabel135">
    <w:name w:val="ListLabel 135"/>
    <w:qFormat/>
    <w:rPr>
      <w:rFonts w:cs="OpenSymbol"/>
    </w:rPr>
  </w:style>
  <w:style w:type="character" w:customStyle="1" w:styleId="ListLabel136">
    <w:name w:val="ListLabel 136"/>
    <w:qFormat/>
    <w:rPr>
      <w:rFonts w:cs="OpenSymbol"/>
    </w:rPr>
  </w:style>
  <w:style w:type="character" w:customStyle="1" w:styleId="ListLabel137">
    <w:name w:val="ListLabel 137"/>
    <w:qFormat/>
    <w:rPr>
      <w:rFonts w:cs="OpenSymbol"/>
    </w:rPr>
  </w:style>
  <w:style w:type="character" w:customStyle="1" w:styleId="ListLabel138">
    <w:name w:val="ListLabel 138"/>
    <w:qFormat/>
    <w:rPr>
      <w:rFonts w:cs="OpenSymbol"/>
    </w:rPr>
  </w:style>
  <w:style w:type="character" w:customStyle="1" w:styleId="ListLabel139">
    <w:name w:val="ListLabel 139"/>
    <w:qFormat/>
    <w:rPr>
      <w:rFonts w:cs="OpenSymbol"/>
    </w:rPr>
  </w:style>
  <w:style w:type="character" w:customStyle="1" w:styleId="ListLabel140">
    <w:name w:val="ListLabel 140"/>
    <w:qFormat/>
    <w:rPr>
      <w:rFonts w:cs="OpenSymbol"/>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Symbol"/>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OpenSymbol"/>
    </w:rPr>
  </w:style>
  <w:style w:type="character" w:customStyle="1" w:styleId="ListLabel169">
    <w:name w:val="ListLabel 169"/>
    <w:qFormat/>
    <w:rPr>
      <w:rFonts w:cs="OpenSymbol"/>
    </w:rPr>
  </w:style>
  <w:style w:type="character" w:customStyle="1" w:styleId="ListLabel170">
    <w:name w:val="ListLabel 170"/>
    <w:qFormat/>
    <w:rPr>
      <w:rFonts w:cs="OpenSymbol"/>
    </w:rPr>
  </w:style>
  <w:style w:type="character" w:customStyle="1" w:styleId="ListLabel171">
    <w:name w:val="ListLabel 171"/>
    <w:qFormat/>
    <w:rPr>
      <w:rFonts w:cs="OpenSymbol"/>
    </w:rPr>
  </w:style>
  <w:style w:type="character" w:customStyle="1" w:styleId="ListLabel172">
    <w:name w:val="ListLabel 172"/>
    <w:qFormat/>
    <w:rPr>
      <w:rFonts w:cs="OpenSymbol"/>
    </w:rPr>
  </w:style>
  <w:style w:type="character" w:customStyle="1" w:styleId="ListLabel173">
    <w:name w:val="ListLabel 173"/>
    <w:qFormat/>
    <w:rPr>
      <w:rFonts w:cs="OpenSymbol"/>
    </w:rPr>
  </w:style>
  <w:style w:type="character" w:customStyle="1" w:styleId="ListLabel174">
    <w:name w:val="ListLabel 174"/>
    <w:qFormat/>
    <w:rPr>
      <w:rFonts w:cs="OpenSymbol"/>
    </w:rPr>
  </w:style>
  <w:style w:type="character" w:customStyle="1" w:styleId="ListLabel175">
    <w:name w:val="ListLabel 175"/>
    <w:qFormat/>
    <w:rPr>
      <w:rFonts w:cs="OpenSymbol"/>
    </w:rPr>
  </w:style>
  <w:style w:type="character" w:customStyle="1" w:styleId="ListLabel176">
    <w:name w:val="ListLabel 176"/>
    <w:qFormat/>
    <w:rPr>
      <w:rFonts w:cs="OpenSymbol"/>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cs="Symbo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Symbol"/>
    </w:rPr>
  </w:style>
  <w:style w:type="character" w:customStyle="1" w:styleId="ListLabel190">
    <w:name w:val="ListLabel 190"/>
    <w:qFormat/>
    <w:rPr>
      <w:rFonts w:cs="Courier New"/>
    </w:rPr>
  </w:style>
  <w:style w:type="character" w:customStyle="1" w:styleId="ListLabel191">
    <w:name w:val="ListLabel 191"/>
    <w:qFormat/>
    <w:rPr>
      <w:rFonts w:cs="Wingdings"/>
    </w:rPr>
  </w:style>
  <w:style w:type="character" w:customStyle="1" w:styleId="ListLabel192">
    <w:name w:val="ListLabel 192"/>
    <w:qFormat/>
    <w:rPr>
      <w:rFonts w:cs="Symbol"/>
    </w:rPr>
  </w:style>
  <w:style w:type="character" w:customStyle="1" w:styleId="ListLabel193">
    <w:name w:val="ListLabel 193"/>
    <w:qFormat/>
    <w:rPr>
      <w:rFonts w:cs="Courier New"/>
    </w:rPr>
  </w:style>
  <w:style w:type="character" w:customStyle="1" w:styleId="ListLabel194">
    <w:name w:val="ListLabel 194"/>
    <w:qFormat/>
    <w:rPr>
      <w:rFonts w:cs="Wingdings"/>
    </w:rPr>
  </w:style>
  <w:style w:type="character" w:customStyle="1" w:styleId="ListLabel195">
    <w:name w:val="ListLabel 195"/>
    <w:qFormat/>
    <w:rPr>
      <w:rFonts w:cs="Symbol"/>
    </w:rPr>
  </w:style>
  <w:style w:type="character" w:customStyle="1" w:styleId="ListLabel196">
    <w:name w:val="ListLabel 196"/>
    <w:qFormat/>
    <w:rPr>
      <w:rFonts w:cs="Courier New"/>
    </w:rPr>
  </w:style>
  <w:style w:type="character" w:customStyle="1" w:styleId="ListLabel197">
    <w:name w:val="ListLabel 197"/>
    <w:qFormat/>
    <w:rPr>
      <w:rFonts w:cs="Wingdings"/>
    </w:rPr>
  </w:style>
  <w:style w:type="character" w:customStyle="1" w:styleId="ListLabel198">
    <w:name w:val="ListLabel 198"/>
    <w:qFormat/>
    <w:rPr>
      <w:rFonts w:cs="Symbol"/>
    </w:rPr>
  </w:style>
  <w:style w:type="character" w:customStyle="1" w:styleId="ListLabel199">
    <w:name w:val="ListLabel 199"/>
    <w:qFormat/>
    <w:rPr>
      <w:rFonts w:cs="Courier New"/>
    </w:rPr>
  </w:style>
  <w:style w:type="character" w:customStyle="1" w:styleId="ListLabel200">
    <w:name w:val="ListLabel 200"/>
    <w:qFormat/>
    <w:rPr>
      <w:rFonts w:cs="Wingdings"/>
    </w:rPr>
  </w:style>
  <w:style w:type="character" w:customStyle="1" w:styleId="ListLabel201">
    <w:name w:val="ListLabel 201"/>
    <w:qFormat/>
    <w:rPr>
      <w:rFonts w:cs="Symbol"/>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rPr>
      <w:rFonts w:cs="OpenSymbol"/>
    </w:rPr>
  </w:style>
  <w:style w:type="character" w:customStyle="1" w:styleId="ListLabel205">
    <w:name w:val="ListLabel 205"/>
    <w:qFormat/>
    <w:rPr>
      <w:rFonts w:cs="OpenSymbol"/>
    </w:rPr>
  </w:style>
  <w:style w:type="character" w:customStyle="1" w:styleId="ListLabel206">
    <w:name w:val="ListLabel 206"/>
    <w:qFormat/>
    <w:rPr>
      <w:rFonts w:cs="OpenSymbol"/>
    </w:rPr>
  </w:style>
  <w:style w:type="character" w:customStyle="1" w:styleId="ListLabel207">
    <w:name w:val="ListLabel 207"/>
    <w:qFormat/>
    <w:rPr>
      <w:rFonts w:cs="OpenSymbol"/>
    </w:rPr>
  </w:style>
  <w:style w:type="character" w:customStyle="1" w:styleId="ListLabel208">
    <w:name w:val="ListLabel 208"/>
    <w:qFormat/>
    <w:rPr>
      <w:rFonts w:cs="OpenSymbol"/>
    </w:rPr>
  </w:style>
  <w:style w:type="character" w:customStyle="1" w:styleId="ListLabel209">
    <w:name w:val="ListLabel 209"/>
    <w:qFormat/>
    <w:rPr>
      <w:rFonts w:cs="OpenSymbol"/>
    </w:rPr>
  </w:style>
  <w:style w:type="character" w:customStyle="1" w:styleId="ListLabel210">
    <w:name w:val="ListLabel 210"/>
    <w:qFormat/>
    <w:rPr>
      <w:rFonts w:cs="OpenSymbol"/>
    </w:rPr>
  </w:style>
  <w:style w:type="character" w:customStyle="1" w:styleId="ListLabel211">
    <w:name w:val="ListLabel 211"/>
    <w:qFormat/>
    <w:rPr>
      <w:rFonts w:cs="OpenSymbol"/>
    </w:rPr>
  </w:style>
  <w:style w:type="character" w:customStyle="1" w:styleId="ListLabel212">
    <w:name w:val="ListLabel 212"/>
    <w:qFormat/>
    <w:rPr>
      <w:rFonts w:cs="OpenSymbol"/>
    </w:rPr>
  </w:style>
  <w:style w:type="character" w:customStyle="1" w:styleId="ListLabel213">
    <w:name w:val="ListLabel 213"/>
    <w:qFormat/>
    <w:rPr>
      <w:rFonts w:cs="Symbol"/>
    </w:rPr>
  </w:style>
  <w:style w:type="character" w:customStyle="1" w:styleId="ListLabel214">
    <w:name w:val="ListLabel 214"/>
    <w:qFormat/>
    <w:rPr>
      <w:rFonts w:cs="Courier New"/>
    </w:rPr>
  </w:style>
  <w:style w:type="character" w:customStyle="1" w:styleId="ListLabel215">
    <w:name w:val="ListLabel 215"/>
    <w:qFormat/>
    <w:rPr>
      <w:rFonts w:cs="Wingdings"/>
    </w:rPr>
  </w:style>
  <w:style w:type="character" w:customStyle="1" w:styleId="ListLabel216">
    <w:name w:val="ListLabel 216"/>
    <w:qFormat/>
    <w:rPr>
      <w:rFonts w:cs="Symbol"/>
    </w:rPr>
  </w:style>
  <w:style w:type="character" w:customStyle="1" w:styleId="ListLabel217">
    <w:name w:val="ListLabel 217"/>
    <w:qFormat/>
    <w:rPr>
      <w:rFonts w:cs="Courier New"/>
    </w:rPr>
  </w:style>
  <w:style w:type="character" w:customStyle="1" w:styleId="ListLabel218">
    <w:name w:val="ListLabel 218"/>
    <w:qFormat/>
    <w:rPr>
      <w:rFonts w:cs="Wingdings"/>
    </w:rPr>
  </w:style>
  <w:style w:type="character" w:customStyle="1" w:styleId="ListLabel219">
    <w:name w:val="ListLabel 219"/>
    <w:qFormat/>
    <w:rPr>
      <w:rFonts w:cs="Symbol"/>
    </w:rPr>
  </w:style>
  <w:style w:type="character" w:customStyle="1" w:styleId="ListLabel220">
    <w:name w:val="ListLabel 220"/>
    <w:qFormat/>
    <w:rPr>
      <w:rFonts w:cs="Courier New"/>
    </w:rPr>
  </w:style>
  <w:style w:type="character" w:customStyle="1" w:styleId="ListLabel221">
    <w:name w:val="ListLabel 221"/>
    <w:qFormat/>
    <w:rPr>
      <w:rFonts w:cs="Wingdings"/>
    </w:rPr>
  </w:style>
  <w:style w:type="character" w:customStyle="1" w:styleId="ListLabel222">
    <w:name w:val="ListLabel 222"/>
    <w:qFormat/>
    <w:rPr>
      <w:rFonts w:cs="Symbol"/>
    </w:rPr>
  </w:style>
  <w:style w:type="character" w:customStyle="1" w:styleId="ListLabel223">
    <w:name w:val="ListLabel 223"/>
    <w:qFormat/>
    <w:rPr>
      <w:rFonts w:cs="Courier New"/>
    </w:rPr>
  </w:style>
  <w:style w:type="character" w:customStyle="1" w:styleId="ListLabel224">
    <w:name w:val="ListLabel 224"/>
    <w:qFormat/>
    <w:rPr>
      <w:rFonts w:cs="Wingdings"/>
    </w:rPr>
  </w:style>
  <w:style w:type="character" w:customStyle="1" w:styleId="ListLabel225">
    <w:name w:val="ListLabel 225"/>
    <w:qFormat/>
    <w:rPr>
      <w:rFonts w:cs="Symbol"/>
    </w:rPr>
  </w:style>
  <w:style w:type="character" w:customStyle="1" w:styleId="ListLabel226">
    <w:name w:val="ListLabel 226"/>
    <w:qFormat/>
    <w:rPr>
      <w:rFonts w:cs="Courier New"/>
    </w:rPr>
  </w:style>
  <w:style w:type="character" w:customStyle="1" w:styleId="ListLabel227">
    <w:name w:val="ListLabel 227"/>
    <w:qFormat/>
    <w:rPr>
      <w:rFonts w:cs="Wingdings"/>
    </w:rPr>
  </w:style>
  <w:style w:type="character" w:customStyle="1" w:styleId="ListLabel228">
    <w:name w:val="ListLabel 228"/>
    <w:qFormat/>
    <w:rPr>
      <w:rFonts w:cs="Symbol"/>
    </w:rPr>
  </w:style>
  <w:style w:type="character" w:customStyle="1" w:styleId="ListLabel229">
    <w:name w:val="ListLabel 229"/>
    <w:qFormat/>
    <w:rPr>
      <w:rFonts w:cs="Courier New"/>
    </w:rPr>
  </w:style>
  <w:style w:type="character" w:customStyle="1" w:styleId="ListLabel230">
    <w:name w:val="ListLabel 230"/>
    <w:qFormat/>
    <w:rPr>
      <w:rFonts w:cs="Wingdings"/>
    </w:rPr>
  </w:style>
  <w:style w:type="character" w:customStyle="1" w:styleId="ListLabel231">
    <w:name w:val="ListLabel 231"/>
    <w:qFormat/>
    <w:rPr>
      <w:rFonts w:cs="Symbol"/>
    </w:rPr>
  </w:style>
  <w:style w:type="character" w:customStyle="1" w:styleId="ListLabel232">
    <w:name w:val="ListLabel 232"/>
    <w:qFormat/>
    <w:rPr>
      <w:rFonts w:cs="Courier New"/>
    </w:rPr>
  </w:style>
  <w:style w:type="character" w:customStyle="1" w:styleId="ListLabel233">
    <w:name w:val="ListLabel 233"/>
    <w:qFormat/>
    <w:rPr>
      <w:rFonts w:cs="Wingdings"/>
    </w:rPr>
  </w:style>
  <w:style w:type="character" w:customStyle="1" w:styleId="ListLabel234">
    <w:name w:val="ListLabel 234"/>
    <w:qFormat/>
    <w:rPr>
      <w:rFonts w:cs="Symbol"/>
    </w:rPr>
  </w:style>
  <w:style w:type="character" w:customStyle="1" w:styleId="ListLabel235">
    <w:name w:val="ListLabel 235"/>
    <w:qFormat/>
    <w:rPr>
      <w:rFonts w:cs="Courier New"/>
    </w:rPr>
  </w:style>
  <w:style w:type="character" w:customStyle="1" w:styleId="ListLabel236">
    <w:name w:val="ListLabel 236"/>
    <w:qFormat/>
    <w:rPr>
      <w:rFonts w:cs="Wingdings"/>
    </w:rPr>
  </w:style>
  <w:style w:type="character" w:customStyle="1" w:styleId="ListLabel237">
    <w:name w:val="ListLabel 237"/>
    <w:qFormat/>
    <w:rPr>
      <w:rFonts w:cs="Symbol"/>
    </w:rPr>
  </w:style>
  <w:style w:type="character" w:customStyle="1" w:styleId="ListLabel238">
    <w:name w:val="ListLabel 238"/>
    <w:qFormat/>
    <w:rPr>
      <w:rFonts w:cs="Courier New"/>
    </w:rPr>
  </w:style>
  <w:style w:type="character" w:customStyle="1" w:styleId="ListLabel239">
    <w:name w:val="ListLabel 239"/>
    <w:qFormat/>
    <w:rPr>
      <w:rFonts w:cs="Wingdings"/>
    </w:rPr>
  </w:style>
  <w:style w:type="character" w:customStyle="1" w:styleId="ListLabel240">
    <w:name w:val="ListLabel 240"/>
    <w:qFormat/>
    <w:rPr>
      <w:rFonts w:cs="OpenSymbol"/>
    </w:rPr>
  </w:style>
  <w:style w:type="character" w:customStyle="1" w:styleId="ListLabel241">
    <w:name w:val="ListLabel 241"/>
    <w:qFormat/>
    <w:rPr>
      <w:rFonts w:cs="OpenSymbol"/>
    </w:rPr>
  </w:style>
  <w:style w:type="character" w:customStyle="1" w:styleId="ListLabel242">
    <w:name w:val="ListLabel 242"/>
    <w:qFormat/>
    <w:rPr>
      <w:rFonts w:cs="OpenSymbol"/>
    </w:rPr>
  </w:style>
  <w:style w:type="character" w:customStyle="1" w:styleId="ListLabel243">
    <w:name w:val="ListLabel 243"/>
    <w:qFormat/>
    <w:rPr>
      <w:rFonts w:cs="OpenSymbol"/>
    </w:rPr>
  </w:style>
  <w:style w:type="character" w:customStyle="1" w:styleId="ListLabel244">
    <w:name w:val="ListLabel 244"/>
    <w:qFormat/>
    <w:rPr>
      <w:rFonts w:cs="OpenSymbol"/>
    </w:rPr>
  </w:style>
  <w:style w:type="character" w:customStyle="1" w:styleId="ListLabel245">
    <w:name w:val="ListLabel 245"/>
    <w:qFormat/>
    <w:rPr>
      <w:rFonts w:cs="OpenSymbol"/>
    </w:rPr>
  </w:style>
  <w:style w:type="character" w:customStyle="1" w:styleId="ListLabel246">
    <w:name w:val="ListLabel 246"/>
    <w:qFormat/>
    <w:rPr>
      <w:rFonts w:cs="OpenSymbol"/>
    </w:rPr>
  </w:style>
  <w:style w:type="character" w:customStyle="1" w:styleId="ListLabel247">
    <w:name w:val="ListLabel 247"/>
    <w:qFormat/>
    <w:rPr>
      <w:rFonts w:cs="OpenSymbol"/>
    </w:rPr>
  </w:style>
  <w:style w:type="character" w:customStyle="1" w:styleId="ListLabel248">
    <w:name w:val="ListLabel 248"/>
    <w:qFormat/>
    <w:rPr>
      <w:rFonts w:cs="OpenSymbol"/>
    </w:rPr>
  </w:style>
  <w:style w:type="character" w:customStyle="1" w:styleId="ListLabel249">
    <w:name w:val="ListLabel 249"/>
    <w:qFormat/>
    <w:rPr>
      <w:rFonts w:eastAsia="等线;DengXian" w:cs="Arial"/>
    </w:rPr>
  </w:style>
  <w:style w:type="character" w:customStyle="1" w:styleId="ListLabel250">
    <w:name w:val="ListLabel 250"/>
    <w:qFormat/>
    <w:rPr>
      <w:rFonts w:cs="Courier New"/>
    </w:rPr>
  </w:style>
  <w:style w:type="character" w:customStyle="1" w:styleId="ListLabel251">
    <w:name w:val="ListLabel 251"/>
    <w:qFormat/>
    <w:rPr>
      <w:rFonts w:cs="Courier New"/>
    </w:rPr>
  </w:style>
  <w:style w:type="character" w:customStyle="1" w:styleId="ListLabel252">
    <w:name w:val="ListLabel 252"/>
    <w:qFormat/>
    <w:rPr>
      <w:rFonts w:cs="Courier New"/>
    </w:rPr>
  </w:style>
  <w:style w:type="character" w:customStyle="1" w:styleId="ListLabel253">
    <w:name w:val="ListLabel 253"/>
    <w:qFormat/>
    <w:rPr>
      <w:rFonts w:cs="Symbol"/>
    </w:rPr>
  </w:style>
  <w:style w:type="character" w:customStyle="1" w:styleId="ListLabel254">
    <w:name w:val="ListLabel 254"/>
    <w:qFormat/>
    <w:rPr>
      <w:rFonts w:cs="Courier New"/>
    </w:rPr>
  </w:style>
  <w:style w:type="character" w:customStyle="1" w:styleId="ListLabel255">
    <w:name w:val="ListLabel 255"/>
    <w:qFormat/>
    <w:rPr>
      <w:rFonts w:cs="Wingdings"/>
    </w:rPr>
  </w:style>
  <w:style w:type="character" w:customStyle="1" w:styleId="ListLabel256">
    <w:name w:val="ListLabel 256"/>
    <w:qFormat/>
    <w:rPr>
      <w:rFonts w:cs="Symbol"/>
    </w:rPr>
  </w:style>
  <w:style w:type="character" w:customStyle="1" w:styleId="ListLabel257">
    <w:name w:val="ListLabel 257"/>
    <w:qFormat/>
    <w:rPr>
      <w:rFonts w:cs="Courier New"/>
    </w:rPr>
  </w:style>
  <w:style w:type="character" w:customStyle="1" w:styleId="ListLabel258">
    <w:name w:val="ListLabel 258"/>
    <w:qFormat/>
    <w:rPr>
      <w:rFonts w:cs="Wingdings"/>
    </w:rPr>
  </w:style>
  <w:style w:type="character" w:customStyle="1" w:styleId="ListLabel259">
    <w:name w:val="ListLabel 259"/>
    <w:qFormat/>
    <w:rPr>
      <w:rFonts w:cs="Symbol"/>
    </w:rPr>
  </w:style>
  <w:style w:type="character" w:customStyle="1" w:styleId="ListLabel260">
    <w:name w:val="ListLabel 260"/>
    <w:qFormat/>
    <w:rPr>
      <w:rFonts w:cs="Courier New"/>
    </w:rPr>
  </w:style>
  <w:style w:type="character" w:customStyle="1" w:styleId="ListLabel261">
    <w:name w:val="ListLabel 261"/>
    <w:qFormat/>
    <w:rPr>
      <w:rFonts w:cs="Wingdings"/>
    </w:rPr>
  </w:style>
  <w:style w:type="character" w:customStyle="1" w:styleId="ListLabel262">
    <w:name w:val="ListLabel 262"/>
    <w:qFormat/>
    <w:rPr>
      <w:rFonts w:cs="Symbol"/>
    </w:rPr>
  </w:style>
  <w:style w:type="character" w:customStyle="1" w:styleId="ListLabel263">
    <w:name w:val="ListLabel 263"/>
    <w:qFormat/>
    <w:rPr>
      <w:rFonts w:cs="Courier New"/>
    </w:rPr>
  </w:style>
  <w:style w:type="character" w:customStyle="1" w:styleId="ListLabel264">
    <w:name w:val="ListLabel 264"/>
    <w:qFormat/>
    <w:rPr>
      <w:rFonts w:cs="Wingdings"/>
    </w:rPr>
  </w:style>
  <w:style w:type="character" w:customStyle="1" w:styleId="ListLabel265">
    <w:name w:val="ListLabel 265"/>
    <w:qFormat/>
    <w:rPr>
      <w:rFonts w:cs="Symbol"/>
    </w:rPr>
  </w:style>
  <w:style w:type="character" w:customStyle="1" w:styleId="ListLabel266">
    <w:name w:val="ListLabel 266"/>
    <w:qFormat/>
    <w:rPr>
      <w:rFonts w:cs="Courier New"/>
    </w:rPr>
  </w:style>
  <w:style w:type="character" w:customStyle="1" w:styleId="ListLabel267">
    <w:name w:val="ListLabel 267"/>
    <w:qFormat/>
    <w:rPr>
      <w:rFonts w:cs="Wingdings"/>
    </w:rPr>
  </w:style>
  <w:style w:type="character" w:customStyle="1" w:styleId="ListLabel268">
    <w:name w:val="ListLabel 268"/>
    <w:qFormat/>
    <w:rPr>
      <w:rFonts w:cs="Symbol"/>
    </w:rPr>
  </w:style>
  <w:style w:type="character" w:customStyle="1" w:styleId="ListLabel269">
    <w:name w:val="ListLabel 269"/>
    <w:qFormat/>
    <w:rPr>
      <w:rFonts w:cs="Courier New"/>
    </w:rPr>
  </w:style>
  <w:style w:type="character" w:customStyle="1" w:styleId="ListLabel270">
    <w:name w:val="ListLabel 270"/>
    <w:qFormat/>
    <w:rPr>
      <w:rFonts w:cs="Wingdings"/>
    </w:rPr>
  </w:style>
  <w:style w:type="paragraph" w:customStyle="1" w:styleId="Heading">
    <w:name w:val="Heading"/>
    <w:basedOn w:val="Standard"/>
    <w:next w:val="Textkrper"/>
    <w:qFormat/>
    <w:pPr>
      <w:keepNext/>
      <w:spacing w:before="240"/>
    </w:pPr>
    <w:rPr>
      <w:rFonts w:ascii="Liberation Sans" w:eastAsia="Noto Sans CJK SC Regular" w:hAnsi="Liberation Sans" w:cs="FreeSans"/>
      <w:sz w:val="28"/>
      <w:szCs w:val="28"/>
    </w:rPr>
  </w:style>
  <w:style w:type="paragraph" w:styleId="Textkrper">
    <w:name w:val="Body Text"/>
    <w:basedOn w:val="Standard"/>
  </w:style>
  <w:style w:type="paragraph" w:styleId="Liste">
    <w:name w:val="List"/>
    <w:basedOn w:val="Standard"/>
    <w:pPr>
      <w:ind w:left="568" w:hanging="284"/>
    </w:pPr>
  </w:style>
  <w:style w:type="paragraph" w:styleId="Beschriftung">
    <w:name w:val="caption"/>
    <w:basedOn w:val="Standard"/>
    <w:qFormat/>
    <w:pPr>
      <w:suppressLineNumbers/>
      <w:spacing w:before="120"/>
    </w:pPr>
    <w:rPr>
      <w:rFonts w:cs="FreeSans"/>
      <w:i/>
      <w:iCs/>
      <w:sz w:val="24"/>
      <w:szCs w:val="24"/>
    </w:rPr>
  </w:style>
  <w:style w:type="paragraph" w:customStyle="1" w:styleId="Index">
    <w:name w:val="Index"/>
    <w:basedOn w:val="Standard"/>
    <w:qFormat/>
    <w:pPr>
      <w:suppressLineNumbers/>
    </w:pPr>
    <w:rPr>
      <w:rFonts w:cs="FreeSans"/>
    </w:rPr>
  </w:style>
  <w:style w:type="paragraph" w:styleId="Verzeichnis1">
    <w:name w:val="toc 1"/>
    <w:basedOn w:val="Index"/>
    <w:pPr>
      <w:keepNext/>
      <w:keepLines/>
      <w:widowControl w:val="0"/>
      <w:tabs>
        <w:tab w:val="left" w:pos="1701"/>
      </w:tabs>
      <w:spacing w:before="120"/>
      <w:ind w:left="1701" w:hanging="1701"/>
      <w:jc w:val="left"/>
    </w:pPr>
    <w:rPr>
      <w:rFonts w:cs="Arial"/>
      <w:b/>
      <w:szCs w:val="22"/>
      <w:lang w:val="en-US"/>
    </w:rPr>
  </w:style>
  <w:style w:type="paragraph" w:styleId="Verzeichnis8">
    <w:name w:val="toc 8"/>
    <w:basedOn w:val="Verzeichnis1"/>
    <w:pPr>
      <w:spacing w:before="180"/>
      <w:ind w:left="2693" w:hanging="2693"/>
    </w:pPr>
    <w:rPr>
      <w:b w:val="0"/>
      <w:bCs/>
    </w:rPr>
  </w:style>
  <w:style w:type="paragraph" w:customStyle="1" w:styleId="Figure">
    <w:name w:val="Figure"/>
    <w:basedOn w:val="Standard"/>
    <w:qFormat/>
    <w:pPr>
      <w:keepNext/>
      <w:keepLines/>
      <w:spacing w:before="180"/>
      <w:jc w:val="center"/>
    </w:pPr>
  </w:style>
  <w:style w:type="paragraph" w:customStyle="1" w:styleId="WW-Caption">
    <w:name w:val="WW-Caption"/>
    <w:basedOn w:val="Standard"/>
    <w:qFormat/>
    <w:pPr>
      <w:spacing w:after="240"/>
      <w:jc w:val="center"/>
    </w:pPr>
    <w:rPr>
      <w:b/>
      <w:bCs/>
    </w:rPr>
  </w:style>
  <w:style w:type="paragraph" w:styleId="Verzeichnis2">
    <w:name w:val="toc 2"/>
    <w:basedOn w:val="Verzeichnis1"/>
    <w:pPr>
      <w:spacing w:before="0"/>
      <w:ind w:left="851" w:hanging="851"/>
    </w:pPr>
    <w:rPr>
      <w:szCs w:val="20"/>
    </w:rPr>
  </w:style>
  <w:style w:type="paragraph" w:styleId="Verzeichnis3">
    <w:name w:val="toc 3"/>
    <w:basedOn w:val="Verzeichnis2"/>
    <w:pPr>
      <w:ind w:left="1134" w:hanging="1134"/>
    </w:pPr>
  </w:style>
  <w:style w:type="paragraph" w:styleId="Verzeichnis4">
    <w:name w:val="toc 4"/>
    <w:basedOn w:val="Verzeichnis3"/>
    <w:pPr>
      <w:ind w:left="1418" w:hanging="1418"/>
    </w:pPr>
  </w:style>
  <w:style w:type="paragraph" w:styleId="Verzeichnis5">
    <w:name w:val="toc 5"/>
    <w:basedOn w:val="Verzeichnis4"/>
    <w:pPr>
      <w:tabs>
        <w:tab w:val="right" w:pos="1701"/>
      </w:tabs>
      <w:ind w:left="1701" w:hanging="1701"/>
    </w:pPr>
  </w:style>
  <w:style w:type="paragraph" w:styleId="Index1">
    <w:name w:val="index 1"/>
    <w:basedOn w:val="Standard"/>
    <w:qFormat/>
    <w:pPr>
      <w:keepLines/>
      <w:spacing w:after="0"/>
    </w:pPr>
  </w:style>
  <w:style w:type="paragraph" w:styleId="Index2">
    <w:name w:val="index 2"/>
    <w:basedOn w:val="Index1"/>
    <w:qFormat/>
    <w:pPr>
      <w:ind w:left="284"/>
    </w:pPr>
  </w:style>
  <w:style w:type="paragraph" w:customStyle="1" w:styleId="DocumentMap1">
    <w:name w:val="Document Map1"/>
    <w:basedOn w:val="Standard"/>
    <w:qFormat/>
    <w:pPr>
      <w:shd w:val="clear" w:color="auto" w:fill="000080"/>
    </w:pPr>
    <w:rPr>
      <w:rFonts w:ascii="Tahoma" w:hAnsi="Tahoma" w:cs="Tahoma"/>
    </w:rPr>
  </w:style>
  <w:style w:type="paragraph" w:customStyle="1" w:styleId="ListNumber1">
    <w:name w:val="List Number1"/>
    <w:basedOn w:val="Liste"/>
    <w:qFormat/>
  </w:style>
  <w:style w:type="paragraph" w:customStyle="1" w:styleId="ListNumber21">
    <w:name w:val="List Number 21"/>
    <w:basedOn w:val="ListNumber1"/>
    <w:qFormat/>
    <w:pPr>
      <w:ind w:left="851"/>
    </w:pPr>
  </w:style>
  <w:style w:type="paragraph" w:styleId="Kopfzeile">
    <w:name w:val="header"/>
    <w:basedOn w:val="Standard"/>
    <w:pPr>
      <w:widowControl w:val="0"/>
      <w:jc w:val="left"/>
    </w:pPr>
    <w:rPr>
      <w:b/>
      <w:bCs/>
      <w:sz w:val="18"/>
      <w:szCs w:val="18"/>
      <w:lang w:val="en-US"/>
    </w:rPr>
  </w:style>
  <w:style w:type="paragraph" w:styleId="Funotentext">
    <w:name w:val="footnote text"/>
    <w:basedOn w:val="Standard"/>
    <w:qFormat/>
    <w:pPr>
      <w:keepLines/>
      <w:spacing w:after="0"/>
      <w:ind w:left="454" w:hanging="454"/>
    </w:pPr>
    <w:rPr>
      <w:sz w:val="16"/>
      <w:szCs w:val="16"/>
    </w:rPr>
  </w:style>
  <w:style w:type="paragraph" w:customStyle="1" w:styleId="3GPPHeader">
    <w:name w:val="3GPP_Header"/>
    <w:basedOn w:val="Standard"/>
    <w:qFormat/>
    <w:pPr>
      <w:tabs>
        <w:tab w:val="left" w:pos="1701"/>
        <w:tab w:val="right" w:pos="9639"/>
      </w:tabs>
      <w:spacing w:after="240"/>
    </w:pPr>
    <w:rPr>
      <w:b/>
      <w:sz w:val="24"/>
    </w:rPr>
  </w:style>
  <w:style w:type="paragraph" w:styleId="Verzeichnis9">
    <w:name w:val="toc 9"/>
    <w:basedOn w:val="Verzeichnis8"/>
    <w:pPr>
      <w:ind w:left="1418" w:hanging="1418"/>
    </w:pPr>
  </w:style>
  <w:style w:type="paragraph" w:styleId="Verzeichnis6">
    <w:name w:val="toc 6"/>
    <w:basedOn w:val="Verzeichnis5"/>
    <w:pPr>
      <w:ind w:left="1985" w:hanging="1985"/>
    </w:pPr>
  </w:style>
  <w:style w:type="paragraph" w:styleId="Verzeichnis7">
    <w:name w:val="toc 7"/>
    <w:basedOn w:val="Verzeichnis6"/>
    <w:pPr>
      <w:ind w:left="2268" w:hanging="2268"/>
    </w:pPr>
  </w:style>
  <w:style w:type="paragraph" w:customStyle="1" w:styleId="ListBullet1">
    <w:name w:val="List Bullet1"/>
    <w:basedOn w:val="Textkrper"/>
    <w:qFormat/>
  </w:style>
  <w:style w:type="paragraph" w:customStyle="1" w:styleId="ListBullet21">
    <w:name w:val="List Bullet 21"/>
    <w:basedOn w:val="ListBullet1"/>
    <w:qFormat/>
  </w:style>
  <w:style w:type="paragraph" w:customStyle="1" w:styleId="ListBullet31">
    <w:name w:val="List Bullet 31"/>
    <w:basedOn w:val="ListBullet21"/>
    <w:qFormat/>
  </w:style>
  <w:style w:type="paragraph" w:customStyle="1" w:styleId="EQ">
    <w:name w:val="EQ"/>
    <w:basedOn w:val="Standard"/>
    <w:qFormat/>
    <w:pPr>
      <w:keepLines/>
      <w:tabs>
        <w:tab w:val="center" w:pos="4536"/>
        <w:tab w:val="right" w:pos="9072"/>
      </w:tabs>
      <w:spacing w:after="180"/>
      <w:jc w:val="left"/>
    </w:pPr>
    <w:rPr>
      <w:lang w:eastAsia="en-GB"/>
    </w:rPr>
  </w:style>
  <w:style w:type="paragraph" w:customStyle="1" w:styleId="WW-ListBullet2">
    <w:name w:val="WW-List Bullet 2"/>
    <w:basedOn w:val="Liste"/>
    <w:qFormat/>
    <w:pPr>
      <w:ind w:left="851"/>
    </w:pPr>
  </w:style>
  <w:style w:type="paragraph" w:customStyle="1" w:styleId="WW-ListBullet3">
    <w:name w:val="WW-List Bullet 3"/>
    <w:basedOn w:val="WW-ListBullet2"/>
    <w:qFormat/>
    <w:pPr>
      <w:ind w:left="1135"/>
    </w:pPr>
  </w:style>
  <w:style w:type="paragraph" w:customStyle="1" w:styleId="ListBullet41">
    <w:name w:val="List Bullet 41"/>
    <w:basedOn w:val="WW-ListBullet3"/>
    <w:qFormat/>
    <w:pPr>
      <w:ind w:left="1418"/>
    </w:pPr>
  </w:style>
  <w:style w:type="paragraph" w:customStyle="1" w:styleId="ListBullet51">
    <w:name w:val="List Bullet 51"/>
    <w:basedOn w:val="ListBullet41"/>
    <w:qFormat/>
    <w:pPr>
      <w:ind w:left="1702"/>
    </w:pPr>
  </w:style>
  <w:style w:type="paragraph" w:customStyle="1" w:styleId="EditorsNote">
    <w:name w:val="Editor's Note"/>
    <w:basedOn w:val="Standard"/>
    <w:qFormat/>
    <w:pPr>
      <w:keepLines/>
      <w:spacing w:after="180"/>
      <w:ind w:left="1135" w:hanging="851"/>
      <w:jc w:val="left"/>
    </w:pPr>
    <w:rPr>
      <w:color w:val="FF0000"/>
    </w:rPr>
  </w:style>
  <w:style w:type="paragraph" w:customStyle="1" w:styleId="WW-ListBullet4">
    <w:name w:val="WW-List Bullet 4"/>
    <w:basedOn w:val="ListBullet31"/>
    <w:qFormat/>
  </w:style>
  <w:style w:type="paragraph" w:customStyle="1" w:styleId="WW-ListBullet5">
    <w:name w:val="WW-List Bullet 5"/>
    <w:basedOn w:val="WW-ListBullet4"/>
    <w:qFormat/>
  </w:style>
  <w:style w:type="paragraph" w:styleId="Fuzeile">
    <w:name w:val="footer"/>
    <w:basedOn w:val="Kopfzeile"/>
    <w:pPr>
      <w:jc w:val="center"/>
    </w:pPr>
    <w:rPr>
      <w:i/>
      <w:iCs/>
    </w:rPr>
  </w:style>
  <w:style w:type="paragraph" w:customStyle="1" w:styleId="Reference">
    <w:name w:val="Reference"/>
    <w:basedOn w:val="Standard"/>
    <w:qFormat/>
  </w:style>
  <w:style w:type="paragraph" w:customStyle="1" w:styleId="BalloonText1">
    <w:name w:val="Balloon Text1"/>
    <w:basedOn w:val="Standard"/>
    <w:qFormat/>
    <w:rPr>
      <w:rFonts w:ascii="Tahoma" w:hAnsi="Tahoma" w:cs="Tahoma"/>
      <w:sz w:val="16"/>
      <w:szCs w:val="16"/>
    </w:rPr>
  </w:style>
  <w:style w:type="paragraph" w:customStyle="1" w:styleId="CommentText1">
    <w:name w:val="Comment Text1"/>
    <w:basedOn w:val="Standard"/>
    <w:qFormat/>
  </w:style>
  <w:style w:type="paragraph" w:customStyle="1" w:styleId="CommentSubject1">
    <w:name w:val="Comment Subject1"/>
    <w:basedOn w:val="CommentText1"/>
    <w:qFormat/>
    <w:rPr>
      <w:b/>
      <w:bCs/>
    </w:rPr>
  </w:style>
  <w:style w:type="paragraph" w:customStyle="1" w:styleId="B1">
    <w:name w:val="B1"/>
    <w:basedOn w:val="Liste"/>
    <w:qFormat/>
    <w:pPr>
      <w:spacing w:after="180"/>
      <w:jc w:val="left"/>
    </w:pPr>
  </w:style>
  <w:style w:type="paragraph" w:customStyle="1" w:styleId="B2">
    <w:name w:val="B2"/>
    <w:basedOn w:val="WW-ListBullet2"/>
    <w:qFormat/>
    <w:pPr>
      <w:spacing w:after="180"/>
      <w:jc w:val="left"/>
    </w:pPr>
  </w:style>
  <w:style w:type="paragraph" w:customStyle="1" w:styleId="B3">
    <w:name w:val="B3"/>
    <w:basedOn w:val="WW-ListBullet3"/>
    <w:qFormat/>
    <w:pPr>
      <w:spacing w:after="180"/>
      <w:jc w:val="left"/>
    </w:pPr>
  </w:style>
  <w:style w:type="paragraph" w:customStyle="1" w:styleId="B4">
    <w:name w:val="B4"/>
    <w:basedOn w:val="ListBullet41"/>
    <w:qFormat/>
    <w:pPr>
      <w:spacing w:after="180"/>
      <w:jc w:val="left"/>
    </w:pPr>
  </w:style>
  <w:style w:type="paragraph" w:customStyle="1" w:styleId="Proposal">
    <w:name w:val="Proposal"/>
    <w:basedOn w:val="Standard"/>
    <w:qFormat/>
    <w:pPr>
      <w:tabs>
        <w:tab w:val="left" w:pos="1701"/>
      </w:tabs>
    </w:pPr>
    <w:rPr>
      <w:b/>
      <w:bCs/>
    </w:rPr>
  </w:style>
  <w:style w:type="paragraph" w:customStyle="1" w:styleId="B5">
    <w:name w:val="B5"/>
    <w:basedOn w:val="ListBullet51"/>
    <w:qFormat/>
    <w:pPr>
      <w:spacing w:after="180"/>
      <w:jc w:val="left"/>
    </w:pPr>
  </w:style>
  <w:style w:type="paragraph" w:customStyle="1" w:styleId="EX">
    <w:name w:val="EX"/>
    <w:basedOn w:val="Standard"/>
    <w:qFormat/>
    <w:pPr>
      <w:keepLines/>
      <w:spacing w:after="180"/>
      <w:ind w:left="1702" w:hanging="1418"/>
      <w:jc w:val="left"/>
    </w:pPr>
  </w:style>
  <w:style w:type="paragraph" w:customStyle="1" w:styleId="EW">
    <w:name w:val="EW"/>
    <w:basedOn w:val="EX"/>
    <w:qFormat/>
    <w:pPr>
      <w:spacing w:after="0"/>
    </w:pPr>
  </w:style>
  <w:style w:type="paragraph" w:customStyle="1" w:styleId="TAL">
    <w:name w:val="TAL"/>
    <w:basedOn w:val="Standard"/>
    <w:qFormat/>
    <w:pPr>
      <w:keepNext/>
      <w:keepLines/>
      <w:spacing w:after="0"/>
      <w:jc w:val="left"/>
    </w:pPr>
    <w:rPr>
      <w:sz w:val="18"/>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Standard"/>
    <w:qFormat/>
    <w:pPr>
      <w:keepNext/>
      <w:keepLines/>
      <w:spacing w:before="60" w:after="180"/>
      <w:jc w:val="center"/>
    </w:pPr>
    <w:rPr>
      <w:b/>
    </w:rPr>
  </w:style>
  <w:style w:type="paragraph" w:customStyle="1" w:styleId="TF">
    <w:name w:val="TF"/>
    <w:basedOn w:val="TH"/>
    <w:qFormat/>
    <w:pPr>
      <w:spacing w:before="0" w:after="240"/>
    </w:pPr>
  </w:style>
  <w:style w:type="paragraph" w:customStyle="1" w:styleId="TT">
    <w:name w:val="TT"/>
    <w:basedOn w:val="berschrift1"/>
    <w:qFormat/>
    <w:pPr>
      <w:numPr>
        <w:numId w:val="0"/>
      </w:numPr>
      <w:ind w:left="1134" w:hanging="1134"/>
    </w:pPr>
    <w:rPr>
      <w:rFonts w:cs="Times New Roman"/>
      <w:szCs w:val="20"/>
    </w:rPr>
  </w:style>
  <w:style w:type="paragraph" w:customStyle="1" w:styleId="ZA">
    <w:name w:val="ZA"/>
    <w:qFormat/>
    <w:pPr>
      <w:widowControl w:val="0"/>
      <w:pBdr>
        <w:bottom w:val="single" w:sz="12" w:space="1" w:color="000001"/>
      </w:pBdr>
      <w:suppressAutoHyphens/>
      <w:overflowPunct w:val="0"/>
      <w:jc w:val="right"/>
      <w:textAlignment w:val="baseline"/>
    </w:pPr>
    <w:rPr>
      <w:rFonts w:ascii="Arial" w:hAnsi="Arial" w:cs="Arial"/>
      <w:color w:val="00000A"/>
      <w:sz w:val="40"/>
      <w:lang w:val="en-US"/>
    </w:rPr>
  </w:style>
  <w:style w:type="paragraph" w:customStyle="1" w:styleId="ZB">
    <w:name w:val="ZB"/>
    <w:qFormat/>
    <w:pPr>
      <w:widowControl w:val="0"/>
      <w:suppressAutoHyphens/>
      <w:overflowPunct w:val="0"/>
      <w:ind w:right="28"/>
      <w:jc w:val="right"/>
      <w:textAlignment w:val="baseline"/>
    </w:pPr>
    <w:rPr>
      <w:rFonts w:ascii="Arial" w:hAnsi="Arial" w:cs="Arial"/>
      <w:i/>
      <w:color w:val="00000A"/>
      <w:lang w:val="en-US"/>
    </w:rPr>
  </w:style>
  <w:style w:type="paragraph" w:customStyle="1" w:styleId="ZD">
    <w:name w:val="ZD"/>
    <w:qFormat/>
    <w:pPr>
      <w:widowControl w:val="0"/>
      <w:suppressAutoHyphens/>
      <w:overflowPunct w:val="0"/>
      <w:textAlignment w:val="baseline"/>
    </w:pPr>
    <w:rPr>
      <w:rFonts w:ascii="Arial" w:hAnsi="Arial" w:cs="Arial"/>
      <w:color w:val="00000A"/>
      <w:sz w:val="32"/>
      <w:lang w:val="en-US"/>
    </w:rPr>
  </w:style>
  <w:style w:type="paragraph" w:customStyle="1" w:styleId="ZG">
    <w:name w:val="ZG"/>
    <w:qFormat/>
    <w:pPr>
      <w:widowControl w:val="0"/>
      <w:suppressAutoHyphens/>
      <w:overflowPunct w:val="0"/>
      <w:jc w:val="right"/>
      <w:textAlignment w:val="baseline"/>
    </w:pPr>
    <w:rPr>
      <w:rFonts w:ascii="Arial" w:hAnsi="Arial" w:cs="Arial"/>
      <w:color w:val="00000A"/>
      <w:lang w:val="en-US"/>
    </w:rPr>
  </w:style>
  <w:style w:type="paragraph" w:customStyle="1" w:styleId="ZH">
    <w:name w:val="ZH"/>
    <w:qFormat/>
    <w:pPr>
      <w:widowControl w:val="0"/>
      <w:suppressAutoHyphens/>
      <w:overflowPunct w:val="0"/>
      <w:textAlignment w:val="baseline"/>
    </w:pPr>
    <w:rPr>
      <w:rFonts w:ascii="Arial" w:hAnsi="Arial" w:cs="Arial"/>
      <w:color w:val="00000A"/>
      <w:lang w:val="en-US"/>
    </w:rPr>
  </w:style>
  <w:style w:type="paragraph" w:customStyle="1" w:styleId="ZT">
    <w:name w:val="ZT"/>
    <w:qFormat/>
    <w:pPr>
      <w:widowControl w:val="0"/>
      <w:suppressAutoHyphens/>
      <w:overflowPunct w:val="0"/>
      <w:spacing w:line="240" w:lineRule="atLeast"/>
      <w:jc w:val="right"/>
      <w:textAlignment w:val="baseline"/>
    </w:pPr>
    <w:rPr>
      <w:rFonts w:ascii="Arial" w:hAnsi="Arial" w:cs="Arial"/>
      <w:b/>
      <w:color w:val="00000A"/>
      <w:sz w:val="34"/>
      <w:lang w:eastAsia="zh-CN"/>
    </w:rPr>
  </w:style>
  <w:style w:type="paragraph" w:customStyle="1" w:styleId="ZTD">
    <w:name w:val="ZTD"/>
    <w:basedOn w:val="ZB"/>
    <w:qFormat/>
    <w:rPr>
      <w:i w:val="0"/>
      <w:sz w:val="40"/>
    </w:rPr>
  </w:style>
  <w:style w:type="paragraph" w:customStyle="1" w:styleId="ZU">
    <w:name w:val="ZU"/>
    <w:qFormat/>
    <w:pPr>
      <w:widowControl w:val="0"/>
      <w:pBdr>
        <w:top w:val="single" w:sz="12" w:space="1" w:color="000001"/>
      </w:pBdr>
      <w:suppressAutoHyphens/>
      <w:overflowPunct w:val="0"/>
      <w:jc w:val="right"/>
      <w:textAlignment w:val="baseline"/>
    </w:pPr>
    <w:rPr>
      <w:rFonts w:ascii="Arial" w:hAnsi="Arial" w:cs="Arial"/>
      <w:color w:val="00000A"/>
      <w:lang w:val="en-US"/>
    </w:rPr>
  </w:style>
  <w:style w:type="paragraph" w:customStyle="1" w:styleId="ZV">
    <w:name w:val="ZV"/>
    <w:basedOn w:val="ZU"/>
    <w:qFormat/>
  </w:style>
  <w:style w:type="paragraph" w:customStyle="1" w:styleId="FP">
    <w:name w:val="FP"/>
    <w:basedOn w:val="Standard"/>
    <w:qFormat/>
    <w:pPr>
      <w:spacing w:after="0"/>
      <w:jc w:val="left"/>
    </w:pPr>
  </w:style>
  <w:style w:type="paragraph" w:customStyle="1" w:styleId="Observation">
    <w:name w:val="Observation"/>
    <w:basedOn w:val="Proposal"/>
    <w:qFormat/>
  </w:style>
  <w:style w:type="paragraph" w:customStyle="1" w:styleId="TableofFigures1">
    <w:name w:val="Table of Figures1"/>
    <w:basedOn w:val="Standard"/>
    <w:qFormat/>
    <w:pPr>
      <w:ind w:left="1418" w:hanging="1418"/>
      <w:jc w:val="left"/>
    </w:pPr>
    <w:rPr>
      <w:b/>
    </w:rPr>
  </w:style>
  <w:style w:type="paragraph" w:customStyle="1" w:styleId="NO">
    <w:name w:val="NO"/>
    <w:basedOn w:val="Standard"/>
    <w:qFormat/>
    <w:pPr>
      <w:keepLines/>
      <w:spacing w:after="180"/>
      <w:ind w:left="1135" w:hanging="851"/>
      <w:jc w:val="left"/>
    </w:pPr>
    <w:rPr>
      <w:rFonts w:ascii="Times New Roman" w:eastAsia="Malgun Gothic" w:hAnsi="Times New Roman" w:cs="Times New Roman"/>
      <w:lang w:eastAsia="ko-KR"/>
    </w:rPr>
  </w:style>
  <w:style w:type="paragraph" w:customStyle="1" w:styleId="ZchnZchn">
    <w:name w:val="Zchn Zchn"/>
    <w:qFormat/>
    <w:pPr>
      <w:keepNext/>
      <w:suppressAutoHyphens/>
      <w:overflowPunct w:val="0"/>
      <w:spacing w:before="60" w:after="60"/>
      <w:jc w:val="both"/>
    </w:pPr>
    <w:rPr>
      <w:rFonts w:ascii="Arial" w:eastAsia="SimSun" w:hAnsi="Arial" w:cs="Arial"/>
      <w:color w:val="0000FF"/>
      <w:lang w:val="en-US" w:eastAsia="zh-CN"/>
    </w:rPr>
  </w:style>
  <w:style w:type="paragraph" w:customStyle="1" w:styleId="Revision1">
    <w:name w:val="Revision1"/>
    <w:qFormat/>
    <w:pPr>
      <w:suppressAutoHyphens/>
      <w:overflowPunct w:val="0"/>
    </w:pPr>
    <w:rPr>
      <w:rFonts w:ascii="Arial" w:hAnsi="Arial" w:cs="Arial"/>
      <w:color w:val="00000A"/>
      <w:lang w:eastAsia="zh-CN"/>
    </w:rPr>
  </w:style>
  <w:style w:type="paragraph" w:customStyle="1" w:styleId="ListParagraph1">
    <w:name w:val="List Paragraph1"/>
    <w:basedOn w:val="Standard"/>
    <w:qFormat/>
    <w:pPr>
      <w:ind w:left="720"/>
    </w:pPr>
  </w:style>
  <w:style w:type="paragraph" w:customStyle="1" w:styleId="Doc-text2">
    <w:name w:val="Doc-text2"/>
    <w:basedOn w:val="Standard"/>
    <w:qFormat/>
    <w:pPr>
      <w:tabs>
        <w:tab w:val="left" w:pos="1622"/>
      </w:tabs>
      <w:spacing w:after="0"/>
      <w:ind w:left="1622" w:hanging="363"/>
      <w:jc w:val="left"/>
      <w:textAlignment w:val="auto"/>
    </w:pPr>
    <w:rPr>
      <w:rFonts w:eastAsia="MS Mincho"/>
      <w:szCs w:val="24"/>
    </w:rPr>
  </w:style>
  <w:style w:type="paragraph" w:customStyle="1" w:styleId="Prop">
    <w:name w:val="Prop"/>
    <w:basedOn w:val="Standard"/>
    <w:qFormat/>
    <w:pPr>
      <w:tabs>
        <w:tab w:val="left" w:pos="1170"/>
      </w:tabs>
      <w:ind w:left="1170" w:hanging="1170"/>
    </w:pPr>
    <w:rPr>
      <w:rFonts w:ascii="Times New Roman" w:eastAsia="SimSun" w:hAnsi="Times New Roman" w:cs="Times New Roman"/>
      <w:b/>
      <w:lang w:val="en-US"/>
    </w:rPr>
  </w:style>
  <w:style w:type="paragraph" w:customStyle="1" w:styleId="EmailDiscussion">
    <w:name w:val="EmailDiscussion"/>
    <w:basedOn w:val="Standard"/>
    <w:qFormat/>
    <w:pPr>
      <w:suppressAutoHyphens w:val="0"/>
      <w:spacing w:after="180"/>
      <w:jc w:val="left"/>
    </w:pPr>
    <w:rPr>
      <w:rFonts w:eastAsia="MS Mincho" w:cs="Times New Roman"/>
      <w:b/>
      <w:szCs w:val="24"/>
      <w:lang w:val="x-none"/>
    </w:rPr>
  </w:style>
  <w:style w:type="paragraph" w:customStyle="1" w:styleId="EmailDiscussion2">
    <w:name w:val="EmailDiscussion2"/>
    <w:basedOn w:val="Doc-text2"/>
    <w:qFormat/>
    <w:pPr>
      <w:suppressAutoHyphens w:val="0"/>
      <w:overflowPunct/>
      <w:textAlignment w:val="baseline"/>
    </w:pPr>
    <w:rPr>
      <w:rFonts w:eastAsia="Times New Roman" w:cs="Times New Roman"/>
      <w:szCs w:val="20"/>
      <w:lang w:val="x-none"/>
    </w:rPr>
  </w:style>
  <w:style w:type="paragraph" w:customStyle="1" w:styleId="TableContents">
    <w:name w:val="Table Contents"/>
    <w:basedOn w:val="Standard"/>
    <w:qFormat/>
    <w:pPr>
      <w:suppressLineNumbers/>
    </w:pPr>
  </w:style>
  <w:style w:type="paragraph" w:customStyle="1" w:styleId="TableHeading">
    <w:name w:val="Table Heading"/>
    <w:basedOn w:val="TableContents"/>
    <w:qFormat/>
    <w:pPr>
      <w:jc w:val="center"/>
    </w:pPr>
    <w:rPr>
      <w:b/>
      <w:bCs/>
    </w:rPr>
  </w:style>
  <w:style w:type="paragraph" w:styleId="Kommentartext">
    <w:name w:val="annotation text"/>
    <w:basedOn w:val="Standard"/>
    <w:qFormat/>
  </w:style>
  <w:style w:type="paragraph" w:styleId="Kommentarthema">
    <w:name w:val="annotation subject"/>
    <w:basedOn w:val="Kommentartext"/>
    <w:qFormat/>
    <w:rPr>
      <w:b/>
      <w:bCs/>
    </w:rPr>
  </w:style>
  <w:style w:type="paragraph" w:styleId="Sprechblasentext">
    <w:name w:val="Balloon Text"/>
    <w:basedOn w:val="Standard"/>
    <w:qFormat/>
    <w:pPr>
      <w:spacing w:after="0"/>
    </w:pPr>
    <w:rPr>
      <w:rFonts w:ascii="Segoe UI" w:hAnsi="Segoe UI" w:cs="Segoe UI"/>
      <w:sz w:val="18"/>
      <w:szCs w:val="18"/>
    </w:rPr>
  </w:style>
  <w:style w:type="paragraph" w:styleId="Listenabsatz">
    <w:name w:val="List Paragraph"/>
    <w:basedOn w:val="Standard"/>
    <w:qFormat/>
    <w:pPr>
      <w:ind w:left="720"/>
    </w:pPr>
  </w:style>
  <w:style w:type="paragraph" w:customStyle="1" w:styleId="H6">
    <w:name w:val="H6"/>
    <w:basedOn w:val="berschrift5"/>
    <w:qFormat/>
    <w:pPr>
      <w:numPr>
        <w:ilvl w:val="0"/>
        <w:numId w:val="0"/>
      </w:numPr>
      <w:suppressAutoHyphens w:val="0"/>
      <w:ind w:left="1985" w:hanging="1985"/>
    </w:pPr>
    <w:rPr>
      <w:rFonts w:cs="Times New Roman"/>
      <w:sz w:val="20"/>
      <w:szCs w:val="20"/>
      <w:lang w:val="x-none" w:eastAsia="x-none"/>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color w:val="00000A"/>
      <w:sz w:val="16"/>
    </w:rPr>
  </w:style>
  <w:style w:type="paragraph" w:customStyle="1" w:styleId="LD">
    <w:name w:val="LD"/>
    <w:qFormat/>
    <w:pPr>
      <w:keepNext/>
      <w:keepLines/>
      <w:overflowPunct w:val="0"/>
      <w:spacing w:line="180" w:lineRule="exact"/>
      <w:textAlignment w:val="baseline"/>
    </w:pPr>
    <w:rPr>
      <w:rFonts w:ascii="Courier New" w:hAnsi="Courier New"/>
      <w:color w:val="00000A"/>
      <w:lang w:eastAsia="ja-JP"/>
    </w:rPr>
  </w:style>
  <w:style w:type="paragraph" w:styleId="Aufzhlungszeichen3">
    <w:name w:val="List Bullet 3"/>
    <w:qFormat/>
    <w:pPr>
      <w:widowControl w:val="0"/>
      <w:overflowPunct w:val="0"/>
      <w:ind w:left="1135"/>
    </w:pPr>
    <w:rPr>
      <w:color w:val="00000A"/>
    </w:rPr>
  </w:style>
  <w:style w:type="paragraph" w:styleId="Aufzhlungszeichen4">
    <w:name w:val="List Bullet 4"/>
    <w:basedOn w:val="Aufzhlungszeichen3"/>
    <w:qFormat/>
    <w:pPr>
      <w:ind w:left="1418"/>
    </w:pPr>
  </w:style>
  <w:style w:type="paragraph" w:styleId="Aufzhlungszeichen5">
    <w:name w:val="List Bullet 5"/>
    <w:basedOn w:val="Aufzhlungszeichen4"/>
    <w:qFormat/>
    <w:pPr>
      <w:ind w:left="1702"/>
    </w:pPr>
  </w:style>
  <w:style w:type="paragraph" w:styleId="Listennummer">
    <w:name w:val="List Number"/>
    <w:basedOn w:val="Liste"/>
    <w:qFormat/>
    <w:pPr>
      <w:suppressAutoHyphens w:val="0"/>
      <w:spacing w:after="180"/>
      <w:jc w:val="left"/>
    </w:pPr>
    <w:rPr>
      <w:rFonts w:ascii="Times New Roman" w:hAnsi="Times New Roman" w:cs="Times New Roman"/>
      <w:lang w:eastAsia="ja-JP"/>
    </w:rPr>
  </w:style>
  <w:style w:type="paragraph" w:styleId="Listennummer2">
    <w:name w:val="List Number 2"/>
    <w:qFormat/>
    <w:pPr>
      <w:widowControl w:val="0"/>
      <w:overflowPunct w:val="0"/>
      <w:ind w:left="851"/>
    </w:pPr>
    <w:rPr>
      <w:color w:val="00000A"/>
    </w:rPr>
  </w:style>
  <w:style w:type="paragraph" w:styleId="Aufzhlungszeichen2">
    <w:name w:val="List Bullet 2"/>
    <w:qFormat/>
    <w:pPr>
      <w:widowControl w:val="0"/>
      <w:overflowPunct w:val="0"/>
      <w:ind w:left="851"/>
    </w:pPr>
    <w:rPr>
      <w:color w:val="00000A"/>
    </w:rPr>
  </w:style>
  <w:style w:type="paragraph" w:styleId="Aufzhlungszeichen">
    <w:name w:val="List Bullet"/>
    <w:basedOn w:val="Liste"/>
    <w:qFormat/>
    <w:pPr>
      <w:suppressAutoHyphens w:val="0"/>
      <w:spacing w:after="180"/>
      <w:jc w:val="left"/>
    </w:pPr>
    <w:rPr>
      <w:rFonts w:ascii="Times New Roman" w:hAnsi="Times New Roman" w:cs="Times New Roman"/>
      <w:lang w:eastAsia="ja-JP"/>
    </w:rPr>
  </w:style>
  <w:style w:type="paragraph" w:customStyle="1" w:styleId="B6">
    <w:name w:val="B6"/>
    <w:basedOn w:val="B5"/>
    <w:qFormat/>
    <w:pPr>
      <w:suppressAutoHyphens w:val="0"/>
      <w:ind w:left="1985"/>
    </w:pPr>
    <w:rPr>
      <w:rFonts w:ascii="Times New Roman" w:hAnsi="Times New Roman" w:cs="Times New Roman"/>
      <w:lang w:val="x-none" w:eastAsia="ja-JP"/>
    </w:rPr>
  </w:style>
  <w:style w:type="paragraph" w:customStyle="1" w:styleId="B7">
    <w:name w:val="B7"/>
    <w:basedOn w:val="B6"/>
    <w:qFormat/>
    <w:pPr>
      <w:ind w:left="2269"/>
    </w:pPr>
  </w:style>
  <w:style w:type="paragraph" w:styleId="berarbeitung">
    <w:name w:val="Revision"/>
    <w:qFormat/>
    <w:pPr>
      <w:overflowPunct w:val="0"/>
    </w:pPr>
    <w:rPr>
      <w:rFonts w:eastAsia="Batang"/>
      <w:color w:val="00000A"/>
      <w:lang w:eastAsia="en-US"/>
    </w:rPr>
  </w:style>
  <w:style w:type="paragraph" w:customStyle="1" w:styleId="B8">
    <w:name w:val="B8"/>
    <w:basedOn w:val="B7"/>
    <w:qFormat/>
    <w:pPr>
      <w:ind w:left="2552"/>
    </w:pPr>
  </w:style>
  <w:style w:type="paragraph" w:customStyle="1" w:styleId="NW">
    <w:name w:val="NW"/>
    <w:basedOn w:val="NO"/>
    <w:qFormat/>
    <w:pPr>
      <w:suppressAutoHyphens w:val="0"/>
      <w:spacing w:after="0"/>
    </w:pPr>
    <w:rPr>
      <w:rFonts w:eastAsia="Times New Roman"/>
      <w:lang w:val="x-none" w:eastAsia="x-none"/>
    </w:rPr>
  </w:style>
  <w:style w:type="paragraph" w:customStyle="1" w:styleId="NF">
    <w:name w:val="NF"/>
    <w:basedOn w:val="NO"/>
    <w:qFormat/>
    <w:pPr>
      <w:keepNext/>
      <w:suppressAutoHyphens w:val="0"/>
      <w:spacing w:after="0"/>
    </w:pPr>
    <w:rPr>
      <w:rFonts w:ascii="Arial" w:eastAsia="Times New Roman" w:hAnsi="Arial"/>
      <w:sz w:val="18"/>
      <w:lang w:val="x-none" w:eastAsia="x-none"/>
    </w:rPr>
  </w:style>
  <w:style w:type="paragraph" w:customStyle="1" w:styleId="B9">
    <w:name w:val="B9"/>
    <w:basedOn w:val="B8"/>
    <w:qFormat/>
    <w:pPr>
      <w:ind w:left="2836"/>
    </w:pPr>
  </w:style>
  <w:style w:type="paragraph" w:customStyle="1" w:styleId="Note-Boxed">
    <w:name w:val="Note - Boxed"/>
    <w:basedOn w:val="Standard"/>
    <w:qFormat/>
    <w:pPr>
      <w:pBdr>
        <w:top w:val="single" w:sz="8" w:space="1" w:color="00000A" w:shadow="1"/>
        <w:left w:val="single" w:sz="8" w:space="4" w:color="00000A" w:shadow="1"/>
        <w:bottom w:val="single" w:sz="8" w:space="1" w:color="00000A" w:shadow="1"/>
        <w:right w:val="single" w:sz="8" w:space="4" w:color="00000A" w:shadow="1"/>
      </w:pBdr>
      <w:shd w:val="clear" w:color="auto" w:fill="FFFF99"/>
      <w:tabs>
        <w:tab w:val="left" w:pos="1080"/>
      </w:tabs>
      <w:suppressAutoHyphens w:val="0"/>
      <w:spacing w:before="100" w:after="100" w:line="252" w:lineRule="auto"/>
      <w:ind w:left="720" w:hanging="720"/>
      <w:jc w:val="left"/>
      <w:textAlignment w:val="auto"/>
    </w:pPr>
    <w:rPr>
      <w:rFonts w:ascii="Monotype Sorts" w:eastAsia="Calibri" w:hAnsi="Monotype Sorts" w:cs="Monotype Sorts"/>
      <w:bCs/>
      <w:i/>
      <w:sz w:val="22"/>
      <w:szCs w:val="22"/>
      <w:lang w:val="sv-SE" w:eastAsia="ko-KR"/>
    </w:rPr>
  </w:style>
  <w:style w:type="paragraph" w:customStyle="1" w:styleId="textintend1">
    <w:name w:val="text intend 1"/>
    <w:basedOn w:val="Standard"/>
    <w:qFormat/>
    <w:pPr>
      <w:suppressAutoHyphens w:val="0"/>
    </w:pPr>
    <w:rPr>
      <w:rFonts w:ascii="Times New Roman" w:eastAsia="MS Mincho" w:hAnsi="Times New Roman" w:cs="Times New Roman"/>
      <w:sz w:val="24"/>
      <w:lang w:val="en-US" w:eastAsia="en-GB"/>
    </w:rPr>
  </w:style>
  <w:style w:type="paragraph" w:customStyle="1" w:styleId="FrameContents">
    <w:name w:val="Frame Contents"/>
    <w:basedOn w:val="Standard"/>
    <w:qFormat/>
  </w:style>
  <w:style w:type="numbering" w:customStyle="1" w:styleId="NoList1">
    <w:name w:val="No List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9D1B3-562B-4ACF-B013-68D0C7839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1970</Words>
  <Characters>11235</Characters>
  <Application>Microsoft Office Word</Application>
  <DocSecurity>0</DocSecurity>
  <Lines>93</Lines>
  <Paragraphs>26</Paragraphs>
  <ScaleCrop>false</ScaleCrop>
  <Company/>
  <LinksUpToDate>false</LinksUpToDate>
  <CharactersWithSpaces>13179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Technology</dc:subject>
  <dc:creator>Christiane Dietrich</dc:creator>
  <dc:description/>
  <cp:lastModifiedBy>Nomor Research</cp:lastModifiedBy>
  <cp:revision>12</cp:revision>
  <cp:lastPrinted>2018-08-27T12:51:00Z</cp:lastPrinted>
  <dcterms:created xsi:type="dcterms:W3CDTF">2020-10-05T15:02:00Z</dcterms:created>
  <dcterms:modified xsi:type="dcterms:W3CDTF">2020-10-22T07:15:00Z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egory">
    <vt:lpwstr/>
  </property>
  <property fmtid="{D5CDD505-2E9C-101B-9397-08002B2CF9AE}" pid="4" name="Client Label Value">
    <vt:lpwstr/>
  </property>
  <property fmtid="{D5CDD505-2E9C-101B-9397-08002B2CF9AE}" pid="5" name="Comments">
    <vt:lpwstr/>
  </property>
  <property fmtid="{D5CDD505-2E9C-101B-9397-08002B2CF9AE}" pid="6" name="Comments0">
    <vt:lpwstr/>
  </property>
  <property fmtid="{D5CDD505-2E9C-101B-9397-08002B2CF9AE}" pid="7" name="ContentType">
    <vt:lpwstr>Document</vt:lpwstr>
  </property>
  <property fmtid="{D5CDD505-2E9C-101B-9397-08002B2CF9AE}" pid="8" name="ContentTypeId">
    <vt:lpwstr>0x01010072A49D7261E11D4A954724BFC54A44BD</vt:lpwstr>
  </property>
  <property fmtid="{D5CDD505-2E9C-101B-9397-08002B2CF9AE}" pid="9" name="Date">
    <vt:filetime>2010-01-07T23:00:00Z</vt:filetime>
  </property>
  <property fmtid="{D5CDD505-2E9C-101B-9397-08002B2CF9AE}" pid="10" name="Date Accessed">
    <vt:lpwstr/>
  </property>
  <property fmtid="{D5CDD505-2E9C-101B-9397-08002B2CF9AE}" pid="11" name="Dimensions">
    <vt:lpwstr/>
  </property>
  <property fmtid="{D5CDD505-2E9C-101B-9397-08002B2CF9AE}" pid="12" name="Doc Type">
    <vt:lpwstr>contribution</vt:lpwstr>
  </property>
  <property fmtid="{D5CDD505-2E9C-101B-9397-08002B2CF9AE}" pid="13" name="DocSecurity">
    <vt:i4>0</vt:i4>
  </property>
  <property fmtid="{D5CDD505-2E9C-101B-9397-08002B2CF9AE}" pid="14" name="File Author">
    <vt:lpwstr>InterDigital Communications</vt:lpwstr>
  </property>
  <property fmtid="{D5CDD505-2E9C-101B-9397-08002B2CF9AE}" pid="15" name="HyperlinksChanged">
    <vt:bool>false</vt:bool>
  </property>
  <property fmtid="{D5CDD505-2E9C-101B-9397-08002B2CF9AE}" pid="16" name="Last Filing #">
    <vt:lpwstr>0</vt:lpwstr>
  </property>
  <property fmtid="{D5CDD505-2E9C-101B-9397-08002B2CF9AE}" pid="17" name="LinksUpToDate">
    <vt:bool>false</vt:bool>
  </property>
  <property fmtid="{D5CDD505-2E9C-101B-9397-08002B2CF9AE}" pid="18" name="Pages0">
    <vt:lpwstr/>
  </property>
  <property fmtid="{D5CDD505-2E9C-101B-9397-08002B2CF9AE}" pid="19" name="ScaleCrop">
    <vt:bool>false</vt:bool>
  </property>
  <property fmtid="{D5CDD505-2E9C-101B-9397-08002B2CF9AE}" pid="20" name="ShareDoc">
    <vt:bool>false</vt:bool>
  </property>
  <property fmtid="{D5CDD505-2E9C-101B-9397-08002B2CF9AE}" pid="21" name="Status">
    <vt:lpwstr/>
  </property>
  <property fmtid="{D5CDD505-2E9C-101B-9397-08002B2CF9AE}" pid="22" name="Topic">
    <vt:lpwstr/>
  </property>
  <property fmtid="{D5CDD505-2E9C-101B-9397-08002B2CF9AE}" pid="23" name="status0">
    <vt:lpwstr>Active</vt:lpwstr>
  </property>
</Properties>
</file>