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C0640" w:rsidRPr="004107C2" w:rsidRDefault="004C0640" w:rsidP="004C0640">
      <w:pPr>
        <w:pStyle w:val="CRCoverPage"/>
        <w:tabs>
          <w:tab w:val="right" w:pos="9639"/>
        </w:tabs>
        <w:spacing w:after="0"/>
        <w:rPr>
          <w:b/>
          <w:sz w:val="28"/>
          <w:lang w:val="en-US"/>
        </w:rPr>
      </w:pPr>
      <w:r w:rsidRPr="004107C2">
        <w:rPr>
          <w:b/>
          <w:sz w:val="28"/>
          <w:lang w:val="en-US"/>
        </w:rPr>
        <w:t>3GPP TSG-RAN WG2 #112-e</w:t>
      </w:r>
      <w:r w:rsidRPr="004107C2">
        <w:rPr>
          <w:b/>
          <w:i/>
          <w:sz w:val="28"/>
          <w:lang w:val="en-US"/>
        </w:rPr>
        <w:tab/>
      </w:r>
      <w:bookmarkStart w:id="0" w:name="_GoBack"/>
      <w:r w:rsidRPr="004107C2">
        <w:rPr>
          <w:b/>
          <w:sz w:val="28"/>
          <w:lang w:val="en-US"/>
        </w:rPr>
        <w:t>R2-200905</w:t>
      </w:r>
      <w:r>
        <w:rPr>
          <w:b/>
          <w:sz w:val="28"/>
          <w:lang w:val="en-US"/>
        </w:rPr>
        <w:t>6</w:t>
      </w:r>
      <w:bookmarkEnd w:id="0"/>
    </w:p>
    <w:p w:rsidR="004C0640" w:rsidRPr="004107C2" w:rsidRDefault="004C0640" w:rsidP="004C0640">
      <w:pPr>
        <w:tabs>
          <w:tab w:val="left" w:pos="1985"/>
        </w:tabs>
        <w:spacing w:after="100" w:afterAutospacing="1"/>
        <w:jc w:val="both"/>
        <w:rPr>
          <w:rFonts w:eastAsia="宋体" w:cs="Arial"/>
          <w:b/>
          <w:sz w:val="36"/>
          <w:szCs w:val="28"/>
          <w:lang w:eastAsia="en-US"/>
        </w:rPr>
      </w:pPr>
      <w:r w:rsidRPr="004107C2">
        <w:rPr>
          <w:rFonts w:ascii="Arial" w:hAnsi="Arial" w:cs="Arial"/>
          <w:b/>
          <w:sz w:val="28"/>
          <w:szCs w:val="22"/>
          <w:lang w:eastAsia="zh-CN"/>
        </w:rPr>
        <w:t>E-meeting, 02 – 13 November 2020</w:t>
      </w:r>
      <w:r w:rsidRPr="004107C2">
        <w:rPr>
          <w:rFonts w:ascii="Arial" w:hAnsi="Arial" w:cs="Arial"/>
          <w:b/>
          <w:sz w:val="28"/>
          <w:szCs w:val="22"/>
          <w:lang w:eastAsia="zh-CN"/>
        </w:rPr>
        <w:tab/>
      </w:r>
      <w:r w:rsidRPr="004107C2">
        <w:rPr>
          <w:rFonts w:ascii="Arial" w:hAnsi="Arial" w:cs="Arial"/>
          <w:b/>
          <w:sz w:val="28"/>
          <w:szCs w:val="22"/>
          <w:lang w:eastAsia="zh-CN"/>
        </w:rPr>
        <w:tab/>
      </w:r>
      <w:r w:rsidRPr="004107C2">
        <w:rPr>
          <w:rFonts w:ascii="Arial" w:hAnsi="Arial" w:cs="Arial"/>
          <w:b/>
          <w:sz w:val="28"/>
          <w:szCs w:val="22"/>
          <w:lang w:eastAsia="zh-CN"/>
        </w:rPr>
        <w:tab/>
      </w:r>
      <w:r w:rsidRPr="004107C2">
        <w:rPr>
          <w:rFonts w:ascii="Arial" w:hAnsi="Arial" w:cs="Arial"/>
          <w:b/>
          <w:sz w:val="28"/>
          <w:szCs w:val="22"/>
          <w:lang w:eastAsia="zh-CN"/>
        </w:rPr>
        <w:tab/>
      </w:r>
      <w:r w:rsidRPr="004107C2">
        <w:rPr>
          <w:rFonts w:ascii="Arial" w:hAnsi="Arial" w:cs="Arial"/>
          <w:b/>
          <w:sz w:val="28"/>
          <w:szCs w:val="22"/>
          <w:lang w:eastAsia="zh-CN"/>
        </w:rPr>
        <w:tab/>
      </w:r>
      <w:r w:rsidRPr="004107C2">
        <w:rPr>
          <w:rFonts w:ascii="Arial" w:hAnsi="Arial" w:cs="Arial"/>
          <w:b/>
          <w:sz w:val="28"/>
          <w:szCs w:val="22"/>
          <w:lang w:eastAsia="zh-CN"/>
        </w:rPr>
        <w:tab/>
      </w:r>
      <w:r w:rsidRPr="004107C2">
        <w:rPr>
          <w:rFonts w:ascii="Arial" w:hAnsi="Arial" w:cs="Arial"/>
          <w:b/>
          <w:sz w:val="28"/>
          <w:szCs w:val="22"/>
          <w:lang w:eastAsia="zh-CN"/>
        </w:rPr>
        <w:tab/>
        <w:t xml:space="preserve"> </w:t>
      </w:r>
    </w:p>
    <w:p w:rsidR="001B624F" w:rsidRDefault="001B624F" w:rsidP="001B624F">
      <w:pPr>
        <w:keepLines/>
        <w:tabs>
          <w:tab w:val="left" w:pos="567"/>
        </w:tabs>
        <w:snapToGrid w:val="0"/>
        <w:spacing w:line="276" w:lineRule="auto"/>
        <w:rPr>
          <w:rFonts w:cs="Arial"/>
          <w:b/>
          <w:bCs/>
          <w:sz w:val="28"/>
          <w:szCs w:val="28"/>
        </w:rPr>
      </w:pPr>
      <w:r>
        <w:rPr>
          <w:rFonts w:cs="Arial"/>
          <w:b/>
          <w:bCs/>
          <w:sz w:val="28"/>
          <w:szCs w:val="28"/>
        </w:rPr>
        <w:tab/>
        <w:t xml:space="preserve">      </w:t>
      </w:r>
      <w:r>
        <w:rPr>
          <w:rFonts w:cs="Arial"/>
          <w:b/>
          <w:bCs/>
          <w:color w:val="D9D9D9" w:themeColor="background1" w:themeShade="D9"/>
          <w:szCs w:val="28"/>
        </w:rPr>
        <w:t xml:space="preserve">   </w:t>
      </w:r>
    </w:p>
    <w:p w:rsidR="001B624F" w:rsidRDefault="001B624F" w:rsidP="001B624F">
      <w:pPr>
        <w:snapToGrid w:val="0"/>
        <w:ind w:left="2100" w:hanging="2100"/>
        <w:rPr>
          <w:rFonts w:cs="Arial"/>
          <w:b/>
          <w:bCs/>
          <w:snapToGrid w:val="0"/>
          <w:sz w:val="28"/>
          <w:szCs w:val="28"/>
        </w:rPr>
      </w:pPr>
      <w:r>
        <w:rPr>
          <w:rFonts w:cs="Arial"/>
          <w:b/>
          <w:bCs/>
          <w:snapToGrid w:val="0"/>
          <w:sz w:val="28"/>
          <w:szCs w:val="28"/>
        </w:rPr>
        <w:t xml:space="preserve">Title: </w:t>
      </w:r>
      <w:r>
        <w:rPr>
          <w:rFonts w:cs="Arial"/>
          <w:b/>
          <w:bCs/>
          <w:snapToGrid w:val="0"/>
          <w:sz w:val="28"/>
          <w:szCs w:val="28"/>
        </w:rPr>
        <w:tab/>
      </w:r>
      <w:r w:rsidR="00120684">
        <w:rPr>
          <w:rFonts w:cs="Arial"/>
          <w:b/>
          <w:bCs/>
          <w:snapToGrid w:val="0"/>
          <w:sz w:val="28"/>
          <w:szCs w:val="28"/>
        </w:rPr>
        <w:t>RA</w:t>
      </w:r>
      <w:r w:rsidR="00BA13FE">
        <w:rPr>
          <w:rFonts w:cs="Arial"/>
          <w:b/>
          <w:bCs/>
          <w:snapToGrid w:val="0"/>
          <w:sz w:val="28"/>
          <w:szCs w:val="28"/>
        </w:rPr>
        <w:t>-based SDT</w:t>
      </w:r>
      <w:r>
        <w:rPr>
          <w:rFonts w:cs="Arial"/>
          <w:b/>
          <w:bCs/>
          <w:snapToGrid w:val="0"/>
          <w:sz w:val="28"/>
          <w:szCs w:val="28"/>
        </w:rPr>
        <w:t xml:space="preserve">  </w:t>
      </w:r>
    </w:p>
    <w:p w:rsidR="001B624F" w:rsidRDefault="00A614EC" w:rsidP="001B624F">
      <w:pPr>
        <w:snapToGrid w:val="0"/>
        <w:spacing w:before="240"/>
        <w:rPr>
          <w:rFonts w:cs="Arial"/>
          <w:b/>
          <w:bCs/>
          <w:snapToGrid w:val="0"/>
          <w:sz w:val="28"/>
          <w:szCs w:val="28"/>
        </w:rPr>
      </w:pPr>
      <w:r>
        <w:rPr>
          <w:rFonts w:cs="Arial"/>
          <w:b/>
          <w:bCs/>
          <w:snapToGrid w:val="0"/>
          <w:sz w:val="28"/>
          <w:szCs w:val="28"/>
        </w:rPr>
        <w:t xml:space="preserve">Source: </w:t>
      </w:r>
      <w:r>
        <w:rPr>
          <w:rFonts w:cs="Arial"/>
          <w:b/>
          <w:bCs/>
          <w:snapToGrid w:val="0"/>
          <w:sz w:val="28"/>
          <w:szCs w:val="28"/>
        </w:rPr>
        <w:tab/>
        <w:t xml:space="preserve">          Mediatek Inc.</w:t>
      </w:r>
    </w:p>
    <w:p w:rsidR="001B624F" w:rsidRDefault="001B624F" w:rsidP="001B624F">
      <w:pPr>
        <w:snapToGrid w:val="0"/>
        <w:rPr>
          <w:rFonts w:cs="Arial"/>
          <w:b/>
          <w:bCs/>
          <w:snapToGrid w:val="0"/>
          <w:sz w:val="28"/>
          <w:szCs w:val="28"/>
        </w:rPr>
      </w:pPr>
      <w:r>
        <w:rPr>
          <w:rFonts w:cs="Arial"/>
          <w:b/>
          <w:bCs/>
          <w:snapToGrid w:val="0"/>
          <w:sz w:val="28"/>
          <w:szCs w:val="28"/>
        </w:rPr>
        <w:t>Agenda item:</w:t>
      </w:r>
      <w:bookmarkStart w:id="1" w:name="Source"/>
      <w:bookmarkEnd w:id="1"/>
      <w:r>
        <w:rPr>
          <w:rFonts w:cs="Arial"/>
          <w:b/>
          <w:bCs/>
          <w:snapToGrid w:val="0"/>
          <w:sz w:val="28"/>
          <w:szCs w:val="28"/>
        </w:rPr>
        <w:t xml:space="preserve"> </w:t>
      </w:r>
      <w:r>
        <w:rPr>
          <w:rFonts w:cs="Arial"/>
          <w:b/>
          <w:bCs/>
          <w:snapToGrid w:val="0"/>
          <w:sz w:val="28"/>
          <w:szCs w:val="28"/>
        </w:rPr>
        <w:tab/>
      </w:r>
      <w:r w:rsidR="00651ADA">
        <w:rPr>
          <w:rFonts w:cs="Arial"/>
          <w:b/>
          <w:bCs/>
          <w:snapToGrid w:val="0"/>
          <w:sz w:val="28"/>
          <w:szCs w:val="28"/>
        </w:rPr>
        <w:t>8.6.4</w:t>
      </w:r>
    </w:p>
    <w:p w:rsidR="001B624F" w:rsidRDefault="001B624F" w:rsidP="001B624F">
      <w:pPr>
        <w:snapToGrid w:val="0"/>
        <w:rPr>
          <w:rFonts w:cs="Arial"/>
          <w:b/>
          <w:bCs/>
          <w:snapToGrid w:val="0"/>
          <w:sz w:val="28"/>
          <w:szCs w:val="28"/>
        </w:rPr>
      </w:pPr>
      <w:r>
        <w:rPr>
          <w:rFonts w:cs="Arial"/>
          <w:b/>
          <w:bCs/>
          <w:snapToGrid w:val="0"/>
          <w:sz w:val="28"/>
          <w:szCs w:val="28"/>
        </w:rPr>
        <w:t>Document for:</w:t>
      </w:r>
      <w:bookmarkStart w:id="2" w:name="DocumentFor"/>
      <w:bookmarkEnd w:id="2"/>
      <w:r>
        <w:rPr>
          <w:rFonts w:cs="Arial" w:hint="eastAsia"/>
          <w:b/>
          <w:bCs/>
          <w:snapToGrid w:val="0"/>
          <w:sz w:val="28"/>
          <w:szCs w:val="28"/>
        </w:rPr>
        <w:t xml:space="preserve"> </w:t>
      </w:r>
      <w:r>
        <w:rPr>
          <w:rFonts w:cs="Arial"/>
          <w:b/>
          <w:bCs/>
          <w:snapToGrid w:val="0"/>
          <w:sz w:val="28"/>
          <w:szCs w:val="28"/>
        </w:rPr>
        <w:tab/>
        <w:t>Discussion and Decision</w:t>
      </w:r>
    </w:p>
    <w:p w:rsidR="001B624F" w:rsidRDefault="001B624F" w:rsidP="001B624F">
      <w:pPr>
        <w:pStyle w:val="Heading1"/>
        <w:rPr>
          <w:snapToGrid w:val="0"/>
        </w:rPr>
      </w:pPr>
      <w:r>
        <w:rPr>
          <w:snapToGrid w:val="0"/>
        </w:rPr>
        <w:t>Introduction</w:t>
      </w:r>
    </w:p>
    <w:p w:rsidR="00106CAE" w:rsidRPr="009C6891" w:rsidRDefault="00106CAE" w:rsidP="00106CAE">
      <w:pPr>
        <w:snapToGrid w:val="0"/>
        <w:spacing w:before="120" w:after="120"/>
        <w:jc w:val="both"/>
        <w:rPr>
          <w:snapToGrid w:val="0"/>
          <w:sz w:val="22"/>
          <w:szCs w:val="22"/>
          <w:lang w:val="en-GB"/>
        </w:rPr>
      </w:pPr>
      <w:r w:rsidRPr="009C6891">
        <w:rPr>
          <w:snapToGrid w:val="0"/>
          <w:sz w:val="22"/>
          <w:szCs w:val="22"/>
          <w:lang w:val="en-GB"/>
        </w:rPr>
        <w:t xml:space="preserve">During RAN2 #111-e Meeting, </w:t>
      </w:r>
      <w:r>
        <w:rPr>
          <w:snapToGrid w:val="0"/>
          <w:sz w:val="22"/>
          <w:szCs w:val="22"/>
          <w:lang w:val="en-GB"/>
        </w:rPr>
        <w:t>following agreements were made:</w:t>
      </w:r>
      <w:r w:rsidRPr="009C6891">
        <w:rPr>
          <w:snapToGrid w:val="0"/>
          <w:sz w:val="22"/>
          <w:szCs w:val="22"/>
          <w:lang w:val="en-GB"/>
        </w:rPr>
        <w:t xml:space="preserve"> </w:t>
      </w:r>
    </w:p>
    <w:p w:rsidR="00106CAE" w:rsidRPr="009C6891" w:rsidRDefault="00106CAE" w:rsidP="00106CAE">
      <w:pPr>
        <w:pStyle w:val="Doc-text2"/>
        <w:pBdr>
          <w:top w:val="single" w:sz="4" w:space="1" w:color="auto"/>
          <w:left w:val="single" w:sz="4" w:space="0" w:color="auto"/>
          <w:bottom w:val="single" w:sz="4" w:space="1" w:color="auto"/>
          <w:right w:val="single" w:sz="4" w:space="4" w:color="auto"/>
        </w:pBdr>
        <w:ind w:left="363"/>
        <w:jc w:val="both"/>
        <w:rPr>
          <w:rFonts w:ascii="Times New Roman" w:hAnsi="Times New Roman"/>
          <w:b/>
          <w:bCs/>
          <w:i/>
          <w:iCs/>
          <w:sz w:val="22"/>
          <w:szCs w:val="22"/>
        </w:rPr>
      </w:pPr>
      <w:r w:rsidRPr="009C6891">
        <w:rPr>
          <w:rFonts w:ascii="Times New Roman" w:hAnsi="Times New Roman"/>
          <w:b/>
          <w:bCs/>
          <w:i/>
          <w:iCs/>
          <w:sz w:val="22"/>
          <w:szCs w:val="22"/>
        </w:rPr>
        <w:t xml:space="preserve">Agreements </w:t>
      </w:r>
    </w:p>
    <w:p w:rsidR="00106CAE" w:rsidRPr="009C6891" w:rsidRDefault="00106CAE" w:rsidP="00106CAE">
      <w:pPr>
        <w:pStyle w:val="Doc-text2"/>
        <w:pBdr>
          <w:top w:val="single" w:sz="4" w:space="1" w:color="auto"/>
          <w:left w:val="single" w:sz="4" w:space="0" w:color="auto"/>
          <w:bottom w:val="single" w:sz="4" w:space="1" w:color="auto"/>
          <w:right w:val="single" w:sz="4" w:space="4" w:color="auto"/>
        </w:pBdr>
        <w:ind w:left="363"/>
        <w:jc w:val="both"/>
        <w:rPr>
          <w:rFonts w:ascii="Times New Roman" w:hAnsi="Times New Roman"/>
          <w:sz w:val="22"/>
          <w:szCs w:val="22"/>
          <w:highlight w:val="yellow"/>
        </w:rPr>
      </w:pPr>
      <w:r w:rsidRPr="009C6891">
        <w:rPr>
          <w:rFonts w:ascii="Times New Roman" w:hAnsi="Times New Roman"/>
          <w:sz w:val="22"/>
          <w:szCs w:val="22"/>
          <w:highlight w:val="yellow"/>
        </w:rPr>
        <w:t xml:space="preserve">1 </w:t>
      </w:r>
      <w:r w:rsidRPr="009C6891">
        <w:rPr>
          <w:rFonts w:ascii="Times New Roman" w:hAnsi="Times New Roman"/>
          <w:sz w:val="22"/>
          <w:szCs w:val="22"/>
          <w:highlight w:val="yellow"/>
        </w:rPr>
        <w:tab/>
        <w:t xml:space="preserve">Small data transmission with RRC message is supported as baseline for RA-based and CG based schemes  </w:t>
      </w:r>
    </w:p>
    <w:p w:rsidR="00106CAE" w:rsidRPr="009C6891" w:rsidRDefault="00106CAE" w:rsidP="00106CAE">
      <w:pPr>
        <w:pStyle w:val="Doc-text2"/>
        <w:pBdr>
          <w:top w:val="single" w:sz="4" w:space="1" w:color="auto"/>
          <w:left w:val="single" w:sz="4" w:space="0" w:color="auto"/>
          <w:bottom w:val="single" w:sz="4" w:space="1" w:color="auto"/>
          <w:right w:val="single" w:sz="4" w:space="4" w:color="auto"/>
        </w:pBdr>
        <w:ind w:left="363"/>
        <w:jc w:val="both"/>
        <w:rPr>
          <w:rFonts w:ascii="Times New Roman" w:hAnsi="Times New Roman"/>
          <w:sz w:val="22"/>
          <w:szCs w:val="22"/>
          <w:lang w:val="en-US"/>
        </w:rPr>
      </w:pPr>
      <w:r w:rsidRPr="009C6891">
        <w:rPr>
          <w:rFonts w:ascii="Times New Roman" w:hAnsi="Times New Roman"/>
          <w:sz w:val="22"/>
          <w:szCs w:val="22"/>
          <w:highlight w:val="yellow"/>
          <w:lang w:val="en-US"/>
        </w:rPr>
        <w:t>2</w:t>
      </w:r>
      <w:r w:rsidRPr="009C6891">
        <w:rPr>
          <w:rFonts w:ascii="Times New Roman" w:hAnsi="Times New Roman"/>
          <w:sz w:val="22"/>
          <w:szCs w:val="22"/>
          <w:highlight w:val="yellow"/>
          <w:lang w:val="en-US"/>
        </w:rPr>
        <w:tab/>
        <w:t>RRC-less can be studied for limited use cases (e.g. same serving cell and/or for CG) with lower priority</w:t>
      </w:r>
    </w:p>
    <w:p w:rsidR="00106CAE" w:rsidRPr="009C6891" w:rsidRDefault="00106CAE" w:rsidP="00106CAE">
      <w:pPr>
        <w:pStyle w:val="Doc-text2"/>
        <w:pBdr>
          <w:top w:val="single" w:sz="4" w:space="1" w:color="auto"/>
          <w:left w:val="single" w:sz="4" w:space="0" w:color="auto"/>
          <w:bottom w:val="single" w:sz="4" w:space="1" w:color="auto"/>
          <w:right w:val="single" w:sz="4" w:space="4" w:color="auto"/>
        </w:pBdr>
        <w:ind w:left="363"/>
        <w:jc w:val="both"/>
        <w:rPr>
          <w:rFonts w:ascii="Times New Roman" w:hAnsi="Times New Roman"/>
          <w:sz w:val="22"/>
          <w:szCs w:val="22"/>
          <w:lang w:val="en-US"/>
        </w:rPr>
      </w:pPr>
      <w:r w:rsidRPr="009C6891">
        <w:rPr>
          <w:rFonts w:ascii="Times New Roman" w:hAnsi="Times New Roman"/>
          <w:sz w:val="22"/>
          <w:szCs w:val="22"/>
          <w:lang w:val="en-US"/>
        </w:rPr>
        <w:t>3</w:t>
      </w:r>
      <w:r w:rsidRPr="009C6891">
        <w:rPr>
          <w:rFonts w:ascii="Times New Roman" w:hAnsi="Times New Roman"/>
          <w:sz w:val="22"/>
          <w:szCs w:val="22"/>
          <w:lang w:val="en-US"/>
        </w:rPr>
        <w:tab/>
        <w:t xml:space="preserve">Context fetch and data forwarding with anchor re-location and without anchor re-location will be considered.   FFS if there are problems with the scenario “without anchor relocation”. </w:t>
      </w:r>
    </w:p>
    <w:p w:rsidR="00106CAE" w:rsidRPr="009C6891" w:rsidRDefault="00106CAE" w:rsidP="00106CAE">
      <w:pPr>
        <w:pStyle w:val="Doc-text2"/>
        <w:pBdr>
          <w:top w:val="single" w:sz="4" w:space="1" w:color="auto"/>
          <w:left w:val="single" w:sz="4" w:space="0" w:color="auto"/>
          <w:bottom w:val="single" w:sz="4" w:space="1" w:color="auto"/>
          <w:right w:val="single" w:sz="4" w:space="4" w:color="auto"/>
        </w:pBdr>
        <w:ind w:left="363"/>
        <w:jc w:val="both"/>
        <w:rPr>
          <w:rFonts w:ascii="Times New Roman" w:hAnsi="Times New Roman"/>
          <w:sz w:val="22"/>
          <w:szCs w:val="22"/>
        </w:rPr>
      </w:pPr>
      <w:r w:rsidRPr="009C6891">
        <w:rPr>
          <w:rFonts w:ascii="Times New Roman" w:hAnsi="Times New Roman"/>
          <w:sz w:val="22"/>
          <w:szCs w:val="22"/>
        </w:rPr>
        <w:t>4</w:t>
      </w:r>
      <w:r w:rsidRPr="009C6891">
        <w:rPr>
          <w:rFonts w:ascii="Times New Roman" w:hAnsi="Times New Roman"/>
          <w:sz w:val="22"/>
          <w:szCs w:val="22"/>
        </w:rPr>
        <w:tab/>
        <w:t>From RAN2 perspective, stored “configuration” in the UE Context is used for the RLC bearer configuration for any SDT mechanism (RACH and CG).</w:t>
      </w:r>
    </w:p>
    <w:p w:rsidR="00106CAE" w:rsidRPr="009C6891" w:rsidRDefault="00106CAE" w:rsidP="00106CAE">
      <w:pPr>
        <w:pStyle w:val="Doc-text2"/>
        <w:pBdr>
          <w:top w:val="single" w:sz="4" w:space="1" w:color="auto"/>
          <w:left w:val="single" w:sz="4" w:space="0" w:color="auto"/>
          <w:bottom w:val="single" w:sz="4" w:space="1" w:color="auto"/>
          <w:right w:val="single" w:sz="4" w:space="4" w:color="auto"/>
        </w:pBdr>
        <w:ind w:left="363"/>
        <w:jc w:val="both"/>
        <w:rPr>
          <w:rFonts w:ascii="Times New Roman" w:hAnsi="Times New Roman"/>
          <w:sz w:val="22"/>
          <w:szCs w:val="22"/>
        </w:rPr>
      </w:pPr>
      <w:r w:rsidRPr="009C6891">
        <w:rPr>
          <w:rFonts w:ascii="Times New Roman" w:hAnsi="Times New Roman"/>
          <w:sz w:val="22"/>
          <w:szCs w:val="22"/>
        </w:rPr>
        <w:t>5</w:t>
      </w:r>
      <w:r w:rsidRPr="009C6891">
        <w:rPr>
          <w:rFonts w:ascii="Times New Roman" w:hAnsi="Times New Roman"/>
          <w:sz w:val="22"/>
          <w:szCs w:val="22"/>
        </w:rPr>
        <w:tab/>
        <w:t>The 2-step RACH or 4-step RACH should be applied to RACH based uplink small data transmission in RRC_INACTIVE</w:t>
      </w:r>
    </w:p>
    <w:p w:rsidR="00106CAE" w:rsidRPr="009C6891" w:rsidRDefault="00106CAE" w:rsidP="00106CAE">
      <w:pPr>
        <w:pStyle w:val="Doc-text2"/>
        <w:pBdr>
          <w:top w:val="single" w:sz="4" w:space="1" w:color="auto"/>
          <w:left w:val="single" w:sz="4" w:space="0" w:color="auto"/>
          <w:bottom w:val="single" w:sz="4" w:space="1" w:color="auto"/>
          <w:right w:val="single" w:sz="4" w:space="4" w:color="auto"/>
        </w:pBdr>
        <w:ind w:left="363"/>
        <w:jc w:val="both"/>
        <w:rPr>
          <w:rFonts w:ascii="Times New Roman" w:hAnsi="Times New Roman"/>
          <w:sz w:val="22"/>
          <w:szCs w:val="22"/>
        </w:rPr>
      </w:pPr>
      <w:r w:rsidRPr="009C6891">
        <w:rPr>
          <w:rFonts w:ascii="Times New Roman" w:hAnsi="Times New Roman"/>
          <w:sz w:val="22"/>
          <w:szCs w:val="22"/>
        </w:rPr>
        <w:t>6</w:t>
      </w:r>
      <w:r w:rsidRPr="009C6891">
        <w:rPr>
          <w:rFonts w:ascii="Times New Roman" w:hAnsi="Times New Roman"/>
          <w:sz w:val="22"/>
          <w:szCs w:val="22"/>
        </w:rPr>
        <w:tab/>
        <w:t>The uplink small data can be sent in MSGA of 2-step RACH or msg3 of 4-step RACH.</w:t>
      </w:r>
    </w:p>
    <w:p w:rsidR="00106CAE" w:rsidRPr="009C6891" w:rsidRDefault="00106CAE" w:rsidP="00106CAE">
      <w:pPr>
        <w:pStyle w:val="Doc-text2"/>
        <w:pBdr>
          <w:top w:val="single" w:sz="4" w:space="1" w:color="auto"/>
          <w:left w:val="single" w:sz="4" w:space="0" w:color="auto"/>
          <w:bottom w:val="single" w:sz="4" w:space="1" w:color="auto"/>
          <w:right w:val="single" w:sz="4" w:space="4" w:color="auto"/>
        </w:pBdr>
        <w:ind w:left="363"/>
        <w:jc w:val="both"/>
        <w:rPr>
          <w:rFonts w:ascii="Times New Roman" w:hAnsi="Times New Roman"/>
          <w:sz w:val="22"/>
          <w:szCs w:val="22"/>
        </w:rPr>
      </w:pPr>
      <w:r w:rsidRPr="009C6891">
        <w:rPr>
          <w:rFonts w:ascii="Times New Roman" w:hAnsi="Times New Roman"/>
          <w:sz w:val="22"/>
          <w:szCs w:val="22"/>
        </w:rPr>
        <w:t>7</w:t>
      </w:r>
      <w:r w:rsidRPr="009C6891">
        <w:rPr>
          <w:rFonts w:ascii="Times New Roman" w:hAnsi="Times New Roman"/>
          <w:sz w:val="22"/>
          <w:szCs w:val="22"/>
        </w:rPr>
        <w:tab/>
        <w:t>Small data transmission is configured by the network on a per DRB basis</w:t>
      </w:r>
    </w:p>
    <w:p w:rsidR="00106CAE" w:rsidRPr="009C6891" w:rsidRDefault="00106CAE" w:rsidP="00106CAE">
      <w:pPr>
        <w:pStyle w:val="Doc-text2"/>
        <w:pBdr>
          <w:top w:val="single" w:sz="4" w:space="1" w:color="auto"/>
          <w:left w:val="single" w:sz="4" w:space="0" w:color="auto"/>
          <w:bottom w:val="single" w:sz="4" w:space="1" w:color="auto"/>
          <w:right w:val="single" w:sz="4" w:space="4" w:color="auto"/>
        </w:pBdr>
        <w:ind w:left="363"/>
        <w:jc w:val="both"/>
        <w:rPr>
          <w:rFonts w:ascii="Times New Roman" w:hAnsi="Times New Roman"/>
          <w:sz w:val="22"/>
          <w:szCs w:val="22"/>
        </w:rPr>
      </w:pPr>
      <w:r w:rsidRPr="009C6891">
        <w:rPr>
          <w:rFonts w:ascii="Times New Roman" w:hAnsi="Times New Roman"/>
          <w:sz w:val="22"/>
          <w:szCs w:val="22"/>
        </w:rPr>
        <w:t>8</w:t>
      </w:r>
      <w:r w:rsidRPr="009C6891">
        <w:rPr>
          <w:rFonts w:ascii="Times New Roman" w:hAnsi="Times New Roman"/>
          <w:sz w:val="22"/>
          <w:szCs w:val="22"/>
        </w:rPr>
        <w:tab/>
        <w:t xml:space="preserve">Data volume threshold is used for the UE to decide whether to do SDT or not.   FFS how we calculate data volume.  </w:t>
      </w:r>
    </w:p>
    <w:p w:rsidR="00106CAE" w:rsidRPr="009C6891" w:rsidRDefault="00106CAE" w:rsidP="00106CAE">
      <w:pPr>
        <w:pStyle w:val="Doc-text2"/>
        <w:pBdr>
          <w:top w:val="single" w:sz="4" w:space="1" w:color="auto"/>
          <w:left w:val="single" w:sz="4" w:space="0" w:color="auto"/>
          <w:bottom w:val="single" w:sz="4" w:space="1" w:color="auto"/>
          <w:right w:val="single" w:sz="4" w:space="4" w:color="auto"/>
        </w:pBdr>
        <w:ind w:left="363"/>
        <w:jc w:val="both"/>
        <w:rPr>
          <w:rFonts w:ascii="Times New Roman" w:hAnsi="Times New Roman"/>
          <w:sz w:val="22"/>
          <w:szCs w:val="22"/>
        </w:rPr>
      </w:pPr>
      <w:r w:rsidRPr="009C6891">
        <w:rPr>
          <w:rFonts w:ascii="Times New Roman" w:hAnsi="Times New Roman"/>
          <w:sz w:val="22"/>
          <w:szCs w:val="22"/>
        </w:rPr>
        <w:tab/>
        <w:t>FFS if an “additional SDT specific” RSRP threshold is further used to determine whether the UE should do SDT</w:t>
      </w:r>
    </w:p>
    <w:p w:rsidR="00106CAE" w:rsidRPr="009C6891" w:rsidRDefault="00106CAE" w:rsidP="00106CAE">
      <w:pPr>
        <w:pStyle w:val="Doc-text2"/>
        <w:pBdr>
          <w:top w:val="single" w:sz="4" w:space="1" w:color="auto"/>
          <w:left w:val="single" w:sz="4" w:space="0" w:color="auto"/>
          <w:bottom w:val="single" w:sz="4" w:space="1" w:color="auto"/>
          <w:right w:val="single" w:sz="4" w:space="4" w:color="auto"/>
        </w:pBdr>
        <w:ind w:left="363"/>
        <w:jc w:val="both"/>
        <w:rPr>
          <w:rFonts w:ascii="Times New Roman" w:hAnsi="Times New Roman"/>
          <w:sz w:val="22"/>
          <w:szCs w:val="22"/>
        </w:rPr>
      </w:pPr>
      <w:r w:rsidRPr="009C6891">
        <w:rPr>
          <w:rFonts w:ascii="Times New Roman" w:hAnsi="Times New Roman"/>
          <w:sz w:val="22"/>
          <w:szCs w:val="22"/>
        </w:rPr>
        <w:t>9</w:t>
      </w:r>
      <w:r w:rsidRPr="009C6891">
        <w:rPr>
          <w:rFonts w:ascii="Times New Roman" w:hAnsi="Times New Roman"/>
          <w:sz w:val="22"/>
          <w:szCs w:val="22"/>
        </w:rPr>
        <w:tab/>
        <w:t xml:space="preserve">UL/DL transmission following UL SDT without transitioning to RRC_CONNECTED is supported </w:t>
      </w:r>
    </w:p>
    <w:p w:rsidR="00106CAE" w:rsidRPr="0003438D" w:rsidRDefault="00106CAE" w:rsidP="00106CAE">
      <w:pPr>
        <w:pStyle w:val="Doc-text2"/>
        <w:pBdr>
          <w:top w:val="single" w:sz="4" w:space="1" w:color="auto"/>
          <w:left w:val="single" w:sz="4" w:space="0" w:color="auto"/>
          <w:bottom w:val="single" w:sz="4" w:space="1" w:color="auto"/>
          <w:right w:val="single" w:sz="4" w:space="4" w:color="auto"/>
        </w:pBdr>
        <w:ind w:left="363"/>
        <w:jc w:val="both"/>
        <w:rPr>
          <w:rFonts w:ascii="Times New Roman" w:hAnsi="Times New Roman"/>
          <w:sz w:val="22"/>
          <w:szCs w:val="22"/>
        </w:rPr>
      </w:pPr>
      <w:r w:rsidRPr="009C6891">
        <w:rPr>
          <w:rFonts w:ascii="Times New Roman" w:hAnsi="Times New Roman"/>
          <w:sz w:val="22"/>
          <w:szCs w:val="22"/>
        </w:rPr>
        <w:t>10</w:t>
      </w:r>
      <w:r w:rsidRPr="009C6891">
        <w:rPr>
          <w:rFonts w:ascii="Times New Roman" w:hAnsi="Times New Roman"/>
          <w:sz w:val="22"/>
          <w:szCs w:val="22"/>
        </w:rPr>
        <w:tab/>
        <w:t xml:space="preserve">When UE is in RRC_INACTIVE, it should be possible to send multiple UL and DL packets as part of the same SDT mechanism and without transitioning to RRC_CONNECTED on dedicated grant.  FFS on details and whether any indication to network is needed.  </w:t>
      </w:r>
    </w:p>
    <w:p w:rsidR="001B624F" w:rsidRPr="00D337A6" w:rsidRDefault="00E938A8" w:rsidP="00D337A6">
      <w:pPr>
        <w:snapToGrid w:val="0"/>
        <w:spacing w:before="120" w:after="120"/>
        <w:jc w:val="both"/>
        <w:rPr>
          <w:snapToGrid w:val="0"/>
          <w:sz w:val="22"/>
          <w:szCs w:val="22"/>
          <w:lang w:val="en-GB"/>
        </w:rPr>
      </w:pPr>
      <w:r w:rsidRPr="00D337A6">
        <w:rPr>
          <w:rFonts w:eastAsia="PMingLiU"/>
          <w:sz w:val="22"/>
          <w:szCs w:val="22"/>
        </w:rPr>
        <w:t xml:space="preserve">In this </w:t>
      </w:r>
      <w:r w:rsidR="00106CAE">
        <w:rPr>
          <w:rFonts w:eastAsia="PMingLiU"/>
          <w:sz w:val="22"/>
          <w:szCs w:val="22"/>
        </w:rPr>
        <w:t>contribution, we discuss RA</w:t>
      </w:r>
      <w:r w:rsidRPr="00D337A6">
        <w:rPr>
          <w:rFonts w:eastAsia="PMingLiU"/>
          <w:sz w:val="22"/>
          <w:szCs w:val="22"/>
        </w:rPr>
        <w:t xml:space="preserve">-based SDT </w:t>
      </w:r>
      <w:r w:rsidR="00106CAE">
        <w:rPr>
          <w:rFonts w:eastAsia="PMingLiU"/>
          <w:sz w:val="22"/>
          <w:szCs w:val="22"/>
        </w:rPr>
        <w:t>considering support of subsequent data transmission.</w:t>
      </w:r>
    </w:p>
    <w:p w:rsidR="00A54485" w:rsidRDefault="00DB2619" w:rsidP="009C6891">
      <w:pPr>
        <w:pStyle w:val="Heading1"/>
        <w:jc w:val="both"/>
        <w:rPr>
          <w:snapToGrid w:val="0"/>
        </w:rPr>
      </w:pPr>
      <w:r>
        <w:rPr>
          <w:snapToGrid w:val="0"/>
        </w:rPr>
        <w:t>Discussion</w:t>
      </w:r>
    </w:p>
    <w:p w:rsidR="00E40B50" w:rsidRDefault="00106CAE" w:rsidP="00E40B50">
      <w:pPr>
        <w:pStyle w:val="Heading3"/>
        <w:keepNext w:val="0"/>
        <w:keepLines w:val="0"/>
        <w:widowControl w:val="0"/>
        <w:numPr>
          <w:ilvl w:val="1"/>
          <w:numId w:val="1"/>
        </w:numPr>
        <w:tabs>
          <w:tab w:val="left" w:pos="907"/>
        </w:tabs>
        <w:overflowPunct/>
        <w:autoSpaceDE/>
        <w:autoSpaceDN/>
        <w:adjustRightInd/>
        <w:spacing w:before="240" w:after="60" w:line="240" w:lineRule="auto"/>
        <w:textAlignment w:val="auto"/>
        <w:rPr>
          <w:rFonts w:eastAsia="MS Mincho" w:cs="Arial"/>
          <w:bCs/>
          <w:sz w:val="26"/>
          <w:szCs w:val="26"/>
          <w:lang w:val="en-GB" w:eastAsia="en-GB"/>
        </w:rPr>
      </w:pPr>
      <w:r>
        <w:rPr>
          <w:rFonts w:eastAsia="MS Mincho" w:cs="Arial"/>
          <w:bCs/>
          <w:sz w:val="26"/>
          <w:szCs w:val="26"/>
          <w:lang w:val="en-GB" w:eastAsia="en-GB"/>
        </w:rPr>
        <w:t>Subsequent data transmission</w:t>
      </w:r>
    </w:p>
    <w:p w:rsidR="00146381" w:rsidRDefault="00C052D4" w:rsidP="00C052D4">
      <w:pPr>
        <w:snapToGrid w:val="0"/>
        <w:spacing w:before="120" w:after="120"/>
        <w:jc w:val="both"/>
        <w:rPr>
          <w:rFonts w:eastAsia="PMingLiU"/>
          <w:sz w:val="22"/>
          <w:szCs w:val="22"/>
        </w:rPr>
      </w:pPr>
      <w:r w:rsidRPr="00C052D4">
        <w:rPr>
          <w:rFonts w:eastAsia="PMingLiU"/>
          <w:sz w:val="22"/>
          <w:szCs w:val="22"/>
        </w:rPr>
        <w:t xml:space="preserve">During last RAN2 eMeeting, it was confirmed that subsequent DL/UL transmission following UL SDT is supported, i.e. </w:t>
      </w:r>
      <w:r w:rsidR="00773E93">
        <w:rPr>
          <w:rFonts w:eastAsia="PMingLiU"/>
          <w:sz w:val="22"/>
          <w:szCs w:val="22"/>
        </w:rPr>
        <w:t xml:space="preserve">the </w:t>
      </w:r>
      <w:r w:rsidRPr="00C052D4">
        <w:rPr>
          <w:rFonts w:eastAsia="PMingLiU"/>
          <w:sz w:val="22"/>
          <w:szCs w:val="22"/>
        </w:rPr>
        <w:t xml:space="preserve">UE can sent multiple UL and DL packets as part of the same SDT mechanism without transitioning to RRC_CONNECTED. </w:t>
      </w:r>
      <w:r>
        <w:rPr>
          <w:rFonts w:eastAsia="PMingLiU"/>
          <w:sz w:val="22"/>
          <w:szCs w:val="22"/>
        </w:rPr>
        <w:t xml:space="preserve"> The general procedure of subsequent data transmission is illustrated in Figure 1.  </w:t>
      </w:r>
      <w:r w:rsidR="00495695">
        <w:rPr>
          <w:rFonts w:eastAsia="PMingLiU"/>
          <w:sz w:val="22"/>
          <w:szCs w:val="22"/>
        </w:rPr>
        <w:t xml:space="preserve">The intention of subsequent data transmission is to support flexible UL traffic volumes </w:t>
      </w:r>
      <w:r w:rsidR="00EB4127">
        <w:rPr>
          <w:rFonts w:eastAsia="PMingLiU"/>
          <w:sz w:val="22"/>
          <w:szCs w:val="22"/>
        </w:rPr>
        <w:t xml:space="preserve">as well </w:t>
      </w:r>
      <w:r w:rsidR="00EB4127">
        <w:rPr>
          <w:rFonts w:eastAsia="PMingLiU"/>
          <w:sz w:val="22"/>
          <w:szCs w:val="22"/>
        </w:rPr>
        <w:lastRenderedPageBreak/>
        <w:t xml:space="preserve">as potential DL application response </w:t>
      </w:r>
      <w:r w:rsidR="00495695">
        <w:rPr>
          <w:rFonts w:eastAsia="PMingLiU"/>
          <w:sz w:val="22"/>
          <w:szCs w:val="22"/>
        </w:rPr>
        <w:t xml:space="preserve">in SDT. Therefore, the UL data can be segmented into several parts and delivered by multiple shots of transmission.  As a consequence of multiple shots of transmission, the duration of </w:t>
      </w:r>
      <w:r w:rsidR="00773E93">
        <w:rPr>
          <w:rFonts w:eastAsia="PMingLiU"/>
          <w:sz w:val="22"/>
          <w:szCs w:val="22"/>
        </w:rPr>
        <w:t xml:space="preserve">the </w:t>
      </w:r>
      <w:r w:rsidR="00495695">
        <w:rPr>
          <w:rFonts w:eastAsia="PMingLiU"/>
          <w:sz w:val="22"/>
          <w:szCs w:val="22"/>
        </w:rPr>
        <w:t xml:space="preserve">UE in INACTIVE performing SDT </w:t>
      </w:r>
      <w:r w:rsidR="00A10E38">
        <w:rPr>
          <w:rFonts w:eastAsia="PMingLiU"/>
          <w:sz w:val="22"/>
          <w:szCs w:val="22"/>
        </w:rPr>
        <w:t>will be prolonged</w:t>
      </w:r>
      <w:r w:rsidR="002A3134">
        <w:rPr>
          <w:rFonts w:eastAsia="PMingLiU"/>
          <w:sz w:val="22"/>
          <w:szCs w:val="22"/>
        </w:rPr>
        <w:t xml:space="preserve">. </w:t>
      </w:r>
    </w:p>
    <w:p w:rsidR="00C052D4" w:rsidRPr="00C052D4" w:rsidRDefault="00C052D4" w:rsidP="00C052D4">
      <w:pPr>
        <w:snapToGrid w:val="0"/>
        <w:spacing w:before="120" w:after="120"/>
        <w:jc w:val="center"/>
        <w:rPr>
          <w:b/>
        </w:rPr>
      </w:pPr>
      <w:r w:rsidRPr="00C052D4">
        <w:rPr>
          <w:b/>
        </w:rPr>
        <w:object w:dxaOrig="5088" w:dyaOrig="45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4.5pt;height:198.5pt" o:ole="">
            <v:imagedata r:id="rId8" o:title="" cropbottom="8300f"/>
          </v:shape>
          <o:OLEObject Type="Embed" ProgID="Visio.Drawing.15" ShapeID="_x0000_i1025" DrawAspect="Content" ObjectID="_1664958371" r:id="rId9"/>
        </w:object>
      </w:r>
    </w:p>
    <w:p w:rsidR="00C052D4" w:rsidRPr="00C052D4" w:rsidRDefault="00C052D4" w:rsidP="00C052D4">
      <w:pPr>
        <w:snapToGrid w:val="0"/>
        <w:spacing w:before="120" w:after="120"/>
        <w:jc w:val="center"/>
        <w:rPr>
          <w:rFonts w:eastAsia="PMingLiU"/>
          <w:b/>
          <w:sz w:val="22"/>
          <w:szCs w:val="22"/>
        </w:rPr>
      </w:pPr>
      <w:r w:rsidRPr="00C052D4">
        <w:rPr>
          <w:b/>
        </w:rPr>
        <w:t>Figure 1 Subsequent data transmission</w:t>
      </w:r>
    </w:p>
    <w:p w:rsidR="00C052D4" w:rsidRPr="00A10E38" w:rsidRDefault="002A3134" w:rsidP="00C052D4">
      <w:pPr>
        <w:snapToGrid w:val="0"/>
        <w:spacing w:before="120" w:after="120"/>
        <w:jc w:val="both"/>
        <w:rPr>
          <w:b/>
          <w:sz w:val="22"/>
          <w:szCs w:val="22"/>
        </w:rPr>
      </w:pPr>
      <w:r w:rsidRPr="00A10E38">
        <w:rPr>
          <w:rFonts w:eastAsia="PMingLiU"/>
          <w:b/>
          <w:sz w:val="22"/>
          <w:szCs w:val="22"/>
        </w:rPr>
        <w:t xml:space="preserve">Observation 1: Supporting </w:t>
      </w:r>
      <w:r w:rsidRPr="00A10E38">
        <w:rPr>
          <w:b/>
          <w:sz w:val="22"/>
          <w:szCs w:val="22"/>
        </w:rPr>
        <w:t>multiple UL and DL packets without transitioning to RRC_CONNECTED implies:</w:t>
      </w:r>
    </w:p>
    <w:p w:rsidR="002A3134" w:rsidRPr="00A10E38" w:rsidRDefault="002A3134" w:rsidP="00A10E38">
      <w:pPr>
        <w:pStyle w:val="ListParagraph"/>
        <w:numPr>
          <w:ilvl w:val="0"/>
          <w:numId w:val="28"/>
        </w:numPr>
        <w:snapToGrid w:val="0"/>
        <w:spacing w:before="120" w:after="120"/>
        <w:jc w:val="both"/>
        <w:rPr>
          <w:rFonts w:ascii="Times New Roman" w:hAnsi="Times New Roman"/>
          <w:b/>
        </w:rPr>
      </w:pPr>
      <w:r w:rsidRPr="00A10E38">
        <w:rPr>
          <w:rFonts w:ascii="Times New Roman" w:hAnsi="Times New Roman"/>
          <w:b/>
        </w:rPr>
        <w:t>UL segmentation is supported for SDT;</w:t>
      </w:r>
    </w:p>
    <w:p w:rsidR="002A3134" w:rsidRPr="00A10E38" w:rsidRDefault="00A10E38" w:rsidP="00A10E38">
      <w:pPr>
        <w:pStyle w:val="ListParagraph"/>
        <w:numPr>
          <w:ilvl w:val="0"/>
          <w:numId w:val="28"/>
        </w:numPr>
        <w:snapToGrid w:val="0"/>
        <w:spacing w:before="120" w:after="120"/>
        <w:jc w:val="both"/>
        <w:rPr>
          <w:rFonts w:ascii="Times New Roman" w:eastAsia="PMingLiU" w:hAnsi="Times New Roman"/>
          <w:b/>
          <w:lang w:eastAsia="ko-KR"/>
        </w:rPr>
      </w:pPr>
      <w:r w:rsidRPr="00A10E38">
        <w:rPr>
          <w:rFonts w:ascii="Times New Roman" w:hAnsi="Times New Roman"/>
          <w:b/>
        </w:rPr>
        <w:t xml:space="preserve">The duration of </w:t>
      </w:r>
      <w:r w:rsidR="00773E93">
        <w:rPr>
          <w:rFonts w:ascii="Times New Roman" w:hAnsi="Times New Roman"/>
          <w:b/>
        </w:rPr>
        <w:t xml:space="preserve">the </w:t>
      </w:r>
      <w:r w:rsidRPr="00A10E38">
        <w:rPr>
          <w:rFonts w:ascii="Times New Roman" w:hAnsi="Times New Roman"/>
          <w:b/>
        </w:rPr>
        <w:t>UE in INACTIVE performing SDT</w:t>
      </w:r>
      <w:r>
        <w:rPr>
          <w:rFonts w:ascii="Times New Roman" w:hAnsi="Times New Roman"/>
          <w:b/>
        </w:rPr>
        <w:t xml:space="preserve"> is pro</w:t>
      </w:r>
      <w:r w:rsidRPr="00A10E38">
        <w:rPr>
          <w:rFonts w:ascii="Times New Roman" w:hAnsi="Times New Roman"/>
          <w:b/>
        </w:rPr>
        <w:t>longed</w:t>
      </w:r>
      <w:r w:rsidR="002A3134" w:rsidRPr="00A10E38">
        <w:rPr>
          <w:rFonts w:ascii="Times New Roman" w:hAnsi="Times New Roman"/>
          <w:b/>
        </w:rPr>
        <w:t xml:space="preserve">. </w:t>
      </w:r>
    </w:p>
    <w:p w:rsidR="00A10E38" w:rsidRDefault="00A10E38" w:rsidP="00A10E38">
      <w:pPr>
        <w:snapToGrid w:val="0"/>
        <w:spacing w:before="120" w:after="120"/>
        <w:jc w:val="both"/>
        <w:rPr>
          <w:sz w:val="22"/>
          <w:szCs w:val="22"/>
          <w:lang w:val="en-GB" w:eastAsia="en-GB"/>
        </w:rPr>
      </w:pPr>
      <w:r w:rsidRPr="00A10E38">
        <w:rPr>
          <w:sz w:val="22"/>
          <w:szCs w:val="22"/>
          <w:lang w:val="en-GB" w:eastAsia="en-GB"/>
        </w:rPr>
        <w:t>Even the</w:t>
      </w:r>
      <w:r w:rsidR="00DE180C">
        <w:rPr>
          <w:sz w:val="22"/>
          <w:szCs w:val="22"/>
          <w:lang w:val="en-GB" w:eastAsia="en-GB"/>
        </w:rPr>
        <w:t xml:space="preserve"> SDT</w:t>
      </w:r>
      <w:r w:rsidRPr="00A10E38">
        <w:rPr>
          <w:sz w:val="22"/>
          <w:szCs w:val="22"/>
          <w:lang w:val="en-GB" w:eastAsia="en-GB"/>
        </w:rPr>
        <w:t xml:space="preserve"> duration in INACTIVE is pr</w:t>
      </w:r>
      <w:r>
        <w:rPr>
          <w:sz w:val="22"/>
          <w:szCs w:val="22"/>
          <w:lang w:val="en-GB" w:eastAsia="en-GB"/>
        </w:rPr>
        <w:t>ol</w:t>
      </w:r>
      <w:r w:rsidRPr="00A10E38">
        <w:rPr>
          <w:sz w:val="22"/>
          <w:szCs w:val="22"/>
          <w:lang w:val="en-GB" w:eastAsia="en-GB"/>
        </w:rPr>
        <w:t xml:space="preserve">onged, it is desired </w:t>
      </w:r>
      <w:r>
        <w:rPr>
          <w:sz w:val="22"/>
          <w:szCs w:val="22"/>
          <w:lang w:val="en-GB" w:eastAsia="en-GB"/>
        </w:rPr>
        <w:t xml:space="preserve">that </w:t>
      </w:r>
      <w:r w:rsidR="009C0FF4">
        <w:rPr>
          <w:sz w:val="22"/>
          <w:szCs w:val="22"/>
          <w:lang w:val="en-GB" w:eastAsia="en-GB"/>
        </w:rPr>
        <w:t xml:space="preserve">the SDT duration is as short as possible and the number of transmission shots is minimized. </w:t>
      </w:r>
      <w:r w:rsidR="002E3ABE">
        <w:rPr>
          <w:sz w:val="22"/>
          <w:szCs w:val="22"/>
          <w:lang w:val="en-GB" w:eastAsia="en-GB"/>
        </w:rPr>
        <w:t xml:space="preserve">Otherwise, </w:t>
      </w:r>
      <w:r w:rsidR="00DE180C">
        <w:rPr>
          <w:sz w:val="22"/>
          <w:szCs w:val="22"/>
          <w:lang w:val="en-GB" w:eastAsia="en-GB"/>
        </w:rPr>
        <w:t>UE needs to perform</w:t>
      </w:r>
      <w:r w:rsidR="002E3ABE">
        <w:rPr>
          <w:sz w:val="22"/>
          <w:szCs w:val="22"/>
          <w:lang w:val="en-GB" w:eastAsia="en-GB"/>
        </w:rPr>
        <w:t xml:space="preserve"> CONNECTED-like behaviour</w:t>
      </w:r>
      <w:r w:rsidR="008472E6">
        <w:rPr>
          <w:sz w:val="22"/>
          <w:szCs w:val="22"/>
          <w:lang w:val="en-GB" w:eastAsia="en-GB"/>
        </w:rPr>
        <w:t xml:space="preserve"> in INACTIVE</w:t>
      </w:r>
      <w:r w:rsidR="002E3ABE">
        <w:rPr>
          <w:sz w:val="22"/>
          <w:szCs w:val="22"/>
          <w:lang w:val="en-GB" w:eastAsia="en-GB"/>
        </w:rPr>
        <w:t xml:space="preserve">, e.g. </w:t>
      </w:r>
      <w:r w:rsidR="008472E6">
        <w:rPr>
          <w:sz w:val="22"/>
          <w:szCs w:val="22"/>
          <w:lang w:val="en-GB" w:eastAsia="en-GB"/>
        </w:rPr>
        <w:t xml:space="preserve">SRS or </w:t>
      </w:r>
      <w:r w:rsidR="002E3ABE">
        <w:rPr>
          <w:sz w:val="22"/>
          <w:szCs w:val="22"/>
          <w:lang w:val="en-GB" w:eastAsia="en-GB"/>
        </w:rPr>
        <w:t>CSI measurement/feedback for dynamic scheduling, support mobility without packet loss.</w:t>
      </w:r>
      <w:r w:rsidR="008472E6">
        <w:rPr>
          <w:sz w:val="22"/>
          <w:szCs w:val="22"/>
          <w:lang w:val="en-GB" w:eastAsia="en-GB"/>
        </w:rPr>
        <w:t xml:space="preserve"> </w:t>
      </w:r>
      <w:r w:rsidR="00EB4127">
        <w:rPr>
          <w:sz w:val="22"/>
          <w:szCs w:val="22"/>
          <w:lang w:val="en-GB" w:eastAsia="en-GB"/>
        </w:rPr>
        <w:t xml:space="preserve">In this case, it’s easier </w:t>
      </w:r>
      <w:r w:rsidR="00773E93">
        <w:rPr>
          <w:sz w:val="22"/>
          <w:szCs w:val="22"/>
          <w:lang w:val="en-GB" w:eastAsia="en-GB"/>
        </w:rPr>
        <w:t>to transfer</w:t>
      </w:r>
      <w:r w:rsidR="00EB4127">
        <w:rPr>
          <w:sz w:val="22"/>
          <w:szCs w:val="22"/>
          <w:lang w:val="en-GB" w:eastAsia="en-GB"/>
        </w:rPr>
        <w:t xml:space="preserve"> </w:t>
      </w:r>
      <w:r w:rsidR="00773E93">
        <w:rPr>
          <w:sz w:val="22"/>
          <w:szCs w:val="22"/>
          <w:lang w:val="en-GB" w:eastAsia="en-GB"/>
        </w:rPr>
        <w:t xml:space="preserve">the </w:t>
      </w:r>
      <w:r w:rsidR="00EB4127">
        <w:rPr>
          <w:sz w:val="22"/>
          <w:szCs w:val="22"/>
          <w:lang w:val="en-GB" w:eastAsia="en-GB"/>
        </w:rPr>
        <w:t xml:space="preserve">UE to CONNECTED state. </w:t>
      </w:r>
    </w:p>
    <w:p w:rsidR="002E3ABE" w:rsidRDefault="002E3ABE" w:rsidP="00A10E38">
      <w:pPr>
        <w:snapToGrid w:val="0"/>
        <w:spacing w:before="120" w:after="120"/>
        <w:jc w:val="both"/>
        <w:rPr>
          <w:b/>
          <w:sz w:val="22"/>
          <w:szCs w:val="22"/>
          <w:lang w:val="en-GB" w:eastAsia="en-GB"/>
        </w:rPr>
      </w:pPr>
      <w:r w:rsidRPr="002E3ABE">
        <w:rPr>
          <w:b/>
          <w:sz w:val="22"/>
          <w:szCs w:val="22"/>
          <w:lang w:val="en-GB" w:eastAsia="en-GB"/>
        </w:rPr>
        <w:t xml:space="preserve">Proposal 1: The number of UL/DL packets following UL SDT in INACTIVE should be minimized. </w:t>
      </w:r>
    </w:p>
    <w:p w:rsidR="0047604D" w:rsidRPr="0047604D" w:rsidRDefault="0047604D" w:rsidP="00A10E38">
      <w:pPr>
        <w:snapToGrid w:val="0"/>
        <w:spacing w:before="120" w:after="120"/>
        <w:jc w:val="both"/>
        <w:rPr>
          <w:sz w:val="22"/>
          <w:szCs w:val="22"/>
          <w:lang w:val="en-GB" w:eastAsia="en-GB"/>
        </w:rPr>
      </w:pPr>
      <w:r w:rsidRPr="0047604D">
        <w:rPr>
          <w:sz w:val="22"/>
          <w:szCs w:val="22"/>
          <w:lang w:val="en-GB" w:eastAsia="en-GB"/>
        </w:rPr>
        <w:t xml:space="preserve">RA-based SDT should take both the above two aspects, i.e. support of UL segmentation and prolonged SDT procedure into consideration.  </w:t>
      </w:r>
    </w:p>
    <w:p w:rsidR="00A10E38" w:rsidRDefault="00C01CCB" w:rsidP="00C01CCB">
      <w:pPr>
        <w:pStyle w:val="Heading3"/>
        <w:keepNext w:val="0"/>
        <w:keepLines w:val="0"/>
        <w:widowControl w:val="0"/>
        <w:numPr>
          <w:ilvl w:val="1"/>
          <w:numId w:val="1"/>
        </w:numPr>
        <w:tabs>
          <w:tab w:val="left" w:pos="907"/>
        </w:tabs>
        <w:overflowPunct/>
        <w:autoSpaceDE/>
        <w:autoSpaceDN/>
        <w:adjustRightInd/>
        <w:spacing w:before="240" w:after="60" w:line="240" w:lineRule="auto"/>
        <w:textAlignment w:val="auto"/>
        <w:rPr>
          <w:rFonts w:eastAsia="MS Mincho" w:cs="Arial"/>
          <w:bCs/>
          <w:sz w:val="26"/>
          <w:szCs w:val="26"/>
          <w:lang w:val="en-GB" w:eastAsia="en-GB"/>
        </w:rPr>
      </w:pPr>
      <w:r w:rsidRPr="00C01CCB">
        <w:rPr>
          <w:rFonts w:eastAsia="MS Mincho" w:cs="Arial"/>
          <w:bCs/>
          <w:sz w:val="26"/>
          <w:szCs w:val="26"/>
          <w:lang w:val="en-GB" w:eastAsia="en-GB"/>
        </w:rPr>
        <w:t xml:space="preserve">RA Procedure </w:t>
      </w:r>
    </w:p>
    <w:p w:rsidR="00196116" w:rsidRPr="00196116" w:rsidRDefault="00196116" w:rsidP="00196116">
      <w:pPr>
        <w:snapToGrid w:val="0"/>
        <w:spacing w:before="120" w:after="120"/>
        <w:jc w:val="both"/>
        <w:rPr>
          <w:sz w:val="22"/>
          <w:szCs w:val="22"/>
          <w:lang w:val="en-GB" w:eastAsia="en-GB"/>
        </w:rPr>
      </w:pPr>
      <w:r w:rsidRPr="00196116">
        <w:rPr>
          <w:sz w:val="22"/>
          <w:szCs w:val="22"/>
          <w:lang w:val="en-GB" w:eastAsia="en-GB"/>
        </w:rPr>
        <w:t xml:space="preserve">For RA-based SDT, </w:t>
      </w:r>
      <w:r w:rsidR="00773E93">
        <w:rPr>
          <w:sz w:val="22"/>
          <w:szCs w:val="22"/>
          <w:lang w:val="en-GB" w:eastAsia="en-GB"/>
        </w:rPr>
        <w:t xml:space="preserve">the </w:t>
      </w:r>
      <w:r w:rsidRPr="00196116">
        <w:rPr>
          <w:sz w:val="22"/>
          <w:szCs w:val="22"/>
          <w:lang w:val="en-GB" w:eastAsia="en-GB"/>
        </w:rPr>
        <w:t>UE needs to indicate its intention to transmit the UL UP data through MsgA/Msg3, and the gNB can provide a larger UL grant to accommodate larger MsgA/Msg3 payload size. It is straightforward that Msg1 is used to provide the indication through PRACH resource portioning. Considering both 2-step RA and 4-step RA are supported, the PRACH resources should be reserved in both 2-step and 4-step RA resources. The PRACH resource reserved for small data transmission in INACTIVE is provided in system information.  If the UE intends to transmit data through MsgA/Msg3, the UE</w:t>
      </w:r>
      <w:r w:rsidR="00EB4127">
        <w:rPr>
          <w:sz w:val="22"/>
          <w:szCs w:val="22"/>
          <w:lang w:val="en-GB" w:eastAsia="en-GB"/>
        </w:rPr>
        <w:t xml:space="preserve"> will</w:t>
      </w:r>
      <w:r w:rsidRPr="00196116">
        <w:rPr>
          <w:sz w:val="22"/>
          <w:szCs w:val="22"/>
          <w:lang w:val="en-GB" w:eastAsia="en-GB"/>
        </w:rPr>
        <w:t xml:space="preserve"> select a PRACH resources from the reserved resources.</w:t>
      </w:r>
    </w:p>
    <w:p w:rsidR="00196116" w:rsidRPr="00196116" w:rsidRDefault="00196116" w:rsidP="00196116">
      <w:pPr>
        <w:snapToGrid w:val="0"/>
        <w:spacing w:before="120" w:after="120"/>
        <w:jc w:val="both"/>
        <w:rPr>
          <w:b/>
          <w:sz w:val="22"/>
          <w:szCs w:val="22"/>
          <w:lang w:val="en-GB" w:eastAsia="en-GB"/>
        </w:rPr>
      </w:pPr>
      <w:r w:rsidRPr="00196116">
        <w:rPr>
          <w:b/>
          <w:sz w:val="22"/>
          <w:szCs w:val="22"/>
          <w:lang w:val="en-GB" w:eastAsia="en-GB"/>
        </w:rPr>
        <w:t xml:space="preserve">Proposal 2: PRACH partitioning is used to indicate the UE’s intention to transmit UL data in MsgA/Msg3. </w:t>
      </w:r>
    </w:p>
    <w:p w:rsidR="00196116" w:rsidRDefault="00196116" w:rsidP="00196116">
      <w:pPr>
        <w:snapToGrid w:val="0"/>
        <w:spacing w:before="120" w:after="120"/>
        <w:jc w:val="both"/>
        <w:rPr>
          <w:b/>
          <w:sz w:val="22"/>
          <w:szCs w:val="22"/>
          <w:lang w:val="en-GB" w:eastAsia="en-GB"/>
        </w:rPr>
      </w:pPr>
      <w:r w:rsidRPr="00196116">
        <w:rPr>
          <w:b/>
          <w:sz w:val="22"/>
          <w:szCs w:val="22"/>
          <w:lang w:val="en-GB" w:eastAsia="en-GB"/>
        </w:rPr>
        <w:t xml:space="preserve">Proposal 3: If both 2-step and 4-step RA type Random Access Resources are configured, separate PRACH resources are reserved for 2-step and 4-step RA respectively. </w:t>
      </w:r>
    </w:p>
    <w:p w:rsidR="00283884" w:rsidRDefault="008C2837" w:rsidP="00283884">
      <w:pPr>
        <w:snapToGrid w:val="0"/>
        <w:spacing w:before="120" w:after="120"/>
        <w:jc w:val="both"/>
        <w:rPr>
          <w:sz w:val="22"/>
          <w:szCs w:val="22"/>
          <w:lang w:val="en-GB" w:eastAsia="en-GB"/>
        </w:rPr>
      </w:pPr>
      <w:r w:rsidRPr="00283884">
        <w:rPr>
          <w:sz w:val="22"/>
          <w:szCs w:val="22"/>
          <w:lang w:val="en-GB" w:eastAsia="en-GB"/>
        </w:rPr>
        <w:lastRenderedPageBreak/>
        <w:t>In LTE EDT</w:t>
      </w:r>
      <w:r w:rsidR="00283884" w:rsidRPr="00283884">
        <w:rPr>
          <w:sz w:val="22"/>
          <w:szCs w:val="22"/>
          <w:lang w:val="en-GB" w:eastAsia="en-GB"/>
        </w:rPr>
        <w:t>,</w:t>
      </w:r>
      <w:r w:rsidR="00283884">
        <w:rPr>
          <w:sz w:val="22"/>
          <w:szCs w:val="22"/>
          <w:lang w:val="en-GB" w:eastAsia="en-GB"/>
        </w:rPr>
        <w:t xml:space="preserve"> UL data can only be transmitted in one shot by Msg3. Therefore, the Msg</w:t>
      </w:r>
      <w:r w:rsidR="00283884" w:rsidRPr="00283884">
        <w:rPr>
          <w:sz w:val="22"/>
          <w:szCs w:val="22"/>
          <w:lang w:val="en-GB" w:eastAsia="en-GB"/>
        </w:rPr>
        <w:t xml:space="preserve">3 size is one </w:t>
      </w:r>
      <w:r w:rsidR="008472E6">
        <w:rPr>
          <w:sz w:val="22"/>
          <w:szCs w:val="22"/>
          <w:lang w:val="en-GB" w:eastAsia="en-GB"/>
        </w:rPr>
        <w:t xml:space="preserve">of the </w:t>
      </w:r>
      <w:r w:rsidR="00283884" w:rsidRPr="00283884">
        <w:rPr>
          <w:sz w:val="22"/>
          <w:szCs w:val="22"/>
          <w:lang w:val="en-GB" w:eastAsia="en-GB"/>
        </w:rPr>
        <w:t>condition</w:t>
      </w:r>
      <w:r w:rsidR="008472E6">
        <w:rPr>
          <w:sz w:val="22"/>
          <w:szCs w:val="22"/>
          <w:lang w:val="en-GB" w:eastAsia="en-GB"/>
        </w:rPr>
        <w:t>s</w:t>
      </w:r>
      <w:r w:rsidR="00283884" w:rsidRPr="00283884">
        <w:rPr>
          <w:sz w:val="22"/>
          <w:szCs w:val="22"/>
          <w:lang w:val="en-GB" w:eastAsia="en-GB"/>
        </w:rPr>
        <w:t xml:space="preserve"> to initiate EDT</w:t>
      </w:r>
      <w:r w:rsidR="00283884">
        <w:rPr>
          <w:sz w:val="22"/>
          <w:szCs w:val="22"/>
          <w:lang w:val="en-GB" w:eastAsia="en-GB"/>
        </w:rPr>
        <w:t>, i.e. t</w:t>
      </w:r>
      <w:r w:rsidR="00283884" w:rsidRPr="00283884">
        <w:rPr>
          <w:sz w:val="22"/>
          <w:szCs w:val="22"/>
          <w:lang w:val="en-GB" w:eastAsia="en-GB"/>
        </w:rPr>
        <w:t>he UE can only initiate EDT when  the size o</w:t>
      </w:r>
      <w:r w:rsidR="00EB4127">
        <w:rPr>
          <w:sz w:val="22"/>
          <w:szCs w:val="22"/>
          <w:lang w:val="en-GB" w:eastAsia="en-GB"/>
        </w:rPr>
        <w:t xml:space="preserve">f Msg3 including the user data </w:t>
      </w:r>
      <w:r w:rsidR="00283884" w:rsidRPr="00283884">
        <w:rPr>
          <w:sz w:val="22"/>
          <w:szCs w:val="22"/>
          <w:lang w:val="en-GB" w:eastAsia="en-GB"/>
        </w:rPr>
        <w:t xml:space="preserve">is equal or smaller than the maximum possible TBS size for Msg3. </w:t>
      </w:r>
      <w:r w:rsidR="00283884">
        <w:rPr>
          <w:sz w:val="22"/>
          <w:szCs w:val="22"/>
          <w:lang w:val="en-GB" w:eastAsia="en-GB"/>
        </w:rPr>
        <w:t xml:space="preserve">Otherwise, </w:t>
      </w:r>
      <w:r w:rsidR="00773E93">
        <w:rPr>
          <w:sz w:val="22"/>
          <w:szCs w:val="22"/>
          <w:lang w:val="en-GB" w:eastAsia="en-GB"/>
        </w:rPr>
        <w:t xml:space="preserve">the </w:t>
      </w:r>
      <w:r w:rsidR="00283884">
        <w:rPr>
          <w:sz w:val="22"/>
          <w:szCs w:val="22"/>
          <w:lang w:val="en-GB" w:eastAsia="en-GB"/>
        </w:rPr>
        <w:t xml:space="preserve">UE needs to resume RRC connection. </w:t>
      </w:r>
    </w:p>
    <w:p w:rsidR="00205502" w:rsidRPr="00283884" w:rsidRDefault="00283884" w:rsidP="00283884">
      <w:pPr>
        <w:snapToGrid w:val="0"/>
        <w:spacing w:before="120" w:after="120"/>
        <w:jc w:val="both"/>
        <w:rPr>
          <w:sz w:val="22"/>
          <w:szCs w:val="22"/>
          <w:lang w:val="en-GB" w:eastAsia="en-GB"/>
        </w:rPr>
      </w:pPr>
      <w:r>
        <w:rPr>
          <w:sz w:val="22"/>
          <w:szCs w:val="22"/>
          <w:lang w:val="en-GB" w:eastAsia="en-GB"/>
        </w:rPr>
        <w:t xml:space="preserve">For NR SDT, even if the Msg3 can’t accommodate the total UL data, </w:t>
      </w:r>
      <w:r w:rsidR="00773E93">
        <w:rPr>
          <w:sz w:val="22"/>
          <w:szCs w:val="22"/>
          <w:lang w:val="en-GB" w:eastAsia="en-GB"/>
        </w:rPr>
        <w:t xml:space="preserve">the </w:t>
      </w:r>
      <w:r>
        <w:rPr>
          <w:sz w:val="22"/>
          <w:szCs w:val="22"/>
          <w:lang w:val="en-GB" w:eastAsia="en-GB"/>
        </w:rPr>
        <w:t xml:space="preserve">UE can </w:t>
      </w:r>
      <w:r w:rsidR="00773E93">
        <w:rPr>
          <w:sz w:val="22"/>
          <w:szCs w:val="22"/>
          <w:lang w:val="en-GB" w:eastAsia="en-GB"/>
        </w:rPr>
        <w:t xml:space="preserve">still </w:t>
      </w:r>
      <w:r>
        <w:rPr>
          <w:sz w:val="22"/>
          <w:szCs w:val="22"/>
          <w:lang w:val="en-GB" w:eastAsia="en-GB"/>
        </w:rPr>
        <w:t xml:space="preserve">initiate SDT and </w:t>
      </w:r>
      <w:r w:rsidR="00773E93">
        <w:rPr>
          <w:sz w:val="22"/>
          <w:szCs w:val="22"/>
          <w:lang w:val="en-GB" w:eastAsia="en-GB"/>
        </w:rPr>
        <w:t xml:space="preserve">transmit </w:t>
      </w:r>
      <w:r>
        <w:rPr>
          <w:sz w:val="22"/>
          <w:szCs w:val="22"/>
          <w:lang w:val="en-GB" w:eastAsia="en-GB"/>
        </w:rPr>
        <w:t xml:space="preserve">the remaining UL data which </w:t>
      </w:r>
      <w:r w:rsidR="008472E6">
        <w:rPr>
          <w:sz w:val="22"/>
          <w:szCs w:val="22"/>
          <w:lang w:val="en-GB" w:eastAsia="en-GB"/>
        </w:rPr>
        <w:t>is not</w:t>
      </w:r>
      <w:r>
        <w:rPr>
          <w:sz w:val="22"/>
          <w:szCs w:val="22"/>
          <w:lang w:val="en-GB" w:eastAsia="en-GB"/>
        </w:rPr>
        <w:t xml:space="preserve"> carried by Msg3 by the following UL scheduling. Although it is desired to have flexible Msg3 for SDT, Msg3 size limitation will not be a criterion to initiate SDT.</w:t>
      </w:r>
    </w:p>
    <w:p w:rsidR="00205502" w:rsidRDefault="00205502" w:rsidP="00205502">
      <w:pPr>
        <w:snapToGrid w:val="0"/>
        <w:spacing w:before="120" w:after="120"/>
        <w:jc w:val="both"/>
        <w:rPr>
          <w:rFonts w:eastAsia="PMingLiU"/>
          <w:b/>
          <w:sz w:val="22"/>
          <w:szCs w:val="22"/>
        </w:rPr>
      </w:pPr>
      <w:r w:rsidRPr="00A10E38">
        <w:rPr>
          <w:rFonts w:eastAsia="PMingLiU"/>
          <w:b/>
          <w:sz w:val="22"/>
          <w:szCs w:val="22"/>
        </w:rPr>
        <w:t xml:space="preserve">Observation </w:t>
      </w:r>
      <w:r w:rsidR="00412CB6">
        <w:rPr>
          <w:rFonts w:eastAsia="PMingLiU"/>
          <w:b/>
          <w:sz w:val="22"/>
          <w:szCs w:val="22"/>
        </w:rPr>
        <w:t>2</w:t>
      </w:r>
      <w:r w:rsidRPr="00A10E38">
        <w:rPr>
          <w:rFonts w:eastAsia="PMingLiU"/>
          <w:b/>
          <w:sz w:val="22"/>
          <w:szCs w:val="22"/>
        </w:rPr>
        <w:t xml:space="preserve">: </w:t>
      </w:r>
      <w:r>
        <w:rPr>
          <w:rFonts w:eastAsia="PMingLiU"/>
          <w:b/>
          <w:sz w:val="22"/>
          <w:szCs w:val="22"/>
        </w:rPr>
        <w:t xml:space="preserve">Msg3 size can’t be used as a criterion to initiate SDT. </w:t>
      </w:r>
    </w:p>
    <w:p w:rsidR="003422DB" w:rsidRDefault="00205502" w:rsidP="00205502">
      <w:pPr>
        <w:snapToGrid w:val="0"/>
        <w:spacing w:before="120" w:after="120"/>
        <w:jc w:val="both"/>
        <w:rPr>
          <w:sz w:val="22"/>
          <w:szCs w:val="22"/>
          <w:lang w:val="en-GB" w:eastAsia="en-GB"/>
        </w:rPr>
      </w:pPr>
      <w:r w:rsidRPr="003422DB">
        <w:rPr>
          <w:sz w:val="22"/>
          <w:szCs w:val="22"/>
          <w:lang w:val="en-GB" w:eastAsia="en-GB"/>
        </w:rPr>
        <w:t xml:space="preserve">As agreed during last RAN2 eMeeting, data volume threshold is used for the UE to initiate SDT. </w:t>
      </w:r>
      <w:r w:rsidR="00196116" w:rsidRPr="003422DB">
        <w:rPr>
          <w:sz w:val="22"/>
          <w:szCs w:val="22"/>
          <w:lang w:val="en-GB" w:eastAsia="en-GB"/>
        </w:rPr>
        <w:t xml:space="preserve">It is FFS whether additional SDT specific RSRP threshold is further used. The intention to have SDT specific RSRP is to guarantee that the Msg3/MsgA can be successfully delivered. Since Msg3/MsgA doesn’t need to take </w:t>
      </w:r>
      <w:r w:rsidR="008472E6">
        <w:rPr>
          <w:sz w:val="22"/>
          <w:szCs w:val="22"/>
          <w:lang w:val="en-GB" w:eastAsia="en-GB"/>
        </w:rPr>
        <w:t>all of the UL data</w:t>
      </w:r>
      <w:r w:rsidR="00196116" w:rsidRPr="003422DB">
        <w:rPr>
          <w:sz w:val="22"/>
          <w:szCs w:val="22"/>
          <w:lang w:val="en-GB" w:eastAsia="en-GB"/>
        </w:rPr>
        <w:t xml:space="preserve"> due to UL segmentation, the need of the SDT specific RSRP is questionable. Furthermore, 2 step-RA has already have a specific RSRP threshold to </w:t>
      </w:r>
      <w:r w:rsidR="003422DB" w:rsidRPr="003422DB">
        <w:rPr>
          <w:sz w:val="22"/>
          <w:szCs w:val="22"/>
          <w:lang w:val="en-GB" w:eastAsia="en-GB"/>
        </w:rPr>
        <w:t>guarantee</w:t>
      </w:r>
      <w:r w:rsidR="00196116" w:rsidRPr="003422DB">
        <w:rPr>
          <w:sz w:val="22"/>
          <w:szCs w:val="22"/>
          <w:lang w:val="en-GB" w:eastAsia="en-GB"/>
        </w:rPr>
        <w:t xml:space="preserve"> </w:t>
      </w:r>
      <w:r w:rsidR="003422DB" w:rsidRPr="003422DB">
        <w:rPr>
          <w:sz w:val="22"/>
          <w:szCs w:val="22"/>
          <w:lang w:val="en-GB" w:eastAsia="en-GB"/>
        </w:rPr>
        <w:t xml:space="preserve">the MsgA transmission. </w:t>
      </w:r>
    </w:p>
    <w:p w:rsidR="00205502" w:rsidRDefault="003422DB" w:rsidP="00205502">
      <w:pPr>
        <w:snapToGrid w:val="0"/>
        <w:spacing w:before="120" w:after="120"/>
        <w:jc w:val="both"/>
        <w:rPr>
          <w:rFonts w:eastAsia="PMingLiU"/>
          <w:b/>
          <w:sz w:val="22"/>
          <w:szCs w:val="22"/>
        </w:rPr>
      </w:pPr>
      <w:r w:rsidRPr="003422DB">
        <w:rPr>
          <w:rFonts w:eastAsia="PMingLiU"/>
          <w:b/>
          <w:sz w:val="22"/>
          <w:szCs w:val="22"/>
        </w:rPr>
        <w:t xml:space="preserve">Proposal </w:t>
      </w:r>
      <w:r w:rsidR="00264237">
        <w:rPr>
          <w:rFonts w:eastAsia="PMingLiU"/>
          <w:b/>
          <w:sz w:val="22"/>
          <w:szCs w:val="22"/>
        </w:rPr>
        <w:t>4</w:t>
      </w:r>
      <w:r w:rsidRPr="003422DB">
        <w:rPr>
          <w:rFonts w:eastAsia="PMingLiU"/>
          <w:b/>
          <w:sz w:val="22"/>
          <w:szCs w:val="22"/>
        </w:rPr>
        <w:t xml:space="preserve">: The additional SDT specific RSRP threshold is not needed as a criterion to initiate RA-based SDT. </w:t>
      </w:r>
    </w:p>
    <w:p w:rsidR="00A61663" w:rsidRPr="006C7D57" w:rsidRDefault="00515A99" w:rsidP="006C7D57">
      <w:pPr>
        <w:snapToGrid w:val="0"/>
        <w:spacing w:before="120" w:after="120"/>
        <w:jc w:val="both"/>
        <w:rPr>
          <w:sz w:val="22"/>
          <w:szCs w:val="22"/>
          <w:lang w:val="en-GB" w:eastAsia="en-GB"/>
        </w:rPr>
      </w:pPr>
      <w:r w:rsidRPr="00515A99">
        <w:rPr>
          <w:sz w:val="22"/>
          <w:szCs w:val="22"/>
          <w:lang w:val="en-GB" w:eastAsia="en-GB"/>
        </w:rPr>
        <w:t xml:space="preserve">When upper layer request </w:t>
      </w:r>
      <w:r>
        <w:rPr>
          <w:sz w:val="22"/>
          <w:szCs w:val="22"/>
          <w:lang w:val="en-GB" w:eastAsia="en-GB"/>
        </w:rPr>
        <w:t xml:space="preserve">resumption of an RRC connection, </w:t>
      </w:r>
      <w:r w:rsidR="00773E93">
        <w:rPr>
          <w:sz w:val="22"/>
          <w:szCs w:val="22"/>
          <w:lang w:val="en-GB" w:eastAsia="en-GB"/>
        </w:rPr>
        <w:t xml:space="preserve">the </w:t>
      </w:r>
      <w:r w:rsidR="006C7D57">
        <w:rPr>
          <w:sz w:val="22"/>
          <w:szCs w:val="22"/>
          <w:lang w:val="en-GB" w:eastAsia="en-GB"/>
        </w:rPr>
        <w:t xml:space="preserve">UE determines first whether to initiate SDT or initiate RRC connection resume procedure. </w:t>
      </w:r>
      <w:r w:rsidR="00773E93">
        <w:rPr>
          <w:sz w:val="22"/>
          <w:szCs w:val="22"/>
          <w:lang w:val="en-GB" w:eastAsia="en-GB"/>
        </w:rPr>
        <w:t xml:space="preserve">The </w:t>
      </w:r>
      <w:r w:rsidR="006C7D57">
        <w:rPr>
          <w:sz w:val="22"/>
          <w:szCs w:val="22"/>
          <w:lang w:val="en-GB" w:eastAsia="en-GB"/>
        </w:rPr>
        <w:t xml:space="preserve">UE initiates RA-based SDT or CG-based SDT when the corresponding conditions are met. After RA-based SDT is initiated, UE reuse current procedure to select 2-step RA or 4-step RA. If </w:t>
      </w:r>
      <w:r w:rsidR="006C7D57" w:rsidRPr="006C7D57">
        <w:rPr>
          <w:sz w:val="22"/>
          <w:szCs w:val="22"/>
          <w:lang w:val="en-GB" w:eastAsia="en-GB"/>
        </w:rPr>
        <w:t>the UE is configured with 2-step RA</w:t>
      </w:r>
      <w:r w:rsidR="008472E6">
        <w:rPr>
          <w:sz w:val="22"/>
          <w:szCs w:val="22"/>
          <w:lang w:val="en-GB" w:eastAsia="en-GB"/>
        </w:rPr>
        <w:t xml:space="preserve"> and </w:t>
      </w:r>
      <w:r w:rsidR="006C7D57" w:rsidRPr="006C7D57">
        <w:rPr>
          <w:sz w:val="22"/>
          <w:szCs w:val="22"/>
          <w:lang w:val="en-GB" w:eastAsia="en-GB"/>
        </w:rPr>
        <w:t xml:space="preserve">the RSRP is above a configurable threshold, UE will use 2-step RA procedure. </w:t>
      </w:r>
    </w:p>
    <w:p w:rsidR="00205502" w:rsidRDefault="00EB5BD7" w:rsidP="00205502">
      <w:pPr>
        <w:snapToGrid w:val="0"/>
        <w:spacing w:before="120" w:after="120"/>
        <w:jc w:val="both"/>
        <w:rPr>
          <w:rFonts w:eastAsia="PMingLiU"/>
          <w:b/>
          <w:sz w:val="22"/>
          <w:szCs w:val="22"/>
        </w:rPr>
      </w:pPr>
      <w:r w:rsidRPr="00F77213">
        <w:rPr>
          <w:rFonts w:eastAsia="PMingLiU"/>
          <w:b/>
          <w:sz w:val="22"/>
          <w:szCs w:val="22"/>
        </w:rPr>
        <w:t xml:space="preserve">Proposal </w:t>
      </w:r>
      <w:r w:rsidR="00895F1B">
        <w:rPr>
          <w:rFonts w:eastAsia="PMingLiU"/>
          <w:b/>
          <w:sz w:val="22"/>
          <w:szCs w:val="22"/>
        </w:rPr>
        <w:t>5</w:t>
      </w:r>
      <w:r w:rsidRPr="00F77213">
        <w:rPr>
          <w:rFonts w:eastAsia="PMingLiU"/>
          <w:b/>
          <w:sz w:val="22"/>
          <w:szCs w:val="22"/>
        </w:rPr>
        <w:t>: SDT initiation take precedence</w:t>
      </w:r>
      <w:r w:rsidR="00F77213" w:rsidRPr="00F77213">
        <w:rPr>
          <w:rFonts w:eastAsia="PMingLiU"/>
          <w:b/>
          <w:sz w:val="22"/>
          <w:szCs w:val="22"/>
        </w:rPr>
        <w:t xml:space="preserve"> over RA type selection, i.e. </w:t>
      </w:r>
      <w:r w:rsidR="00773E93">
        <w:rPr>
          <w:rFonts w:eastAsia="PMingLiU"/>
          <w:b/>
          <w:sz w:val="22"/>
          <w:szCs w:val="22"/>
        </w:rPr>
        <w:t xml:space="preserve">the </w:t>
      </w:r>
      <w:r w:rsidR="00F77213" w:rsidRPr="00F77213">
        <w:rPr>
          <w:rFonts w:eastAsia="PMingLiU"/>
          <w:b/>
          <w:sz w:val="22"/>
          <w:szCs w:val="22"/>
        </w:rPr>
        <w:t>UE determines to initiate RA-based or CG-based SDT first and then select</w:t>
      </w:r>
      <w:r w:rsidR="00773E93">
        <w:rPr>
          <w:rFonts w:eastAsia="PMingLiU"/>
          <w:b/>
          <w:sz w:val="22"/>
          <w:szCs w:val="22"/>
        </w:rPr>
        <w:t>s</w:t>
      </w:r>
      <w:r w:rsidR="00F77213" w:rsidRPr="00F77213">
        <w:rPr>
          <w:rFonts w:eastAsia="PMingLiU"/>
          <w:b/>
          <w:sz w:val="22"/>
          <w:szCs w:val="22"/>
        </w:rPr>
        <w:t xml:space="preserve"> </w:t>
      </w:r>
      <w:r w:rsidR="007211BD">
        <w:rPr>
          <w:rFonts w:eastAsia="PMingLiU"/>
          <w:b/>
          <w:sz w:val="22"/>
          <w:szCs w:val="22"/>
        </w:rPr>
        <w:t xml:space="preserve">to use </w:t>
      </w:r>
      <w:r w:rsidR="00F77213" w:rsidRPr="00F77213">
        <w:rPr>
          <w:rFonts w:eastAsia="PMingLiU"/>
          <w:b/>
          <w:sz w:val="22"/>
          <w:szCs w:val="22"/>
        </w:rPr>
        <w:t xml:space="preserve">2-step or 4-step RA. </w:t>
      </w:r>
    </w:p>
    <w:p w:rsidR="00895F1B" w:rsidRDefault="00895F1B" w:rsidP="00205502">
      <w:pPr>
        <w:snapToGrid w:val="0"/>
        <w:spacing w:before="120" w:after="120"/>
        <w:jc w:val="both"/>
        <w:rPr>
          <w:rFonts w:eastAsia="PMingLiU"/>
          <w:b/>
          <w:sz w:val="22"/>
          <w:szCs w:val="22"/>
        </w:rPr>
      </w:pPr>
      <w:r>
        <w:rPr>
          <w:rFonts w:eastAsia="PMingLiU"/>
          <w:b/>
          <w:sz w:val="22"/>
          <w:szCs w:val="22"/>
        </w:rPr>
        <w:t xml:space="preserve">Proposal 6: </w:t>
      </w:r>
      <w:r w:rsidR="00773E93">
        <w:rPr>
          <w:rFonts w:eastAsia="PMingLiU"/>
          <w:b/>
          <w:sz w:val="22"/>
          <w:szCs w:val="22"/>
        </w:rPr>
        <w:t xml:space="preserve">The </w:t>
      </w:r>
      <w:r>
        <w:rPr>
          <w:rFonts w:eastAsia="PMingLiU"/>
          <w:b/>
          <w:sz w:val="22"/>
          <w:szCs w:val="22"/>
        </w:rPr>
        <w:t xml:space="preserve">UE initiates 2-step RA procedure for SDT when 2-step RA is configured and RSRP is above a configurable threshold. </w:t>
      </w:r>
    </w:p>
    <w:p w:rsidR="00C8498C" w:rsidRDefault="00B8147D" w:rsidP="00C8498C">
      <w:pPr>
        <w:spacing w:before="120" w:after="120"/>
        <w:jc w:val="both"/>
        <w:rPr>
          <w:sz w:val="22"/>
          <w:szCs w:val="22"/>
          <w:lang w:eastAsia="en-GB"/>
        </w:rPr>
      </w:pPr>
      <w:r>
        <w:rPr>
          <w:sz w:val="22"/>
          <w:szCs w:val="22"/>
          <w:lang w:eastAsia="en-GB"/>
        </w:rPr>
        <w:t xml:space="preserve">According to Observation 2 that the </w:t>
      </w:r>
      <w:r w:rsidRPr="00412CB6">
        <w:rPr>
          <w:sz w:val="22"/>
          <w:szCs w:val="22"/>
          <w:lang w:eastAsia="en-GB"/>
        </w:rPr>
        <w:t xml:space="preserve">duration of </w:t>
      </w:r>
      <w:r w:rsidR="00773E93">
        <w:rPr>
          <w:sz w:val="22"/>
          <w:szCs w:val="22"/>
          <w:lang w:eastAsia="en-GB"/>
        </w:rPr>
        <w:t xml:space="preserve">the </w:t>
      </w:r>
      <w:r w:rsidRPr="00412CB6">
        <w:rPr>
          <w:sz w:val="22"/>
          <w:szCs w:val="22"/>
          <w:lang w:eastAsia="en-GB"/>
        </w:rPr>
        <w:t>UE in INACTIVE performing SDT is prolonged</w:t>
      </w:r>
      <w:r>
        <w:rPr>
          <w:sz w:val="22"/>
          <w:szCs w:val="22"/>
          <w:lang w:eastAsia="en-GB"/>
        </w:rPr>
        <w:t xml:space="preserve">. </w:t>
      </w:r>
      <w:r w:rsidR="00C8498C">
        <w:rPr>
          <w:sz w:val="22"/>
          <w:szCs w:val="22"/>
          <w:lang w:eastAsia="en-GB"/>
        </w:rPr>
        <w:t>Even the beam alignment is achieved after successful RA procedure, i</w:t>
      </w:r>
      <w:r w:rsidRPr="009057C8">
        <w:rPr>
          <w:sz w:val="22"/>
          <w:szCs w:val="22"/>
          <w:lang w:eastAsia="en-GB"/>
        </w:rPr>
        <w:t>t’s possible that the beam pair used for data transfer between</w:t>
      </w:r>
      <w:r w:rsidR="00773E93">
        <w:rPr>
          <w:sz w:val="22"/>
          <w:szCs w:val="22"/>
          <w:lang w:eastAsia="en-GB"/>
        </w:rPr>
        <w:t xml:space="preserve"> the</w:t>
      </w:r>
      <w:r w:rsidRPr="009057C8">
        <w:rPr>
          <w:sz w:val="22"/>
          <w:szCs w:val="22"/>
          <w:lang w:eastAsia="en-GB"/>
        </w:rPr>
        <w:t xml:space="preserve"> UE and network needs to be changed </w:t>
      </w:r>
      <w:r w:rsidR="00C8498C">
        <w:rPr>
          <w:sz w:val="22"/>
          <w:szCs w:val="22"/>
          <w:lang w:eastAsia="en-GB"/>
        </w:rPr>
        <w:t>due to</w:t>
      </w:r>
      <w:r w:rsidRPr="009057C8">
        <w:rPr>
          <w:sz w:val="22"/>
          <w:szCs w:val="22"/>
          <w:lang w:eastAsia="en-GB"/>
        </w:rPr>
        <w:t xml:space="preserve"> the channel variation as well as UE movement. </w:t>
      </w:r>
      <w:r w:rsidR="00C8498C" w:rsidRPr="009057C8">
        <w:rPr>
          <w:sz w:val="22"/>
          <w:szCs w:val="22"/>
          <w:lang w:eastAsia="en-GB"/>
        </w:rPr>
        <w:t xml:space="preserve">If beam management is not supported, </w:t>
      </w:r>
      <w:r w:rsidR="00C8498C">
        <w:rPr>
          <w:sz w:val="22"/>
          <w:szCs w:val="22"/>
          <w:lang w:eastAsia="en-GB"/>
        </w:rPr>
        <w:t xml:space="preserve">the UE losses the beam alignment and the on-going SDT can’t be successfully completed, which results in data losses. </w:t>
      </w:r>
    </w:p>
    <w:p w:rsidR="00B8147D" w:rsidRPr="009057C8" w:rsidRDefault="00B8147D" w:rsidP="00B8147D">
      <w:pPr>
        <w:spacing w:before="120" w:after="120"/>
        <w:jc w:val="both"/>
        <w:rPr>
          <w:sz w:val="22"/>
          <w:szCs w:val="22"/>
          <w:lang w:eastAsia="en-GB"/>
        </w:rPr>
      </w:pPr>
      <w:r w:rsidRPr="009057C8">
        <w:rPr>
          <w:sz w:val="22"/>
          <w:szCs w:val="22"/>
          <w:lang w:eastAsia="en-GB"/>
        </w:rPr>
        <w:t xml:space="preserve">For RA-based SDT, beam </w:t>
      </w:r>
      <w:r w:rsidR="007211BD">
        <w:rPr>
          <w:sz w:val="22"/>
          <w:szCs w:val="22"/>
          <w:lang w:eastAsia="en-GB"/>
        </w:rPr>
        <w:t>management</w:t>
      </w:r>
      <w:r w:rsidRPr="009057C8">
        <w:rPr>
          <w:sz w:val="22"/>
          <w:szCs w:val="22"/>
          <w:lang w:eastAsia="en-GB"/>
        </w:rPr>
        <w:t xml:space="preserve"> may be needed because </w:t>
      </w:r>
      <w:r w:rsidR="00C8498C">
        <w:rPr>
          <w:sz w:val="22"/>
          <w:szCs w:val="22"/>
          <w:lang w:eastAsia="en-GB"/>
        </w:rPr>
        <w:t xml:space="preserve">the probability of changing beam pair is high due to </w:t>
      </w:r>
      <w:r w:rsidRPr="009057C8">
        <w:rPr>
          <w:sz w:val="22"/>
          <w:szCs w:val="22"/>
          <w:lang w:eastAsia="en-GB"/>
        </w:rPr>
        <w:t>UE mobility</w:t>
      </w:r>
      <w:r w:rsidR="00773E93">
        <w:rPr>
          <w:sz w:val="22"/>
          <w:szCs w:val="22"/>
          <w:lang w:eastAsia="en-GB"/>
        </w:rPr>
        <w:t xml:space="preserve"> and channel variation</w:t>
      </w:r>
      <w:r w:rsidRPr="009057C8">
        <w:rPr>
          <w:sz w:val="22"/>
          <w:szCs w:val="22"/>
          <w:lang w:eastAsia="en-GB"/>
        </w:rPr>
        <w:t xml:space="preserve"> during the subsequent data transmission. </w:t>
      </w:r>
    </w:p>
    <w:p w:rsidR="00B8147D" w:rsidRPr="009057C8" w:rsidRDefault="00412CB6" w:rsidP="00B8147D">
      <w:pPr>
        <w:spacing w:before="120" w:after="120"/>
        <w:jc w:val="both"/>
        <w:rPr>
          <w:sz w:val="22"/>
          <w:szCs w:val="22"/>
          <w:lang w:eastAsia="en-GB"/>
        </w:rPr>
      </w:pPr>
      <w:r>
        <w:rPr>
          <w:sz w:val="22"/>
          <w:szCs w:val="22"/>
          <w:lang w:eastAsia="en-GB"/>
        </w:rPr>
        <w:t>However</w:t>
      </w:r>
      <w:r w:rsidR="00B8147D" w:rsidRPr="009057C8">
        <w:rPr>
          <w:sz w:val="22"/>
          <w:szCs w:val="22"/>
          <w:lang w:eastAsia="en-GB"/>
        </w:rPr>
        <w:t xml:space="preserve">, it is not intended to increase UE power consumption for more measurement to support the subsequent data transmission in INACTIVE. UE measurement and power consumption should be considered if beam management is desired for SDT. Need of beam management should be discussed in RAN1. </w:t>
      </w:r>
    </w:p>
    <w:p w:rsidR="00412CB6" w:rsidRDefault="00B8147D" w:rsidP="00B8147D">
      <w:pPr>
        <w:spacing w:before="120" w:after="120"/>
        <w:jc w:val="both"/>
        <w:rPr>
          <w:b/>
          <w:sz w:val="22"/>
          <w:szCs w:val="22"/>
          <w:lang w:val="en-GB" w:eastAsia="en-GB"/>
        </w:rPr>
      </w:pPr>
      <w:r w:rsidRPr="009057C8">
        <w:rPr>
          <w:b/>
          <w:sz w:val="22"/>
          <w:szCs w:val="22"/>
          <w:lang w:val="en-GB" w:eastAsia="en-GB"/>
        </w:rPr>
        <w:t xml:space="preserve">Proposal </w:t>
      </w:r>
      <w:r w:rsidR="00412CB6">
        <w:rPr>
          <w:b/>
          <w:sz w:val="22"/>
          <w:szCs w:val="22"/>
          <w:lang w:val="en-GB" w:eastAsia="en-GB"/>
        </w:rPr>
        <w:t>7</w:t>
      </w:r>
      <w:r w:rsidRPr="009057C8">
        <w:rPr>
          <w:b/>
          <w:sz w:val="22"/>
          <w:szCs w:val="22"/>
          <w:lang w:val="en-GB" w:eastAsia="en-GB"/>
        </w:rPr>
        <w:t xml:space="preserve">: Send LS to RAN1 to evaluate the need of beam management for </w:t>
      </w:r>
      <w:r w:rsidR="00412CB6">
        <w:rPr>
          <w:b/>
          <w:sz w:val="22"/>
          <w:szCs w:val="22"/>
          <w:lang w:val="en-GB" w:eastAsia="en-GB"/>
        </w:rPr>
        <w:t xml:space="preserve">RA-based </w:t>
      </w:r>
      <w:r w:rsidRPr="009057C8">
        <w:rPr>
          <w:b/>
          <w:sz w:val="22"/>
          <w:szCs w:val="22"/>
          <w:lang w:val="en-GB" w:eastAsia="en-GB"/>
        </w:rPr>
        <w:t xml:space="preserve">SDT. </w:t>
      </w:r>
    </w:p>
    <w:p w:rsidR="00412CB6" w:rsidRDefault="00412CB6">
      <w:pPr>
        <w:rPr>
          <w:b/>
          <w:sz w:val="22"/>
          <w:szCs w:val="22"/>
          <w:lang w:val="en-GB" w:eastAsia="en-GB"/>
        </w:rPr>
      </w:pPr>
      <w:r>
        <w:rPr>
          <w:b/>
          <w:sz w:val="22"/>
          <w:szCs w:val="22"/>
          <w:lang w:val="en-GB" w:eastAsia="en-GB"/>
        </w:rPr>
        <w:br w:type="page"/>
      </w:r>
    </w:p>
    <w:p w:rsidR="002711F1" w:rsidRDefault="002711F1" w:rsidP="002711F1">
      <w:pPr>
        <w:pStyle w:val="Heading1"/>
        <w:jc w:val="both"/>
        <w:rPr>
          <w:snapToGrid w:val="0"/>
        </w:rPr>
      </w:pPr>
      <w:r>
        <w:rPr>
          <w:snapToGrid w:val="0"/>
        </w:rPr>
        <w:lastRenderedPageBreak/>
        <w:t>Conclusion</w:t>
      </w:r>
    </w:p>
    <w:p w:rsidR="00412CB6" w:rsidRPr="00412CB6" w:rsidRDefault="00412CB6" w:rsidP="00412CB6">
      <w:pPr>
        <w:spacing w:before="120" w:after="120"/>
        <w:rPr>
          <w:sz w:val="22"/>
          <w:szCs w:val="22"/>
          <w:lang w:val="en-GB" w:eastAsia="en-GB"/>
        </w:rPr>
      </w:pPr>
      <w:r w:rsidRPr="00412CB6">
        <w:rPr>
          <w:sz w:val="22"/>
          <w:szCs w:val="22"/>
          <w:lang w:val="en-GB" w:eastAsia="en-GB"/>
        </w:rPr>
        <w:t>Observations:</w:t>
      </w:r>
    </w:p>
    <w:p w:rsidR="00B76335" w:rsidRPr="00A10E38" w:rsidRDefault="00B76335" w:rsidP="00B76335">
      <w:pPr>
        <w:snapToGrid w:val="0"/>
        <w:spacing w:before="120" w:after="120"/>
        <w:jc w:val="both"/>
        <w:rPr>
          <w:b/>
          <w:sz w:val="22"/>
          <w:szCs w:val="22"/>
        </w:rPr>
      </w:pPr>
      <w:r w:rsidRPr="00A10E38">
        <w:rPr>
          <w:rFonts w:eastAsia="PMingLiU"/>
          <w:b/>
          <w:sz w:val="22"/>
          <w:szCs w:val="22"/>
        </w:rPr>
        <w:t xml:space="preserve">Observation 1: Supporting </w:t>
      </w:r>
      <w:r w:rsidRPr="00A10E38">
        <w:rPr>
          <w:b/>
          <w:sz w:val="22"/>
          <w:szCs w:val="22"/>
        </w:rPr>
        <w:t>multiple UL and DL packets without transitioning to RRC_CONNECTED implies:</w:t>
      </w:r>
    </w:p>
    <w:p w:rsidR="00B76335" w:rsidRPr="00A10E38" w:rsidRDefault="00B76335" w:rsidP="00B76335">
      <w:pPr>
        <w:pStyle w:val="ListParagraph"/>
        <w:numPr>
          <w:ilvl w:val="0"/>
          <w:numId w:val="28"/>
        </w:numPr>
        <w:snapToGrid w:val="0"/>
        <w:spacing w:before="120" w:after="120"/>
        <w:jc w:val="both"/>
        <w:rPr>
          <w:rFonts w:ascii="Times New Roman" w:hAnsi="Times New Roman"/>
          <w:b/>
        </w:rPr>
      </w:pPr>
      <w:r w:rsidRPr="00A10E38">
        <w:rPr>
          <w:rFonts w:ascii="Times New Roman" w:hAnsi="Times New Roman"/>
          <w:b/>
        </w:rPr>
        <w:t>UL segmentation is supported for SDT;</w:t>
      </w:r>
    </w:p>
    <w:p w:rsidR="00B76335" w:rsidRPr="00A10E38" w:rsidRDefault="00B76335" w:rsidP="00B76335">
      <w:pPr>
        <w:pStyle w:val="ListParagraph"/>
        <w:numPr>
          <w:ilvl w:val="0"/>
          <w:numId w:val="28"/>
        </w:numPr>
        <w:snapToGrid w:val="0"/>
        <w:spacing w:before="120" w:after="120"/>
        <w:jc w:val="both"/>
        <w:rPr>
          <w:rFonts w:ascii="Times New Roman" w:eastAsia="PMingLiU" w:hAnsi="Times New Roman"/>
          <w:b/>
          <w:lang w:eastAsia="ko-KR"/>
        </w:rPr>
      </w:pPr>
      <w:r w:rsidRPr="00A10E38">
        <w:rPr>
          <w:rFonts w:ascii="Times New Roman" w:hAnsi="Times New Roman"/>
          <w:b/>
        </w:rPr>
        <w:t xml:space="preserve">The duration of </w:t>
      </w:r>
      <w:r>
        <w:rPr>
          <w:rFonts w:ascii="Times New Roman" w:hAnsi="Times New Roman"/>
          <w:b/>
        </w:rPr>
        <w:t xml:space="preserve">the </w:t>
      </w:r>
      <w:r w:rsidRPr="00A10E38">
        <w:rPr>
          <w:rFonts w:ascii="Times New Roman" w:hAnsi="Times New Roman"/>
          <w:b/>
        </w:rPr>
        <w:t>UE in INACTIVE performing SDT</w:t>
      </w:r>
      <w:r>
        <w:rPr>
          <w:rFonts w:ascii="Times New Roman" w:hAnsi="Times New Roman"/>
          <w:b/>
        </w:rPr>
        <w:t xml:space="preserve"> is pro</w:t>
      </w:r>
      <w:r w:rsidRPr="00A10E38">
        <w:rPr>
          <w:rFonts w:ascii="Times New Roman" w:hAnsi="Times New Roman"/>
          <w:b/>
        </w:rPr>
        <w:t xml:space="preserve">longed. </w:t>
      </w:r>
    </w:p>
    <w:p w:rsidR="00B76335" w:rsidRDefault="00B76335" w:rsidP="00B76335">
      <w:pPr>
        <w:snapToGrid w:val="0"/>
        <w:spacing w:before="120" w:after="120"/>
        <w:jc w:val="both"/>
        <w:rPr>
          <w:rFonts w:eastAsia="PMingLiU"/>
          <w:b/>
          <w:sz w:val="22"/>
          <w:szCs w:val="22"/>
        </w:rPr>
      </w:pPr>
      <w:r w:rsidRPr="00A10E38">
        <w:rPr>
          <w:rFonts w:eastAsia="PMingLiU"/>
          <w:b/>
          <w:sz w:val="22"/>
          <w:szCs w:val="22"/>
        </w:rPr>
        <w:t xml:space="preserve">Observation </w:t>
      </w:r>
      <w:r>
        <w:rPr>
          <w:rFonts w:eastAsia="PMingLiU"/>
          <w:b/>
          <w:sz w:val="22"/>
          <w:szCs w:val="22"/>
        </w:rPr>
        <w:t>2</w:t>
      </w:r>
      <w:r w:rsidRPr="00A10E38">
        <w:rPr>
          <w:rFonts w:eastAsia="PMingLiU"/>
          <w:b/>
          <w:sz w:val="22"/>
          <w:szCs w:val="22"/>
        </w:rPr>
        <w:t xml:space="preserve">: </w:t>
      </w:r>
      <w:r>
        <w:rPr>
          <w:rFonts w:eastAsia="PMingLiU"/>
          <w:b/>
          <w:sz w:val="22"/>
          <w:szCs w:val="22"/>
        </w:rPr>
        <w:t xml:space="preserve">Msg3 size can’t be used as a criterion to initiate SDT. </w:t>
      </w:r>
    </w:p>
    <w:p w:rsidR="00412CB6" w:rsidRPr="00412CB6" w:rsidRDefault="00412CB6" w:rsidP="00412CB6">
      <w:pPr>
        <w:spacing w:before="120" w:after="120"/>
        <w:rPr>
          <w:sz w:val="22"/>
          <w:szCs w:val="22"/>
          <w:lang w:eastAsia="en-GB"/>
        </w:rPr>
      </w:pPr>
      <w:r w:rsidRPr="00412CB6">
        <w:rPr>
          <w:sz w:val="22"/>
          <w:szCs w:val="22"/>
          <w:lang w:eastAsia="en-GB"/>
        </w:rPr>
        <w:t>Proposals:</w:t>
      </w:r>
    </w:p>
    <w:p w:rsidR="00183709" w:rsidRDefault="00183709" w:rsidP="00183709">
      <w:pPr>
        <w:snapToGrid w:val="0"/>
        <w:spacing w:before="120" w:after="120"/>
        <w:jc w:val="both"/>
        <w:rPr>
          <w:b/>
          <w:sz w:val="22"/>
          <w:szCs w:val="22"/>
          <w:lang w:val="en-GB" w:eastAsia="en-GB"/>
        </w:rPr>
      </w:pPr>
      <w:r w:rsidRPr="002E3ABE">
        <w:rPr>
          <w:b/>
          <w:sz w:val="22"/>
          <w:szCs w:val="22"/>
          <w:lang w:val="en-GB" w:eastAsia="en-GB"/>
        </w:rPr>
        <w:t xml:space="preserve">Proposal 1: The number of UL/DL packets following UL SDT in INACTIVE should be minimized. </w:t>
      </w:r>
    </w:p>
    <w:p w:rsidR="00183709" w:rsidRPr="00196116" w:rsidRDefault="00183709" w:rsidP="00183709">
      <w:pPr>
        <w:snapToGrid w:val="0"/>
        <w:spacing w:before="120" w:after="120"/>
        <w:jc w:val="both"/>
        <w:rPr>
          <w:b/>
          <w:sz w:val="22"/>
          <w:szCs w:val="22"/>
          <w:lang w:val="en-GB" w:eastAsia="en-GB"/>
        </w:rPr>
      </w:pPr>
      <w:r w:rsidRPr="00196116">
        <w:rPr>
          <w:b/>
          <w:sz w:val="22"/>
          <w:szCs w:val="22"/>
          <w:lang w:val="en-GB" w:eastAsia="en-GB"/>
        </w:rPr>
        <w:t xml:space="preserve">Proposal 2: PRACH partitioning is used to indicate the UE’s intention to transmit UL data in MsgA/Msg3. </w:t>
      </w:r>
    </w:p>
    <w:p w:rsidR="00183709" w:rsidRDefault="00183709" w:rsidP="00183709">
      <w:pPr>
        <w:snapToGrid w:val="0"/>
        <w:spacing w:before="120" w:after="120"/>
        <w:jc w:val="both"/>
        <w:rPr>
          <w:b/>
          <w:sz w:val="22"/>
          <w:szCs w:val="22"/>
          <w:lang w:val="en-GB" w:eastAsia="en-GB"/>
        </w:rPr>
      </w:pPr>
      <w:r w:rsidRPr="00196116">
        <w:rPr>
          <w:b/>
          <w:sz w:val="22"/>
          <w:szCs w:val="22"/>
          <w:lang w:val="en-GB" w:eastAsia="en-GB"/>
        </w:rPr>
        <w:t xml:space="preserve">Proposal 3: If both 2-step and 4-step RA type Random Access Resources are configured, separate PRACH resources are reserved for 2-step and 4-step RA respectively. </w:t>
      </w:r>
    </w:p>
    <w:p w:rsidR="00183709" w:rsidRDefault="00183709" w:rsidP="00183709">
      <w:pPr>
        <w:snapToGrid w:val="0"/>
        <w:spacing w:before="120" w:after="120"/>
        <w:jc w:val="both"/>
        <w:rPr>
          <w:rFonts w:eastAsia="PMingLiU"/>
          <w:b/>
          <w:sz w:val="22"/>
          <w:szCs w:val="22"/>
        </w:rPr>
      </w:pPr>
      <w:r w:rsidRPr="003422DB">
        <w:rPr>
          <w:rFonts w:eastAsia="PMingLiU"/>
          <w:b/>
          <w:sz w:val="22"/>
          <w:szCs w:val="22"/>
        </w:rPr>
        <w:t xml:space="preserve">Proposal </w:t>
      </w:r>
      <w:r>
        <w:rPr>
          <w:rFonts w:eastAsia="PMingLiU"/>
          <w:b/>
          <w:sz w:val="22"/>
          <w:szCs w:val="22"/>
        </w:rPr>
        <w:t>4</w:t>
      </w:r>
      <w:r w:rsidRPr="003422DB">
        <w:rPr>
          <w:rFonts w:eastAsia="PMingLiU"/>
          <w:b/>
          <w:sz w:val="22"/>
          <w:szCs w:val="22"/>
        </w:rPr>
        <w:t xml:space="preserve">: The additional SDT specific RSRP threshold is not needed as a criterion to initiate RA-based SDT. </w:t>
      </w:r>
    </w:p>
    <w:p w:rsidR="00183709" w:rsidRDefault="00183709" w:rsidP="00183709">
      <w:pPr>
        <w:snapToGrid w:val="0"/>
        <w:spacing w:before="120" w:after="120"/>
        <w:jc w:val="both"/>
        <w:rPr>
          <w:rFonts w:eastAsia="PMingLiU"/>
          <w:b/>
          <w:sz w:val="22"/>
          <w:szCs w:val="22"/>
        </w:rPr>
      </w:pPr>
      <w:r w:rsidRPr="00F77213">
        <w:rPr>
          <w:rFonts w:eastAsia="PMingLiU"/>
          <w:b/>
          <w:sz w:val="22"/>
          <w:szCs w:val="22"/>
        </w:rPr>
        <w:t xml:space="preserve">Proposal </w:t>
      </w:r>
      <w:r>
        <w:rPr>
          <w:rFonts w:eastAsia="PMingLiU"/>
          <w:b/>
          <w:sz w:val="22"/>
          <w:szCs w:val="22"/>
        </w:rPr>
        <w:t>5</w:t>
      </w:r>
      <w:r w:rsidRPr="00F77213">
        <w:rPr>
          <w:rFonts w:eastAsia="PMingLiU"/>
          <w:b/>
          <w:sz w:val="22"/>
          <w:szCs w:val="22"/>
        </w:rPr>
        <w:t xml:space="preserve">: SDT initiation take precedence over RA type selection, i.e. </w:t>
      </w:r>
      <w:r>
        <w:rPr>
          <w:rFonts w:eastAsia="PMingLiU"/>
          <w:b/>
          <w:sz w:val="22"/>
          <w:szCs w:val="22"/>
        </w:rPr>
        <w:t xml:space="preserve">the </w:t>
      </w:r>
      <w:r w:rsidRPr="00F77213">
        <w:rPr>
          <w:rFonts w:eastAsia="PMingLiU"/>
          <w:b/>
          <w:sz w:val="22"/>
          <w:szCs w:val="22"/>
        </w:rPr>
        <w:t>UE determines to initiate RA-based or CG-based SDT first and then select</w:t>
      </w:r>
      <w:r>
        <w:rPr>
          <w:rFonts w:eastAsia="PMingLiU"/>
          <w:b/>
          <w:sz w:val="22"/>
          <w:szCs w:val="22"/>
        </w:rPr>
        <w:t>s</w:t>
      </w:r>
      <w:r w:rsidRPr="00F77213">
        <w:rPr>
          <w:rFonts w:eastAsia="PMingLiU"/>
          <w:b/>
          <w:sz w:val="22"/>
          <w:szCs w:val="22"/>
        </w:rPr>
        <w:t xml:space="preserve"> </w:t>
      </w:r>
      <w:r>
        <w:rPr>
          <w:rFonts w:eastAsia="PMingLiU"/>
          <w:b/>
          <w:sz w:val="22"/>
          <w:szCs w:val="22"/>
        </w:rPr>
        <w:t xml:space="preserve">to use </w:t>
      </w:r>
      <w:r w:rsidRPr="00F77213">
        <w:rPr>
          <w:rFonts w:eastAsia="PMingLiU"/>
          <w:b/>
          <w:sz w:val="22"/>
          <w:szCs w:val="22"/>
        </w:rPr>
        <w:t xml:space="preserve">2-step or 4-step RA. </w:t>
      </w:r>
    </w:p>
    <w:p w:rsidR="00183709" w:rsidRDefault="00183709" w:rsidP="00183709">
      <w:pPr>
        <w:snapToGrid w:val="0"/>
        <w:spacing w:before="120" w:after="120"/>
        <w:jc w:val="both"/>
        <w:rPr>
          <w:rFonts w:eastAsia="PMingLiU"/>
          <w:b/>
          <w:sz w:val="22"/>
          <w:szCs w:val="22"/>
        </w:rPr>
      </w:pPr>
      <w:r>
        <w:rPr>
          <w:rFonts w:eastAsia="PMingLiU"/>
          <w:b/>
          <w:sz w:val="22"/>
          <w:szCs w:val="22"/>
        </w:rPr>
        <w:t xml:space="preserve">Proposal 6: The UE initiates 2-step RA procedure for SDT when 2-step RA is configured and RSRP is above a configurable threshold. </w:t>
      </w:r>
    </w:p>
    <w:p w:rsidR="00183709" w:rsidRDefault="00183709" w:rsidP="00183709">
      <w:pPr>
        <w:spacing w:before="120" w:after="120"/>
        <w:jc w:val="both"/>
        <w:rPr>
          <w:b/>
          <w:sz w:val="22"/>
          <w:szCs w:val="22"/>
          <w:lang w:val="en-GB" w:eastAsia="en-GB"/>
        </w:rPr>
      </w:pPr>
      <w:r w:rsidRPr="009057C8">
        <w:rPr>
          <w:b/>
          <w:sz w:val="22"/>
          <w:szCs w:val="22"/>
          <w:lang w:val="en-GB" w:eastAsia="en-GB"/>
        </w:rPr>
        <w:t xml:space="preserve">Proposal </w:t>
      </w:r>
      <w:r>
        <w:rPr>
          <w:b/>
          <w:sz w:val="22"/>
          <w:szCs w:val="22"/>
          <w:lang w:val="en-GB" w:eastAsia="en-GB"/>
        </w:rPr>
        <w:t>7</w:t>
      </w:r>
      <w:r w:rsidRPr="009057C8">
        <w:rPr>
          <w:b/>
          <w:sz w:val="22"/>
          <w:szCs w:val="22"/>
          <w:lang w:val="en-GB" w:eastAsia="en-GB"/>
        </w:rPr>
        <w:t xml:space="preserve">: Send LS to RAN1 to evaluate the need of beam management for </w:t>
      </w:r>
      <w:r>
        <w:rPr>
          <w:b/>
          <w:sz w:val="22"/>
          <w:szCs w:val="22"/>
          <w:lang w:val="en-GB" w:eastAsia="en-GB"/>
        </w:rPr>
        <w:t xml:space="preserve">RA-based </w:t>
      </w:r>
      <w:r w:rsidRPr="009057C8">
        <w:rPr>
          <w:b/>
          <w:sz w:val="22"/>
          <w:szCs w:val="22"/>
          <w:lang w:val="en-GB" w:eastAsia="en-GB"/>
        </w:rPr>
        <w:t xml:space="preserve">SDT. </w:t>
      </w:r>
    </w:p>
    <w:p w:rsidR="002711F1" w:rsidRDefault="002711F1" w:rsidP="002711F1">
      <w:pPr>
        <w:pStyle w:val="Heading1"/>
        <w:jc w:val="both"/>
        <w:rPr>
          <w:snapToGrid w:val="0"/>
        </w:rPr>
      </w:pPr>
      <w:r>
        <w:rPr>
          <w:snapToGrid w:val="0"/>
        </w:rPr>
        <w:t>Reference</w:t>
      </w:r>
    </w:p>
    <w:p w:rsidR="002711F1" w:rsidRPr="002711F1" w:rsidRDefault="002711F1" w:rsidP="0003438D">
      <w:pPr>
        <w:spacing w:before="120" w:after="120"/>
        <w:ind w:left="720" w:hanging="720"/>
        <w:rPr>
          <w:rFonts w:eastAsia="Batang"/>
          <w:sz w:val="22"/>
          <w:szCs w:val="22"/>
          <w:lang w:eastAsia="zh-CN"/>
        </w:rPr>
      </w:pPr>
      <w:r w:rsidRPr="002711F1">
        <w:rPr>
          <w:rFonts w:eastAsia="Batang"/>
          <w:sz w:val="22"/>
          <w:szCs w:val="22"/>
          <w:lang w:eastAsia="zh-CN"/>
        </w:rPr>
        <w:t>[1]    RP-193252 Work Item on NR small data transmissions in INACTIVE state</w:t>
      </w:r>
      <w:r w:rsidRPr="002711F1">
        <w:rPr>
          <w:rFonts w:eastAsia="Batang"/>
          <w:sz w:val="22"/>
          <w:szCs w:val="22"/>
          <w:lang w:eastAsia="zh-CN"/>
        </w:rPr>
        <w:tab/>
      </w:r>
    </w:p>
    <w:p w:rsidR="00C63640" w:rsidRPr="002711F1" w:rsidRDefault="002711F1" w:rsidP="0003438D">
      <w:pPr>
        <w:spacing w:before="120" w:after="120"/>
        <w:rPr>
          <w:rFonts w:cs="Arial"/>
          <w:snapToGrid w:val="0"/>
          <w:sz w:val="22"/>
          <w:szCs w:val="22"/>
          <w:lang w:val="en-GB"/>
        </w:rPr>
      </w:pPr>
      <w:r w:rsidRPr="002711F1">
        <w:rPr>
          <w:rFonts w:eastAsia="Batang"/>
          <w:sz w:val="22"/>
          <w:szCs w:val="22"/>
          <w:lang w:eastAsia="zh-CN"/>
        </w:rPr>
        <w:t xml:space="preserve">[2]   [Email discussion] Agreeable details of RRC-based solution for SDT (RACH and CG)  </w:t>
      </w:r>
    </w:p>
    <w:sectPr w:rsidR="00C63640" w:rsidRPr="002711F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6C63" w:rsidRDefault="00EA6C63" w:rsidP="00437837">
      <w:pPr>
        <w:spacing w:after="0" w:line="240" w:lineRule="auto"/>
      </w:pPr>
      <w:r>
        <w:separator/>
      </w:r>
    </w:p>
  </w:endnote>
  <w:endnote w:type="continuationSeparator" w:id="0">
    <w:p w:rsidR="00EA6C63" w:rsidRDefault="00EA6C63" w:rsidP="004378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6C63" w:rsidRDefault="00EA6C63" w:rsidP="00437837">
      <w:pPr>
        <w:spacing w:after="0" w:line="240" w:lineRule="auto"/>
      </w:pPr>
      <w:r>
        <w:separator/>
      </w:r>
    </w:p>
  </w:footnote>
  <w:footnote w:type="continuationSeparator" w:id="0">
    <w:p w:rsidR="00EA6C63" w:rsidRDefault="00EA6C63" w:rsidP="0043783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B82A6C"/>
    <w:multiLevelType w:val="hybridMultilevel"/>
    <w:tmpl w:val="FADA08D8"/>
    <w:lvl w:ilvl="0" w:tplc="9514CC60">
      <w:start w:val="1"/>
      <w:numFmt w:val="bullet"/>
      <w:lvlText w:val="-"/>
      <w:lvlJc w:val="left"/>
      <w:pPr>
        <w:ind w:left="985" w:hanging="420"/>
      </w:pPr>
      <w:rPr>
        <w:rFonts w:ascii="Verdana" w:hAnsi="Verdana" w:hint="default"/>
      </w:rPr>
    </w:lvl>
    <w:lvl w:ilvl="1" w:tplc="08090003">
      <w:start w:val="1"/>
      <w:numFmt w:val="bullet"/>
      <w:lvlText w:val="o"/>
      <w:lvlJc w:val="left"/>
      <w:pPr>
        <w:ind w:left="1405" w:hanging="420"/>
      </w:pPr>
      <w:rPr>
        <w:rFonts w:ascii="Courier New" w:hAnsi="Courier New" w:cs="Courier New" w:hint="default"/>
      </w:rPr>
    </w:lvl>
    <w:lvl w:ilvl="2" w:tplc="04090005" w:tentative="1">
      <w:start w:val="1"/>
      <w:numFmt w:val="bullet"/>
      <w:lvlText w:val=""/>
      <w:lvlJc w:val="left"/>
      <w:pPr>
        <w:ind w:left="1825" w:hanging="420"/>
      </w:pPr>
      <w:rPr>
        <w:rFonts w:ascii="Wingdings" w:hAnsi="Wingdings" w:hint="default"/>
      </w:rPr>
    </w:lvl>
    <w:lvl w:ilvl="3" w:tplc="04090001" w:tentative="1">
      <w:start w:val="1"/>
      <w:numFmt w:val="bullet"/>
      <w:lvlText w:val=""/>
      <w:lvlJc w:val="left"/>
      <w:pPr>
        <w:ind w:left="2245" w:hanging="420"/>
      </w:pPr>
      <w:rPr>
        <w:rFonts w:ascii="Wingdings" w:hAnsi="Wingdings" w:hint="default"/>
      </w:rPr>
    </w:lvl>
    <w:lvl w:ilvl="4" w:tplc="04090003" w:tentative="1">
      <w:start w:val="1"/>
      <w:numFmt w:val="bullet"/>
      <w:lvlText w:val=""/>
      <w:lvlJc w:val="left"/>
      <w:pPr>
        <w:ind w:left="2665" w:hanging="420"/>
      </w:pPr>
      <w:rPr>
        <w:rFonts w:ascii="Wingdings" w:hAnsi="Wingdings" w:hint="default"/>
      </w:rPr>
    </w:lvl>
    <w:lvl w:ilvl="5" w:tplc="04090005" w:tentative="1">
      <w:start w:val="1"/>
      <w:numFmt w:val="bullet"/>
      <w:lvlText w:val=""/>
      <w:lvlJc w:val="left"/>
      <w:pPr>
        <w:ind w:left="3085" w:hanging="420"/>
      </w:pPr>
      <w:rPr>
        <w:rFonts w:ascii="Wingdings" w:hAnsi="Wingdings" w:hint="default"/>
      </w:rPr>
    </w:lvl>
    <w:lvl w:ilvl="6" w:tplc="04090001" w:tentative="1">
      <w:start w:val="1"/>
      <w:numFmt w:val="bullet"/>
      <w:lvlText w:val=""/>
      <w:lvlJc w:val="left"/>
      <w:pPr>
        <w:ind w:left="3505" w:hanging="420"/>
      </w:pPr>
      <w:rPr>
        <w:rFonts w:ascii="Wingdings" w:hAnsi="Wingdings" w:hint="default"/>
      </w:rPr>
    </w:lvl>
    <w:lvl w:ilvl="7" w:tplc="04090003" w:tentative="1">
      <w:start w:val="1"/>
      <w:numFmt w:val="bullet"/>
      <w:lvlText w:val=""/>
      <w:lvlJc w:val="left"/>
      <w:pPr>
        <w:ind w:left="3925" w:hanging="420"/>
      </w:pPr>
      <w:rPr>
        <w:rFonts w:ascii="Wingdings" w:hAnsi="Wingdings" w:hint="default"/>
      </w:rPr>
    </w:lvl>
    <w:lvl w:ilvl="8" w:tplc="04090005" w:tentative="1">
      <w:start w:val="1"/>
      <w:numFmt w:val="bullet"/>
      <w:lvlText w:val=""/>
      <w:lvlJc w:val="left"/>
      <w:pPr>
        <w:ind w:left="4345" w:hanging="420"/>
      </w:pPr>
      <w:rPr>
        <w:rFonts w:ascii="Wingdings" w:hAnsi="Wingdings" w:hint="default"/>
      </w:rPr>
    </w:lvl>
  </w:abstractNum>
  <w:abstractNum w:abstractNumId="1" w15:restartNumberingAfterBreak="0">
    <w:nsid w:val="15022901"/>
    <w:multiLevelType w:val="hybridMultilevel"/>
    <w:tmpl w:val="013A73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242A95"/>
    <w:multiLevelType w:val="hybridMultilevel"/>
    <w:tmpl w:val="5030A2B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4C16EB"/>
    <w:multiLevelType w:val="multilevel"/>
    <w:tmpl w:val="164C16EB"/>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9726782"/>
    <w:multiLevelType w:val="multilevel"/>
    <w:tmpl w:val="19726782"/>
    <w:lvl w:ilvl="0">
      <w:start w:val="3"/>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4847FA"/>
    <w:multiLevelType w:val="hybridMultilevel"/>
    <w:tmpl w:val="F08CF3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A5337F"/>
    <w:multiLevelType w:val="hybridMultilevel"/>
    <w:tmpl w:val="819CD358"/>
    <w:lvl w:ilvl="0" w:tplc="0B9CCD38">
      <w:start w:val="1"/>
      <w:numFmt w:val="decimal"/>
      <w:lvlText w:val="%1."/>
      <w:lvlJc w:val="left"/>
      <w:pPr>
        <w:ind w:left="720" w:hanging="360"/>
      </w:pPr>
      <w:rPr>
        <w:rFonts w:cs="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624B64"/>
    <w:multiLevelType w:val="hybridMultilevel"/>
    <w:tmpl w:val="EF0ADC1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2A255B"/>
    <w:multiLevelType w:val="hybridMultilevel"/>
    <w:tmpl w:val="7CB46E82"/>
    <w:lvl w:ilvl="0" w:tplc="4372F47A">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BF85EF8"/>
    <w:multiLevelType w:val="hybridMultilevel"/>
    <w:tmpl w:val="21A65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952020"/>
    <w:multiLevelType w:val="hybridMultilevel"/>
    <w:tmpl w:val="693E04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7B942FD"/>
    <w:multiLevelType w:val="hybridMultilevel"/>
    <w:tmpl w:val="0FD4BE86"/>
    <w:lvl w:ilvl="0" w:tplc="D19834E8">
      <w:start w:val="1"/>
      <w:numFmt w:val="decimal"/>
      <w:lvlText w:val="%1."/>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67C2364"/>
    <w:multiLevelType w:val="hybridMultilevel"/>
    <w:tmpl w:val="233280F8"/>
    <w:lvl w:ilvl="0" w:tplc="292AACBA">
      <w:numFmt w:val="bullet"/>
      <w:lvlText w:val="-"/>
      <w:lvlJc w:val="left"/>
      <w:pPr>
        <w:ind w:left="360" w:hanging="360"/>
      </w:pPr>
      <w:rPr>
        <w:rFonts w:ascii="Arial" w:eastAsia="MS Mincho"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5863086B"/>
    <w:multiLevelType w:val="hybridMultilevel"/>
    <w:tmpl w:val="F08CF3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895BAA"/>
    <w:multiLevelType w:val="hybridMultilevel"/>
    <w:tmpl w:val="7EAC1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6A173741"/>
    <w:multiLevelType w:val="hybridMultilevel"/>
    <w:tmpl w:val="43628F60"/>
    <w:lvl w:ilvl="0" w:tplc="F490F6C8">
      <w:start w:val="1"/>
      <w:numFmt w:val="decimal"/>
      <w:pStyle w:val="Observation"/>
      <w:lvlText w:val="Observation %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0CE5744"/>
    <w:multiLevelType w:val="hybridMultilevel"/>
    <w:tmpl w:val="85CC7D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14D5FE2"/>
    <w:multiLevelType w:val="hybridMultilevel"/>
    <w:tmpl w:val="299CC48A"/>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21E3962"/>
    <w:multiLevelType w:val="hybridMultilevel"/>
    <w:tmpl w:val="F9DE5E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28D579D"/>
    <w:multiLevelType w:val="hybridMultilevel"/>
    <w:tmpl w:val="E5AA6E00"/>
    <w:lvl w:ilvl="0" w:tplc="805E3696">
      <w:numFmt w:val="bullet"/>
      <w:pStyle w:val="ListParagraph"/>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4712F3"/>
    <w:multiLevelType w:val="hybridMultilevel"/>
    <w:tmpl w:val="65865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69366F"/>
    <w:multiLevelType w:val="multilevel"/>
    <w:tmpl w:val="7869366F"/>
    <w:lvl w:ilvl="0">
      <w:start w:val="3"/>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7BC7483D"/>
    <w:multiLevelType w:val="hybridMultilevel"/>
    <w:tmpl w:val="E9922F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3"/>
  </w:num>
  <w:num w:numId="3">
    <w:abstractNumId w:val="23"/>
  </w:num>
  <w:num w:numId="4">
    <w:abstractNumId w:val="2"/>
  </w:num>
  <w:num w:numId="5">
    <w:abstractNumId w:val="21"/>
  </w:num>
  <w:num w:numId="6">
    <w:abstractNumId w:val="4"/>
  </w:num>
  <w:num w:numId="7">
    <w:abstractNumId w:val="25"/>
  </w:num>
  <w:num w:numId="8">
    <w:abstractNumId w:val="12"/>
  </w:num>
  <w:num w:numId="9">
    <w:abstractNumId w:val="5"/>
  </w:num>
  <w:num w:numId="10">
    <w:abstractNumId w:val="6"/>
  </w:num>
  <w:num w:numId="11">
    <w:abstractNumId w:val="15"/>
  </w:num>
  <w:num w:numId="12">
    <w:abstractNumId w:val="8"/>
  </w:num>
  <w:num w:numId="13">
    <w:abstractNumId w:val="23"/>
  </w:num>
  <w:num w:numId="14">
    <w:abstractNumId w:val="16"/>
  </w:num>
  <w:num w:numId="15">
    <w:abstractNumId w:val="11"/>
  </w:num>
  <w:num w:numId="16">
    <w:abstractNumId w:val="7"/>
  </w:num>
  <w:num w:numId="17">
    <w:abstractNumId w:val="24"/>
  </w:num>
  <w:num w:numId="18">
    <w:abstractNumId w:val="19"/>
  </w:num>
  <w:num w:numId="19">
    <w:abstractNumId w:val="9"/>
  </w:num>
  <w:num w:numId="20">
    <w:abstractNumId w:val="0"/>
  </w:num>
  <w:num w:numId="21">
    <w:abstractNumId w:val="14"/>
  </w:num>
  <w:num w:numId="22">
    <w:abstractNumId w:val="17"/>
  </w:num>
  <w:num w:numId="23">
    <w:abstractNumId w:val="22"/>
  </w:num>
  <w:num w:numId="24">
    <w:abstractNumId w:val="20"/>
  </w:num>
  <w:num w:numId="25">
    <w:abstractNumId w:val="1"/>
  </w:num>
  <w:num w:numId="26">
    <w:abstractNumId w:val="26"/>
  </w:num>
  <w:num w:numId="27">
    <w:abstractNumId w:val="18"/>
  </w:num>
  <w:num w:numId="2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624F"/>
    <w:rsid w:val="000035E7"/>
    <w:rsid w:val="000243C8"/>
    <w:rsid w:val="0003438D"/>
    <w:rsid w:val="00053F11"/>
    <w:rsid w:val="000C3050"/>
    <w:rsid w:val="00104720"/>
    <w:rsid w:val="00106CAE"/>
    <w:rsid w:val="00120684"/>
    <w:rsid w:val="00146381"/>
    <w:rsid w:val="00183709"/>
    <w:rsid w:val="00196116"/>
    <w:rsid w:val="001B624F"/>
    <w:rsid w:val="001E1925"/>
    <w:rsid w:val="001F5EA2"/>
    <w:rsid w:val="00205502"/>
    <w:rsid w:val="00264237"/>
    <w:rsid w:val="002711F1"/>
    <w:rsid w:val="00283884"/>
    <w:rsid w:val="002A148D"/>
    <w:rsid w:val="002A3134"/>
    <w:rsid w:val="002E3ABE"/>
    <w:rsid w:val="003045E1"/>
    <w:rsid w:val="003422DB"/>
    <w:rsid w:val="00342581"/>
    <w:rsid w:val="003503F6"/>
    <w:rsid w:val="003B0A02"/>
    <w:rsid w:val="003B7F73"/>
    <w:rsid w:val="003C42AD"/>
    <w:rsid w:val="003C66A5"/>
    <w:rsid w:val="003E5972"/>
    <w:rsid w:val="003F65B3"/>
    <w:rsid w:val="00412CB6"/>
    <w:rsid w:val="00431C46"/>
    <w:rsid w:val="00437837"/>
    <w:rsid w:val="00451A88"/>
    <w:rsid w:val="00463BA8"/>
    <w:rsid w:val="0047604D"/>
    <w:rsid w:val="004820D2"/>
    <w:rsid w:val="00495695"/>
    <w:rsid w:val="004C0640"/>
    <w:rsid w:val="00515A99"/>
    <w:rsid w:val="005368C6"/>
    <w:rsid w:val="00552C8F"/>
    <w:rsid w:val="0056550E"/>
    <w:rsid w:val="0058003B"/>
    <w:rsid w:val="00582A08"/>
    <w:rsid w:val="005B2F51"/>
    <w:rsid w:val="005C1D2F"/>
    <w:rsid w:val="0060423E"/>
    <w:rsid w:val="00651ADA"/>
    <w:rsid w:val="0065327C"/>
    <w:rsid w:val="0069573C"/>
    <w:rsid w:val="006B1709"/>
    <w:rsid w:val="006C7D57"/>
    <w:rsid w:val="00712273"/>
    <w:rsid w:val="007211BD"/>
    <w:rsid w:val="00736B86"/>
    <w:rsid w:val="00743DEC"/>
    <w:rsid w:val="00745B48"/>
    <w:rsid w:val="007474B2"/>
    <w:rsid w:val="007525DB"/>
    <w:rsid w:val="00754E4D"/>
    <w:rsid w:val="00765B4F"/>
    <w:rsid w:val="00773E93"/>
    <w:rsid w:val="008125B9"/>
    <w:rsid w:val="00834070"/>
    <w:rsid w:val="008472E6"/>
    <w:rsid w:val="0086275B"/>
    <w:rsid w:val="00882550"/>
    <w:rsid w:val="00895F1B"/>
    <w:rsid w:val="008C1019"/>
    <w:rsid w:val="008C2837"/>
    <w:rsid w:val="008D7B50"/>
    <w:rsid w:val="009057C8"/>
    <w:rsid w:val="009128F4"/>
    <w:rsid w:val="009255F2"/>
    <w:rsid w:val="00945268"/>
    <w:rsid w:val="009A73D2"/>
    <w:rsid w:val="009B219E"/>
    <w:rsid w:val="009C0FF4"/>
    <w:rsid w:val="009C3027"/>
    <w:rsid w:val="009C6891"/>
    <w:rsid w:val="009D18AA"/>
    <w:rsid w:val="009E6928"/>
    <w:rsid w:val="00A07D9A"/>
    <w:rsid w:val="00A10E38"/>
    <w:rsid w:val="00A14B7C"/>
    <w:rsid w:val="00A35793"/>
    <w:rsid w:val="00A4787A"/>
    <w:rsid w:val="00A54485"/>
    <w:rsid w:val="00A614EC"/>
    <w:rsid w:val="00A61663"/>
    <w:rsid w:val="00A8101C"/>
    <w:rsid w:val="00A940C7"/>
    <w:rsid w:val="00AA6783"/>
    <w:rsid w:val="00AB2DFC"/>
    <w:rsid w:val="00AC7D51"/>
    <w:rsid w:val="00B26733"/>
    <w:rsid w:val="00B331D3"/>
    <w:rsid w:val="00B42F63"/>
    <w:rsid w:val="00B644AD"/>
    <w:rsid w:val="00B71847"/>
    <w:rsid w:val="00B76335"/>
    <w:rsid w:val="00B8147D"/>
    <w:rsid w:val="00BA13FE"/>
    <w:rsid w:val="00BB2BC5"/>
    <w:rsid w:val="00C01CCB"/>
    <w:rsid w:val="00C052D4"/>
    <w:rsid w:val="00C23953"/>
    <w:rsid w:val="00C62797"/>
    <w:rsid w:val="00C63640"/>
    <w:rsid w:val="00C8498C"/>
    <w:rsid w:val="00CA4AB5"/>
    <w:rsid w:val="00CE2D54"/>
    <w:rsid w:val="00D337A6"/>
    <w:rsid w:val="00D54571"/>
    <w:rsid w:val="00D70106"/>
    <w:rsid w:val="00D72366"/>
    <w:rsid w:val="00DB2619"/>
    <w:rsid w:val="00DE180C"/>
    <w:rsid w:val="00E07E69"/>
    <w:rsid w:val="00E21EF0"/>
    <w:rsid w:val="00E40B50"/>
    <w:rsid w:val="00E42688"/>
    <w:rsid w:val="00E631D9"/>
    <w:rsid w:val="00E715B1"/>
    <w:rsid w:val="00E854BC"/>
    <w:rsid w:val="00E938A8"/>
    <w:rsid w:val="00E9734C"/>
    <w:rsid w:val="00EA6C63"/>
    <w:rsid w:val="00EB4127"/>
    <w:rsid w:val="00EB5BD7"/>
    <w:rsid w:val="00EB60AF"/>
    <w:rsid w:val="00EC38F7"/>
    <w:rsid w:val="00F77213"/>
    <w:rsid w:val="00FA5120"/>
    <w:rsid w:val="00FB6115"/>
    <w:rsid w:val="00FE23D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06A0AB2-B144-4F4F-8926-5A716EE6D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624F"/>
    <w:rPr>
      <w:rFonts w:ascii="Times New Roman" w:eastAsia="Gulim" w:hAnsi="Times New Roman" w:cs="Times New Roman"/>
      <w:sz w:val="24"/>
      <w:szCs w:val="24"/>
      <w:lang w:eastAsia="ko-KR"/>
    </w:rPr>
  </w:style>
  <w:style w:type="paragraph" w:styleId="Heading1">
    <w:name w:val="heading 1"/>
    <w:next w:val="Normal"/>
    <w:link w:val="Heading1Char"/>
    <w:qFormat/>
    <w:rsid w:val="001B624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Times New Roman"/>
      <w:sz w:val="36"/>
      <w:szCs w:val="20"/>
      <w:lang w:val="en-GB" w:eastAsia="en-GB"/>
    </w:rPr>
  </w:style>
  <w:style w:type="paragraph" w:styleId="Heading2">
    <w:name w:val="heading 2"/>
    <w:basedOn w:val="Heading1"/>
    <w:next w:val="Normal"/>
    <w:link w:val="Heading2Char"/>
    <w:qFormat/>
    <w:rsid w:val="001B624F"/>
    <w:pPr>
      <w:pBdr>
        <w:top w:val="none" w:sz="0" w:space="0" w:color="auto"/>
      </w:pBdr>
      <w:spacing w:before="180"/>
      <w:outlineLvl w:val="1"/>
    </w:pPr>
    <w:rPr>
      <w:sz w:val="32"/>
      <w:lang w:val="zh-CN" w:eastAsia="zh-CN"/>
    </w:rPr>
  </w:style>
  <w:style w:type="paragraph" w:styleId="Heading3">
    <w:name w:val="heading 3"/>
    <w:aliases w:val="no break,H3,Underrubrik2,h3,Memo Heading 3,hello,Titre 3 Car,no bre...,no break Car,H3 Car,Underrubrik2 Car,h3 Car,Memo Heading 3 Car,hello Car,Heading 3 Char Car,no break Char Car,H3 Char Car,Underrubrik2 Char Car,h3 Char Car,标题"/>
    <w:basedOn w:val="Heading2"/>
    <w:next w:val="Normal"/>
    <w:link w:val="Heading3Char"/>
    <w:qFormat/>
    <w:rsid w:val="001B624F"/>
    <w:pPr>
      <w:numPr>
        <w:numId w:val="0"/>
      </w:numPr>
      <w:spacing w:before="120"/>
      <w:outlineLvl w:val="2"/>
    </w:pPr>
    <w:rPr>
      <w:sz w:val="28"/>
    </w:rPr>
  </w:style>
  <w:style w:type="paragraph" w:styleId="Heading4">
    <w:name w:val="heading 4"/>
    <w:basedOn w:val="Heading3"/>
    <w:next w:val="Normal"/>
    <w:link w:val="Heading4Char"/>
    <w:qFormat/>
    <w:rsid w:val="001B624F"/>
    <w:pPr>
      <w:numPr>
        <w:ilvl w:val="3"/>
      </w:numPr>
      <w:outlineLvl w:val="3"/>
    </w:pPr>
    <w:rPr>
      <w:sz w:val="24"/>
    </w:rPr>
  </w:style>
  <w:style w:type="paragraph" w:styleId="Heading5">
    <w:name w:val="heading 5"/>
    <w:basedOn w:val="Heading4"/>
    <w:next w:val="Normal"/>
    <w:link w:val="Heading5Char"/>
    <w:qFormat/>
    <w:rsid w:val="001B624F"/>
    <w:pPr>
      <w:numPr>
        <w:ilvl w:val="4"/>
      </w:numPr>
      <w:outlineLvl w:val="4"/>
    </w:pPr>
    <w:rPr>
      <w:sz w:val="22"/>
    </w:rPr>
  </w:style>
  <w:style w:type="paragraph" w:styleId="Heading6">
    <w:name w:val="heading 6"/>
    <w:basedOn w:val="Normal"/>
    <w:next w:val="Normal"/>
    <w:link w:val="Heading6Char"/>
    <w:qFormat/>
    <w:rsid w:val="001B624F"/>
    <w:pPr>
      <w:keepNext/>
      <w:keepLines/>
      <w:numPr>
        <w:ilvl w:val="5"/>
        <w:numId w:val="1"/>
      </w:numPr>
      <w:overflowPunct w:val="0"/>
      <w:autoSpaceDE w:val="0"/>
      <w:autoSpaceDN w:val="0"/>
      <w:adjustRightInd w:val="0"/>
      <w:spacing w:before="120" w:after="180"/>
      <w:textAlignment w:val="baseline"/>
      <w:outlineLvl w:val="5"/>
    </w:pPr>
    <w:rPr>
      <w:rFonts w:ascii="Arial" w:eastAsiaTheme="minorEastAsia" w:hAnsi="Arial"/>
      <w:sz w:val="20"/>
      <w:szCs w:val="20"/>
      <w:lang w:val="zh-CN" w:eastAsia="zh-CN"/>
    </w:rPr>
  </w:style>
  <w:style w:type="paragraph" w:styleId="Heading7">
    <w:name w:val="heading 7"/>
    <w:basedOn w:val="Normal"/>
    <w:next w:val="Normal"/>
    <w:link w:val="Heading7Char"/>
    <w:qFormat/>
    <w:rsid w:val="001B624F"/>
    <w:pPr>
      <w:keepNext/>
      <w:keepLines/>
      <w:numPr>
        <w:ilvl w:val="6"/>
        <w:numId w:val="1"/>
      </w:numPr>
      <w:overflowPunct w:val="0"/>
      <w:autoSpaceDE w:val="0"/>
      <w:autoSpaceDN w:val="0"/>
      <w:adjustRightInd w:val="0"/>
      <w:spacing w:before="120" w:after="180"/>
      <w:textAlignment w:val="baseline"/>
      <w:outlineLvl w:val="6"/>
    </w:pPr>
    <w:rPr>
      <w:rFonts w:ascii="Arial" w:eastAsiaTheme="minorEastAsia" w:hAnsi="Arial"/>
      <w:sz w:val="20"/>
      <w:szCs w:val="20"/>
      <w:lang w:val="zh-CN" w:eastAsia="zh-CN"/>
    </w:rPr>
  </w:style>
  <w:style w:type="paragraph" w:styleId="Heading8">
    <w:name w:val="heading 8"/>
    <w:basedOn w:val="Heading1"/>
    <w:next w:val="Normal"/>
    <w:link w:val="Heading8Char"/>
    <w:qFormat/>
    <w:rsid w:val="001B624F"/>
    <w:pPr>
      <w:numPr>
        <w:ilvl w:val="7"/>
      </w:numPr>
      <w:outlineLvl w:val="7"/>
    </w:pPr>
    <w:rPr>
      <w:lang w:val="zh-CN" w:eastAsia="zh-CN"/>
    </w:rPr>
  </w:style>
  <w:style w:type="paragraph" w:styleId="Heading9">
    <w:name w:val="heading 9"/>
    <w:basedOn w:val="Heading8"/>
    <w:next w:val="Normal"/>
    <w:link w:val="Heading9Char"/>
    <w:qFormat/>
    <w:rsid w:val="001B624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B624F"/>
    <w:rPr>
      <w:rFonts w:ascii="Arial" w:hAnsi="Arial" w:cs="Times New Roman"/>
      <w:sz w:val="36"/>
      <w:szCs w:val="20"/>
      <w:lang w:val="en-GB" w:eastAsia="en-GB"/>
    </w:rPr>
  </w:style>
  <w:style w:type="character" w:customStyle="1" w:styleId="Heading2Char">
    <w:name w:val="Heading 2 Char"/>
    <w:basedOn w:val="DefaultParagraphFont"/>
    <w:link w:val="Heading2"/>
    <w:rsid w:val="001B624F"/>
    <w:rPr>
      <w:rFonts w:ascii="Arial" w:hAnsi="Arial" w:cs="Times New Roman"/>
      <w:sz w:val="32"/>
      <w:szCs w:val="20"/>
      <w:lang w:val="zh-CN" w:eastAsia="zh-CN"/>
    </w:rPr>
  </w:style>
  <w:style w:type="character" w:customStyle="1" w:styleId="Heading3Char">
    <w:name w:val="Heading 3 Char"/>
    <w:aliases w:val="no break Char,H3 Char,Underrubrik2 Char,h3 Char,Memo Heading 3 Char,hello Char,Titre 3 Car Char,no bre... Char,no break Car Char,H3 Car Char,Underrubrik2 Car Char,h3 Car Char,Memo Heading 3 Car Char,hello Car Char,Heading 3 Char Car Char"/>
    <w:basedOn w:val="DefaultParagraphFont"/>
    <w:link w:val="Heading3"/>
    <w:rsid w:val="001B624F"/>
    <w:rPr>
      <w:rFonts w:ascii="Arial" w:hAnsi="Arial" w:cs="Times New Roman"/>
      <w:sz w:val="28"/>
      <w:szCs w:val="20"/>
      <w:lang w:val="zh-CN" w:eastAsia="zh-CN"/>
    </w:rPr>
  </w:style>
  <w:style w:type="character" w:customStyle="1" w:styleId="Heading4Char">
    <w:name w:val="Heading 4 Char"/>
    <w:basedOn w:val="DefaultParagraphFont"/>
    <w:link w:val="Heading4"/>
    <w:rsid w:val="001B624F"/>
    <w:rPr>
      <w:rFonts w:ascii="Arial" w:hAnsi="Arial" w:cs="Times New Roman"/>
      <w:sz w:val="24"/>
      <w:szCs w:val="20"/>
      <w:lang w:val="zh-CN" w:eastAsia="zh-CN"/>
    </w:rPr>
  </w:style>
  <w:style w:type="character" w:customStyle="1" w:styleId="Heading5Char">
    <w:name w:val="Heading 5 Char"/>
    <w:basedOn w:val="DefaultParagraphFont"/>
    <w:link w:val="Heading5"/>
    <w:rsid w:val="001B624F"/>
    <w:rPr>
      <w:rFonts w:ascii="Arial" w:hAnsi="Arial" w:cs="Times New Roman"/>
      <w:szCs w:val="20"/>
      <w:lang w:val="zh-CN" w:eastAsia="zh-CN"/>
    </w:rPr>
  </w:style>
  <w:style w:type="character" w:customStyle="1" w:styleId="Heading6Char">
    <w:name w:val="Heading 6 Char"/>
    <w:basedOn w:val="DefaultParagraphFont"/>
    <w:link w:val="Heading6"/>
    <w:rsid w:val="001B624F"/>
    <w:rPr>
      <w:rFonts w:ascii="Arial" w:hAnsi="Arial" w:cs="Times New Roman"/>
      <w:sz w:val="20"/>
      <w:szCs w:val="20"/>
      <w:lang w:val="zh-CN" w:eastAsia="zh-CN"/>
    </w:rPr>
  </w:style>
  <w:style w:type="character" w:customStyle="1" w:styleId="Heading7Char">
    <w:name w:val="Heading 7 Char"/>
    <w:basedOn w:val="DefaultParagraphFont"/>
    <w:link w:val="Heading7"/>
    <w:rsid w:val="001B624F"/>
    <w:rPr>
      <w:rFonts w:ascii="Arial" w:hAnsi="Arial" w:cs="Times New Roman"/>
      <w:sz w:val="20"/>
      <w:szCs w:val="20"/>
      <w:lang w:val="zh-CN" w:eastAsia="zh-CN"/>
    </w:rPr>
  </w:style>
  <w:style w:type="character" w:customStyle="1" w:styleId="Heading8Char">
    <w:name w:val="Heading 8 Char"/>
    <w:basedOn w:val="DefaultParagraphFont"/>
    <w:link w:val="Heading8"/>
    <w:rsid w:val="001B624F"/>
    <w:rPr>
      <w:rFonts w:ascii="Arial" w:hAnsi="Arial" w:cs="Times New Roman"/>
      <w:sz w:val="36"/>
      <w:szCs w:val="20"/>
      <w:lang w:val="zh-CN" w:eastAsia="zh-CN"/>
    </w:rPr>
  </w:style>
  <w:style w:type="character" w:customStyle="1" w:styleId="Heading9Char">
    <w:name w:val="Heading 9 Char"/>
    <w:basedOn w:val="DefaultParagraphFont"/>
    <w:link w:val="Heading9"/>
    <w:rsid w:val="001B624F"/>
    <w:rPr>
      <w:rFonts w:ascii="Arial" w:hAnsi="Arial" w:cs="Times New Roman"/>
      <w:sz w:val="36"/>
      <w:szCs w:val="20"/>
      <w:lang w:val="zh-CN" w:eastAsia="zh-CN"/>
    </w:rPr>
  </w:style>
  <w:style w:type="paragraph" w:customStyle="1" w:styleId="EmailDiscussion">
    <w:name w:val="EmailDiscussion"/>
    <w:basedOn w:val="Normal"/>
    <w:next w:val="Normal"/>
    <w:link w:val="EmailDiscussionChar"/>
    <w:qFormat/>
    <w:rsid w:val="001B624F"/>
    <w:pPr>
      <w:numPr>
        <w:numId w:val="2"/>
      </w:numPr>
      <w:spacing w:before="40"/>
    </w:pPr>
    <w:rPr>
      <w:rFonts w:ascii="Arial" w:eastAsia="MS Mincho" w:hAnsi="Arial"/>
      <w:b/>
      <w:sz w:val="20"/>
      <w:lang w:val="en-GB" w:eastAsia="en-GB"/>
    </w:rPr>
  </w:style>
  <w:style w:type="character" w:customStyle="1" w:styleId="EmailDiscussionChar">
    <w:name w:val="EmailDiscussion Char"/>
    <w:link w:val="EmailDiscussion"/>
    <w:rsid w:val="001B624F"/>
    <w:rPr>
      <w:rFonts w:ascii="Arial" w:eastAsia="MS Mincho" w:hAnsi="Arial" w:cs="Times New Roman"/>
      <w:b/>
      <w:sz w:val="20"/>
      <w:szCs w:val="24"/>
      <w:lang w:val="en-GB" w:eastAsia="en-GB"/>
    </w:rPr>
  </w:style>
  <w:style w:type="paragraph" w:customStyle="1" w:styleId="EmailDiscussion2">
    <w:name w:val="EmailDiscussion2"/>
    <w:basedOn w:val="Normal"/>
    <w:uiPriority w:val="99"/>
    <w:qFormat/>
    <w:rsid w:val="001B624F"/>
    <w:pPr>
      <w:tabs>
        <w:tab w:val="left" w:pos="1622"/>
      </w:tabs>
      <w:ind w:left="1622" w:hanging="363"/>
    </w:pPr>
    <w:rPr>
      <w:rFonts w:ascii="Arial" w:eastAsia="MS Mincho" w:hAnsi="Arial"/>
      <w:sz w:val="20"/>
      <w:lang w:val="en-GB" w:eastAsia="en-GB"/>
    </w:rPr>
  </w:style>
  <w:style w:type="paragraph" w:customStyle="1" w:styleId="Doc-text2">
    <w:name w:val="Doc-text2"/>
    <w:basedOn w:val="Normal"/>
    <w:link w:val="Doc-text2Char"/>
    <w:qFormat/>
    <w:rsid w:val="0058003B"/>
    <w:pPr>
      <w:tabs>
        <w:tab w:val="left" w:pos="1622"/>
      </w:tabs>
      <w:spacing w:after="0" w:line="240" w:lineRule="auto"/>
      <w:ind w:left="1622" w:hanging="363"/>
    </w:pPr>
    <w:rPr>
      <w:rFonts w:ascii="Arial" w:eastAsia="MS Mincho" w:hAnsi="Arial"/>
      <w:sz w:val="20"/>
      <w:lang w:val="en-GB" w:eastAsia="en-GB"/>
    </w:rPr>
  </w:style>
  <w:style w:type="character" w:customStyle="1" w:styleId="Doc-text2Char">
    <w:name w:val="Doc-text2 Char"/>
    <w:link w:val="Doc-text2"/>
    <w:qFormat/>
    <w:rsid w:val="0058003B"/>
    <w:rPr>
      <w:rFonts w:ascii="Arial" w:eastAsia="MS Mincho" w:hAnsi="Arial" w:cs="Times New Roman"/>
      <w:sz w:val="20"/>
      <w:szCs w:val="24"/>
      <w:lang w:val="en-GB" w:eastAsia="en-GB"/>
    </w:rPr>
  </w:style>
  <w:style w:type="paragraph" w:styleId="ListParagraph">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A940C7"/>
    <w:pPr>
      <w:numPr>
        <w:numId w:val="3"/>
      </w:numPr>
      <w:overflowPunct w:val="0"/>
      <w:autoSpaceDE w:val="0"/>
      <w:autoSpaceDN w:val="0"/>
      <w:adjustRightInd w:val="0"/>
      <w:spacing w:after="240" w:line="240" w:lineRule="auto"/>
      <w:contextualSpacing/>
      <w:textAlignment w:val="baseline"/>
    </w:pPr>
    <w:rPr>
      <w:rFonts w:asciiTheme="minorHAnsi" w:eastAsia="宋体" w:hAnsiTheme="minorHAnsi"/>
      <w:sz w:val="22"/>
      <w:szCs w:val="22"/>
      <w:lang w:val="en-GB" w:eastAsia="en-US"/>
    </w:rPr>
  </w:style>
  <w:style w:type="character" w:customStyle="1" w:styleId="ListParagraphChar">
    <w:name w:val="List Paragraph Char"/>
    <w:aliases w:val="- Bullets Char,목록 단락 Char,列出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A940C7"/>
    <w:rPr>
      <w:rFonts w:eastAsia="宋体" w:cs="Times New Roman"/>
      <w:lang w:val="en-GB" w:eastAsia="en-US"/>
    </w:rPr>
  </w:style>
  <w:style w:type="paragraph" w:styleId="Header">
    <w:name w:val="header"/>
    <w:basedOn w:val="Normal"/>
    <w:link w:val="HeaderChar"/>
    <w:uiPriority w:val="99"/>
    <w:unhideWhenUsed/>
    <w:rsid w:val="00437837"/>
    <w:pPr>
      <w:tabs>
        <w:tab w:val="center" w:pos="4320"/>
        <w:tab w:val="right" w:pos="8640"/>
      </w:tabs>
      <w:spacing w:after="0" w:line="240" w:lineRule="auto"/>
    </w:pPr>
  </w:style>
  <w:style w:type="character" w:customStyle="1" w:styleId="HeaderChar">
    <w:name w:val="Header Char"/>
    <w:basedOn w:val="DefaultParagraphFont"/>
    <w:link w:val="Header"/>
    <w:uiPriority w:val="99"/>
    <w:rsid w:val="00437837"/>
    <w:rPr>
      <w:rFonts w:ascii="Times New Roman" w:eastAsia="Gulim" w:hAnsi="Times New Roman" w:cs="Times New Roman"/>
      <w:sz w:val="24"/>
      <w:szCs w:val="24"/>
      <w:lang w:eastAsia="ko-KR"/>
    </w:rPr>
  </w:style>
  <w:style w:type="paragraph" w:styleId="Footer">
    <w:name w:val="footer"/>
    <w:basedOn w:val="Normal"/>
    <w:link w:val="FooterChar"/>
    <w:uiPriority w:val="99"/>
    <w:unhideWhenUsed/>
    <w:rsid w:val="00437837"/>
    <w:pPr>
      <w:tabs>
        <w:tab w:val="center" w:pos="4320"/>
        <w:tab w:val="right" w:pos="8640"/>
      </w:tabs>
      <w:spacing w:after="0" w:line="240" w:lineRule="auto"/>
    </w:pPr>
  </w:style>
  <w:style w:type="character" w:customStyle="1" w:styleId="FooterChar">
    <w:name w:val="Footer Char"/>
    <w:basedOn w:val="DefaultParagraphFont"/>
    <w:link w:val="Footer"/>
    <w:uiPriority w:val="99"/>
    <w:rsid w:val="00437837"/>
    <w:rPr>
      <w:rFonts w:ascii="Times New Roman" w:eastAsia="Gulim" w:hAnsi="Times New Roman" w:cs="Times New Roman"/>
      <w:sz w:val="24"/>
      <w:szCs w:val="24"/>
      <w:lang w:eastAsia="ko-KR"/>
    </w:rPr>
  </w:style>
  <w:style w:type="paragraph" w:styleId="List">
    <w:name w:val="List"/>
    <w:basedOn w:val="Normal"/>
    <w:rsid w:val="00437837"/>
    <w:pPr>
      <w:overflowPunct w:val="0"/>
      <w:autoSpaceDE w:val="0"/>
      <w:autoSpaceDN w:val="0"/>
      <w:adjustRightInd w:val="0"/>
      <w:spacing w:after="120" w:line="240" w:lineRule="auto"/>
      <w:ind w:left="568" w:hanging="284"/>
      <w:jc w:val="both"/>
      <w:textAlignment w:val="baseline"/>
    </w:pPr>
    <w:rPr>
      <w:rFonts w:ascii="Arial" w:eastAsia="Times New Roman" w:hAnsi="Arial"/>
      <w:sz w:val="20"/>
      <w:szCs w:val="20"/>
      <w:lang w:val="en-GB" w:eastAsia="zh-CN"/>
    </w:rPr>
  </w:style>
  <w:style w:type="paragraph" w:customStyle="1" w:styleId="Agreement">
    <w:name w:val="Agreement"/>
    <w:basedOn w:val="Normal"/>
    <w:next w:val="Doc-text2"/>
    <w:qFormat/>
    <w:rsid w:val="00B71847"/>
    <w:pPr>
      <w:numPr>
        <w:numId w:val="18"/>
      </w:numPr>
      <w:spacing w:before="60" w:after="0" w:line="240" w:lineRule="auto"/>
    </w:pPr>
    <w:rPr>
      <w:rFonts w:ascii="Arial" w:eastAsia="MS Mincho" w:hAnsi="Arial"/>
      <w:b/>
      <w:sz w:val="20"/>
      <w:lang w:val="en-GB" w:eastAsia="en-GB"/>
    </w:rPr>
  </w:style>
  <w:style w:type="paragraph" w:styleId="BodyText">
    <w:name w:val="Body Text"/>
    <w:basedOn w:val="Normal"/>
    <w:link w:val="BodyTextChar"/>
    <w:rsid w:val="00E938A8"/>
    <w:rPr>
      <w:rFonts w:asciiTheme="minorHAnsi" w:eastAsiaTheme="minorEastAsia" w:hAnsiTheme="minorHAnsi" w:cstheme="minorBidi"/>
      <w:sz w:val="22"/>
      <w:szCs w:val="22"/>
      <w:lang w:eastAsia="zh-TW"/>
    </w:rPr>
  </w:style>
  <w:style w:type="character" w:customStyle="1" w:styleId="BodyTextChar">
    <w:name w:val="Body Text Char"/>
    <w:basedOn w:val="DefaultParagraphFont"/>
    <w:link w:val="BodyText"/>
    <w:rsid w:val="00E938A8"/>
  </w:style>
  <w:style w:type="table" w:styleId="TableGrid">
    <w:name w:val="Table Grid"/>
    <w:basedOn w:val="TableNormal"/>
    <w:uiPriority w:val="59"/>
    <w:rsid w:val="00E938A8"/>
    <w:pPr>
      <w:spacing w:after="0" w:line="240" w:lineRule="auto"/>
    </w:pPr>
    <w:rPr>
      <w:rFonts w:eastAsia="MS Mincho" w:cs="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Normal"/>
    <w:next w:val="Doc-text2"/>
    <w:link w:val="Doc-titleChar"/>
    <w:qFormat/>
    <w:rsid w:val="00E40B50"/>
    <w:pPr>
      <w:spacing w:before="60" w:after="0" w:line="240" w:lineRule="auto"/>
      <w:ind w:left="1259" w:hanging="1259"/>
    </w:pPr>
    <w:rPr>
      <w:rFonts w:ascii="Arial" w:eastAsia="MS Mincho" w:hAnsi="Arial"/>
      <w:noProof/>
      <w:sz w:val="20"/>
      <w:lang w:val="en-GB" w:eastAsia="en-GB"/>
    </w:rPr>
  </w:style>
  <w:style w:type="character" w:customStyle="1" w:styleId="Doc-titleChar">
    <w:name w:val="Doc-title Char"/>
    <w:link w:val="Doc-title"/>
    <w:qFormat/>
    <w:rsid w:val="00E40B50"/>
    <w:rPr>
      <w:rFonts w:ascii="Arial" w:eastAsia="MS Mincho" w:hAnsi="Arial" w:cs="Times New Roman"/>
      <w:noProof/>
      <w:sz w:val="20"/>
      <w:szCs w:val="24"/>
      <w:lang w:val="en-GB" w:eastAsia="en-GB"/>
    </w:rPr>
  </w:style>
  <w:style w:type="paragraph" w:customStyle="1" w:styleId="Observation">
    <w:name w:val="Observation"/>
    <w:basedOn w:val="Normal"/>
    <w:qFormat/>
    <w:rsid w:val="00582A08"/>
    <w:pPr>
      <w:numPr>
        <w:numId w:val="27"/>
      </w:numPr>
      <w:overflowPunct w:val="0"/>
      <w:autoSpaceDE w:val="0"/>
      <w:autoSpaceDN w:val="0"/>
      <w:adjustRightInd w:val="0"/>
      <w:spacing w:before="240" w:after="0" w:line="240" w:lineRule="auto"/>
      <w:ind w:left="1620" w:hanging="1620"/>
      <w:jc w:val="both"/>
      <w:textAlignment w:val="baseline"/>
    </w:pPr>
    <w:rPr>
      <w:rFonts w:ascii="Calibri" w:eastAsia="宋体" w:hAnsi="Calibri" w:cs="Calibri"/>
      <w:b/>
      <w:sz w:val="20"/>
      <w:szCs w:val="20"/>
      <w:lang w:eastAsia="zh-CN"/>
    </w:rPr>
  </w:style>
  <w:style w:type="paragraph" w:customStyle="1" w:styleId="NO">
    <w:name w:val="NO"/>
    <w:basedOn w:val="Normal"/>
    <w:link w:val="NOChar"/>
    <w:qFormat/>
    <w:rsid w:val="00945268"/>
    <w:pPr>
      <w:keepLines/>
      <w:overflowPunct w:val="0"/>
      <w:autoSpaceDE w:val="0"/>
      <w:autoSpaceDN w:val="0"/>
      <w:adjustRightInd w:val="0"/>
      <w:spacing w:after="180" w:line="240" w:lineRule="auto"/>
      <w:ind w:left="1135" w:hanging="851"/>
      <w:textAlignment w:val="baseline"/>
    </w:pPr>
    <w:rPr>
      <w:rFonts w:eastAsia="Times New Roman"/>
      <w:sz w:val="20"/>
      <w:szCs w:val="20"/>
      <w:lang w:val="en-GB" w:eastAsia="ja-JP"/>
    </w:rPr>
  </w:style>
  <w:style w:type="character" w:customStyle="1" w:styleId="NOChar">
    <w:name w:val="NO Char"/>
    <w:link w:val="NO"/>
    <w:qFormat/>
    <w:rsid w:val="00945268"/>
    <w:rPr>
      <w:rFonts w:ascii="Times New Roman" w:eastAsia="Times New Roman" w:hAnsi="Times New Roman" w:cs="Times New Roman"/>
      <w:sz w:val="20"/>
      <w:szCs w:val="20"/>
      <w:lang w:val="en-GB" w:eastAsia="ja-JP"/>
    </w:rPr>
  </w:style>
  <w:style w:type="paragraph" w:customStyle="1" w:styleId="B-Body">
    <w:name w:val="B-Body"/>
    <w:link w:val="B-BodyChar"/>
    <w:uiPriority w:val="30"/>
    <w:qFormat/>
    <w:rsid w:val="003422DB"/>
    <w:pPr>
      <w:tabs>
        <w:tab w:val="left" w:pos="2160"/>
      </w:tabs>
      <w:spacing w:before="120" w:after="40" w:line="240" w:lineRule="auto"/>
      <w:ind w:left="720"/>
    </w:pPr>
    <w:rPr>
      <w:rFonts w:ascii="Times New Roman" w:eastAsia="宋体" w:hAnsi="Times New Roman" w:cs="Times New Roman"/>
      <w:szCs w:val="20"/>
      <w:lang w:eastAsia="en-US"/>
    </w:rPr>
  </w:style>
  <w:style w:type="character" w:customStyle="1" w:styleId="B-BodyChar">
    <w:name w:val="B-Body Char"/>
    <w:basedOn w:val="DefaultParagraphFont"/>
    <w:link w:val="B-Body"/>
    <w:uiPriority w:val="30"/>
    <w:rsid w:val="003422DB"/>
    <w:rPr>
      <w:rFonts w:ascii="Times New Roman" w:eastAsia="宋体" w:hAnsi="Times New Roman" w:cs="Times New Roman"/>
      <w:szCs w:val="20"/>
      <w:lang w:eastAsia="en-US"/>
    </w:rPr>
  </w:style>
  <w:style w:type="character" w:customStyle="1" w:styleId="CRCoverPageZchn">
    <w:name w:val="CR Cover Page Zchn"/>
    <w:link w:val="CRCoverPage"/>
    <w:locked/>
    <w:rsid w:val="004C0640"/>
    <w:rPr>
      <w:rFonts w:ascii="Arial" w:hAnsi="Arial" w:cs="Arial"/>
      <w:lang w:val="en-GB" w:eastAsia="en-US"/>
    </w:rPr>
  </w:style>
  <w:style w:type="paragraph" w:customStyle="1" w:styleId="CRCoverPage">
    <w:name w:val="CR Cover Page"/>
    <w:link w:val="CRCoverPageZchn"/>
    <w:rsid w:val="004C0640"/>
    <w:pPr>
      <w:spacing w:after="120" w:line="240" w:lineRule="auto"/>
    </w:pPr>
    <w:rPr>
      <w:rFonts w:ascii="Arial" w:hAnsi="Arial" w:cs="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332958-06CC-4646-B9E4-BB4993C38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1314</Words>
  <Characters>7495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8792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 Zhang (张园园)</dc:creator>
  <cp:keywords/>
  <dc:description/>
  <cp:lastModifiedBy>YuanY Zhang (张园园)</cp:lastModifiedBy>
  <cp:revision>2</cp:revision>
  <dcterms:created xsi:type="dcterms:W3CDTF">2020-10-23T03:33:00Z</dcterms:created>
  <dcterms:modified xsi:type="dcterms:W3CDTF">2020-10-23T03:33:00Z</dcterms:modified>
</cp:coreProperties>
</file>