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0E6E1683"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707CF0">
        <w:rPr>
          <w:rFonts w:ascii="Arial" w:eastAsia="Times New Roman" w:hAnsi="Arial"/>
          <w:b/>
          <w:bCs/>
          <w:sz w:val="24"/>
          <w:szCs w:val="24"/>
        </w:rPr>
        <w:t>2</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71BC41DC" w:rsidRPr="42CF9C66">
        <w:rPr>
          <w:rFonts w:ascii="Arial" w:hAnsi="Arial" w:cs="Arial"/>
          <w:b/>
          <w:bCs/>
          <w:color w:val="000000" w:themeColor="text1"/>
          <w:sz w:val="26"/>
          <w:szCs w:val="26"/>
        </w:rPr>
        <w:t xml:space="preserve"> R2-2008981</w:t>
      </w:r>
    </w:p>
    <w:p w14:paraId="110EB4B6" w14:textId="6DC2D642"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707CF0" w:rsidRPr="002F3F8F">
        <w:rPr>
          <w:rFonts w:ascii="Arial" w:hAnsi="Arial"/>
          <w:b/>
          <w:bCs/>
          <w:sz w:val="24"/>
          <w:szCs w:val="24"/>
          <w:lang w:eastAsia="zh-CN"/>
        </w:rPr>
        <w:t>Nov 2</w:t>
      </w:r>
      <w:r w:rsidR="00707CF0" w:rsidRPr="002F3F8F">
        <w:rPr>
          <w:rFonts w:ascii="Arial" w:hAnsi="Arial"/>
          <w:b/>
          <w:bCs/>
          <w:sz w:val="24"/>
          <w:szCs w:val="24"/>
          <w:vertAlign w:val="superscript"/>
          <w:lang w:eastAsia="zh-CN"/>
        </w:rPr>
        <w:t>nd</w:t>
      </w:r>
      <w:r w:rsidR="00707CF0">
        <w:rPr>
          <w:rFonts w:ascii="Arial" w:hAnsi="Arial"/>
          <w:b/>
          <w:bCs/>
          <w:sz w:val="24"/>
          <w:szCs w:val="24"/>
          <w:lang w:eastAsia="zh-CN"/>
        </w:rPr>
        <w:t xml:space="preserve"> </w:t>
      </w:r>
      <w:r w:rsidR="00707CF0" w:rsidRPr="002F3F8F">
        <w:rPr>
          <w:rFonts w:ascii="Arial" w:hAnsi="Arial"/>
          <w:b/>
          <w:bCs/>
          <w:sz w:val="24"/>
          <w:szCs w:val="24"/>
          <w:lang w:eastAsia="zh-CN"/>
        </w:rPr>
        <w:t>- 13</w:t>
      </w:r>
      <w:r w:rsidR="00707CF0" w:rsidRPr="002F3F8F">
        <w:rPr>
          <w:rFonts w:ascii="Arial" w:hAnsi="Arial"/>
          <w:b/>
          <w:bCs/>
          <w:sz w:val="24"/>
          <w:szCs w:val="24"/>
          <w:vertAlign w:val="superscript"/>
          <w:lang w:eastAsia="zh-CN"/>
        </w:rPr>
        <w:t>th</w:t>
      </w:r>
      <w:r w:rsidR="00707CF0">
        <w:rPr>
          <w:rFonts w:ascii="Arial" w:hAnsi="Arial"/>
          <w:b/>
          <w:bCs/>
          <w:sz w:val="24"/>
          <w:szCs w:val="24"/>
          <w:lang w:eastAsia="zh-CN"/>
        </w:rPr>
        <w:t xml:space="preserve"> </w:t>
      </w:r>
      <w:r w:rsidR="00707CF0" w:rsidRPr="002F3F8F">
        <w:rPr>
          <w:rFonts w:ascii="Arial" w:hAnsi="Arial"/>
          <w:b/>
          <w:bCs/>
          <w:sz w:val="24"/>
          <w:szCs w:val="24"/>
          <w:lang w:eastAsia="zh-CN"/>
        </w:rPr>
        <w:t>2020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177E450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FF6BF9">
        <w:rPr>
          <w:rFonts w:ascii="Arial" w:eastAsia="MS Mincho" w:hAnsi="Arial" w:cs="Arial"/>
          <w:b/>
          <w:bCs/>
          <w:sz w:val="24"/>
          <w:szCs w:val="24"/>
        </w:rPr>
        <w:t>3.</w:t>
      </w:r>
      <w:r w:rsidR="00453A9C">
        <w:rPr>
          <w:rFonts w:ascii="Arial" w:eastAsia="MS Mincho" w:hAnsi="Arial" w:cs="Arial"/>
          <w:b/>
          <w:bCs/>
          <w:sz w:val="24"/>
          <w:szCs w:val="24"/>
        </w:rPr>
        <w:t>3</w:t>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F11B88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673B54">
        <w:rPr>
          <w:rFonts w:ascii="Arial" w:eastAsia="Times New Roman" w:hAnsi="Arial" w:cs="Arial"/>
          <w:b/>
          <w:bCs/>
          <w:sz w:val="24"/>
        </w:rPr>
        <w:t xml:space="preserve">Feeder link switch </w:t>
      </w:r>
      <w:r w:rsidR="00673B54">
        <w:rPr>
          <w:rFonts w:ascii="Arial" w:eastAsia="Times New Roman" w:hAnsi="Arial" w:cs="Arial"/>
          <w:b/>
          <w:bCs/>
          <w:sz w:val="24"/>
          <w:szCs w:val="24"/>
        </w:rPr>
        <w:t>over</w:t>
      </w:r>
      <w:r w:rsidR="005D6D93">
        <w:rPr>
          <w:rFonts w:ascii="Arial" w:eastAsia="Times New Roman" w:hAnsi="Arial" w:cs="Arial"/>
          <w:b/>
          <w:bCs/>
          <w:sz w:val="24"/>
          <w:szCs w:val="24"/>
        </w:rPr>
        <w:t xml:space="preserve">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1D09D39A" w:rsidR="00783B93" w:rsidRDefault="00783B93" w:rsidP="00783B93">
      <w:pPr>
        <w:pStyle w:val="Heading1"/>
        <w:numPr>
          <w:ilvl w:val="0"/>
          <w:numId w:val="1"/>
        </w:numPr>
        <w:pBdr>
          <w:top w:val="single" w:sz="12" w:space="2" w:color="auto"/>
        </w:pBdr>
      </w:pPr>
      <w:r>
        <w:t xml:space="preserve">Introduction </w:t>
      </w:r>
    </w:p>
    <w:p w14:paraId="4743F797" w14:textId="5A7F5B29" w:rsidR="00671F9E" w:rsidRDefault="005A2611" w:rsidP="005A2611">
      <w:pPr>
        <w:tabs>
          <w:tab w:val="left" w:pos="2070"/>
        </w:tabs>
        <w:rPr>
          <w:lang w:val="en-US"/>
        </w:rPr>
      </w:pPr>
      <w:r>
        <w:t xml:space="preserve">So far </w:t>
      </w:r>
      <w:proofErr w:type="spellStart"/>
      <w:r>
        <w:t>til</w:t>
      </w:r>
      <w:proofErr w:type="spellEnd"/>
      <w:r>
        <w:t xml:space="preserve"> last meeting, we have the following agreements:</w:t>
      </w:r>
    </w:p>
    <w:p w14:paraId="1C7070D1" w14:textId="77777777" w:rsidR="00671F9E" w:rsidRDefault="00671F9E" w:rsidP="00671F9E">
      <w:pPr>
        <w:pStyle w:val="Doc-text2"/>
        <w:pBdr>
          <w:top w:val="single" w:sz="4" w:space="1" w:color="auto"/>
          <w:left w:val="single" w:sz="4" w:space="4" w:color="auto"/>
          <w:bottom w:val="single" w:sz="4" w:space="1" w:color="auto"/>
          <w:right w:val="single" w:sz="4" w:space="4" w:color="auto"/>
        </w:pBdr>
      </w:pPr>
      <w:r>
        <w:t>Agreements:</w:t>
      </w:r>
    </w:p>
    <w:p w14:paraId="20A4BE52"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 xml:space="preserve">RAN2 stick to WI scenarios: Any restriction, e.g. on the LEO altitude (if needed) could come from other groups. </w:t>
      </w:r>
    </w:p>
    <w:p w14:paraId="6B2612B3"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 xml:space="preserve">From RAN2 perspective, the table 4.2-2 of [TR 38.821] is used as a baseline for the normative work, with the removal of the regenerative payload option </w:t>
      </w:r>
    </w:p>
    <w:p w14:paraId="2EA83EBC"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(as the WI is restricted to transparent payload) we assume that the feeder link will use NR (how the satellite is controlled is out of the scope of the WI)</w:t>
      </w:r>
    </w:p>
    <w:p w14:paraId="077B86BF"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RAN2 confirms the assumptions on the UE ground speed in the handheld and VSAT cases</w:t>
      </w:r>
    </w:p>
    <w:p w14:paraId="28ECF5B3"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rPr>
          <w:lang w:val="en-US"/>
        </w:rPr>
        <w:t>In Rel-17, only UEs with GNSS capabilities are supported</w:t>
      </w:r>
    </w:p>
    <w:p w14:paraId="257743FE" w14:textId="5D472D1B" w:rsidR="00671F9E" w:rsidRDefault="00671F9E" w:rsidP="00653A6B">
      <w:pPr>
        <w:pStyle w:val="Doc-text2"/>
        <w:numPr>
          <w:ilvl w:val="0"/>
          <w:numId w:val="21"/>
        </w:numPr>
        <w:pBdr>
          <w:top w:val="single" w:sz="4" w:space="1" w:color="auto"/>
          <w:left w:val="single" w:sz="4" w:space="4" w:color="auto"/>
          <w:bottom w:val="single" w:sz="4" w:space="1" w:color="auto"/>
          <w:right w:val="single" w:sz="4" w:space="4" w:color="auto"/>
        </w:pBdr>
      </w:pPr>
      <w:r>
        <w:t>Both Earth fixed and earth moving beam scenarios are considered with NGSO constellation.</w:t>
      </w:r>
    </w:p>
    <w:p w14:paraId="5892A0C6" w14:textId="0C2EA7F2" w:rsidR="00AC5D18" w:rsidRDefault="00AC5D18" w:rsidP="00653A6B"/>
    <w:p w14:paraId="1CE1962B" w14:textId="77777777" w:rsidR="00AC5D18" w:rsidRDefault="00AC5D18" w:rsidP="00AC5D18">
      <w:pPr>
        <w:pStyle w:val="Doc-text2"/>
        <w:numPr>
          <w:ilvl w:val="0"/>
          <w:numId w:val="22"/>
        </w:numPr>
        <w:pBdr>
          <w:top w:val="single" w:sz="4" w:space="1" w:color="auto"/>
          <w:left w:val="single" w:sz="4" w:space="4" w:color="auto"/>
          <w:bottom w:val="single" w:sz="4" w:space="1" w:color="auto"/>
          <w:right w:val="single" w:sz="4" w:space="4" w:color="auto"/>
        </w:pBdr>
      </w:pPr>
      <w:r>
        <w:t>Both soft and hard feeder link switchover (e.g. for Non GSO) are supported.</w:t>
      </w:r>
    </w:p>
    <w:p w14:paraId="154AAF50"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Note: This requires satellite to be connected to one NTN GW at a time (hard switch) or at least two NTN GWs simultaneously (soft switch).</w:t>
      </w:r>
    </w:p>
    <w:p w14:paraId="6D3452AC" w14:textId="77777777" w:rsidR="00AC5D18" w:rsidRDefault="00AC5D18" w:rsidP="00AC5D18">
      <w:pPr>
        <w:pStyle w:val="Doc-text2"/>
        <w:numPr>
          <w:ilvl w:val="0"/>
          <w:numId w:val="22"/>
        </w:numPr>
        <w:pBdr>
          <w:top w:val="single" w:sz="4" w:space="1" w:color="auto"/>
          <w:left w:val="single" w:sz="4" w:space="4" w:color="auto"/>
          <w:bottom w:val="single" w:sz="4" w:space="1" w:color="auto"/>
          <w:right w:val="single" w:sz="4" w:space="4" w:color="auto"/>
        </w:pBdr>
      </w:pPr>
      <w:r>
        <w:t xml:space="preserve">RAN2 to start discussing enhancements for soft feeder link switchover and then solutions for hard feeder link switchover. </w:t>
      </w:r>
    </w:p>
    <w:p w14:paraId="0B547CAF"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3.</w:t>
      </w:r>
      <w:r>
        <w:tab/>
        <w:t>As part of the NR-NTN WI, the following stepped approach is proposed:</w:t>
      </w:r>
    </w:p>
    <w:p w14:paraId="43400424"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 xml:space="preserve">Step 1: Assessment of the Rel-16 LCS framework/application protocols (3GPP TS 23.273, TS 29.572, TS 38.455, TS 38.305, </w:t>
      </w:r>
      <w:proofErr w:type="gramStart"/>
      <w:r>
        <w:t>in particular but</w:t>
      </w:r>
      <w:proofErr w:type="gramEnd"/>
      <w:r>
        <w:t xml:space="preserve"> not excluding other TS) and its applicability to NTN</w:t>
      </w:r>
    </w:p>
    <w:p w14:paraId="09EBA642"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Step 2: Assess whether changes to the existing network-based location methods are needed and define them if needed</w:t>
      </w:r>
    </w:p>
    <w:p w14:paraId="3055E8E6"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4.</w:t>
      </w:r>
      <w:r>
        <w:tab/>
        <w:t xml:space="preserve">The NTN </w:t>
      </w:r>
      <w:proofErr w:type="gramStart"/>
      <w:r>
        <w:t>network based</w:t>
      </w:r>
      <w:proofErr w:type="gramEnd"/>
      <w:r>
        <w:t xml:space="preserve"> positioning of UE should provide an accuracy comparable with the network based UE location accuracy of terrestrial networks.</w:t>
      </w:r>
    </w:p>
    <w:p w14:paraId="6AD49EDC"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5.</w:t>
      </w:r>
      <w:r>
        <w:tab/>
        <w:t xml:space="preserve">For TN/NTN mobility, the UE is not required to connect to both TN and NTN at the same time. </w:t>
      </w:r>
    </w:p>
    <w:p w14:paraId="79DF5FEB"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6.</w:t>
      </w:r>
      <w:r>
        <w:tab/>
        <w:t>RAN2 to discuss about trigger(s) of TN / NTN mobility, once the Intra NTN mobility has sufficiently progressed. Intra NTN mobility refers to idle and connected mode mobility between NTN cells (e.g. intra or inter satellite).</w:t>
      </w:r>
    </w:p>
    <w:p w14:paraId="096FC046"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7.</w:t>
      </w:r>
      <w:r>
        <w:tab/>
        <w:t>Transparent HAPS is assumed with the IMT BS on the ground and the HAPS is a relay.</w:t>
      </w:r>
    </w:p>
    <w:p w14:paraId="1F2FE153"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lastRenderedPageBreak/>
        <w:t>8.</w:t>
      </w:r>
      <w:r>
        <w:tab/>
        <w:t xml:space="preserve">The RAN2 work plan described in </w:t>
      </w:r>
      <w:hyperlink r:id="rId10" w:tooltip="C:Data3GPPExtractsR2-2007565 - Rel17 NR-NTN workplan.docx" w:history="1">
        <w:r>
          <w:rPr>
            <w:rStyle w:val="Hyperlink"/>
          </w:rPr>
          <w:t>R2-2007565</w:t>
        </w:r>
      </w:hyperlink>
      <w:r>
        <w:t xml:space="preserve"> should be considered as a basis for work </w:t>
      </w:r>
    </w:p>
    <w:p w14:paraId="0AE3E0DB"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9.</w:t>
      </w:r>
      <w:r>
        <w:tab/>
        <w:t>The work plan should be based on the following prioritization principles:</w:t>
      </w:r>
    </w:p>
    <w:p w14:paraId="6335F1C5"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1st priority: user plane, control plane (idle and connected)</w:t>
      </w:r>
    </w:p>
    <w:p w14:paraId="278905F5"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 xml:space="preserve">2nd priority: NTN-TN service continuity, </w:t>
      </w:r>
      <w:proofErr w:type="gramStart"/>
      <w:r>
        <w:t>network based</w:t>
      </w:r>
      <w:proofErr w:type="gramEnd"/>
      <w:r>
        <w:t xml:space="preserve"> UE location</w:t>
      </w:r>
    </w:p>
    <w:p w14:paraId="4EB6575A" w14:textId="77777777" w:rsidR="00AC5D18" w:rsidRDefault="00AC5D18" w:rsidP="00AC5D18">
      <w:pPr>
        <w:pStyle w:val="Doc-text2"/>
        <w:ind w:left="0" w:firstLine="0"/>
        <w:rPr>
          <w:lang w:val="en-US"/>
        </w:rPr>
      </w:pPr>
    </w:p>
    <w:p w14:paraId="4441FF3F" w14:textId="4C0A7D5D" w:rsidR="00AC5D18" w:rsidRPr="005A2611" w:rsidRDefault="005A2611" w:rsidP="00AC5D18">
      <w:pPr>
        <w:pStyle w:val="Doc-text2"/>
        <w:ind w:left="0" w:firstLine="0"/>
        <w:rPr>
          <w:rFonts w:ascii="Times New Roman" w:eastAsia="Malgun Gothic" w:hAnsi="Times New Roman" w:cs="Times New Roman"/>
          <w:sz w:val="20"/>
          <w:szCs w:val="20"/>
          <w:lang w:eastAsia="en-US"/>
        </w:rPr>
      </w:pPr>
      <w:r w:rsidRPr="005A2611">
        <w:rPr>
          <w:rFonts w:ascii="Times New Roman" w:eastAsia="Malgun Gothic" w:hAnsi="Times New Roman" w:cs="Times New Roman"/>
          <w:sz w:val="20"/>
          <w:szCs w:val="20"/>
          <w:lang w:eastAsia="en-US"/>
        </w:rPr>
        <w:t>In this contribution, we discuss the detail in feeder link switch in NTN.</w:t>
      </w:r>
    </w:p>
    <w:p w14:paraId="74EDA47C" w14:textId="77777777" w:rsidR="00AC5D18" w:rsidRPr="00671F9E" w:rsidRDefault="00AC5D18" w:rsidP="00653A6B"/>
    <w:p w14:paraId="57BF1261" w14:textId="3E03BDBB" w:rsidR="00783B93" w:rsidRDefault="00783B93" w:rsidP="00783B93">
      <w:pPr>
        <w:pStyle w:val="Heading1"/>
        <w:numPr>
          <w:ilvl w:val="0"/>
          <w:numId w:val="1"/>
        </w:numPr>
        <w:pBdr>
          <w:top w:val="single" w:sz="12" w:space="2" w:color="auto"/>
        </w:pBdr>
      </w:pPr>
      <w:r>
        <w:t xml:space="preserve">Discussion </w:t>
      </w:r>
    </w:p>
    <w:p w14:paraId="42A80DA4" w14:textId="77777777" w:rsidR="005A2611" w:rsidRPr="005A2611" w:rsidRDefault="005A2611" w:rsidP="00EB4C94">
      <w:pPr>
        <w:rPr>
          <w:sz w:val="22"/>
          <w:szCs w:val="22"/>
        </w:rPr>
      </w:pPr>
      <w:r w:rsidRPr="005A2611">
        <w:rPr>
          <w:sz w:val="22"/>
          <w:szCs w:val="22"/>
        </w:rPr>
        <w:t>During email discussion [910], it was discussed two cases below:</w:t>
      </w:r>
    </w:p>
    <w:p w14:paraId="2922DEA6" w14:textId="77777777" w:rsidR="005A2611" w:rsidRPr="002C48EC" w:rsidRDefault="005A2611" w:rsidP="005A2611">
      <w:pPr>
        <w:pStyle w:val="ListParagraph"/>
        <w:numPr>
          <w:ilvl w:val="0"/>
          <w:numId w:val="23"/>
        </w:numPr>
        <w:spacing w:after="160" w:line="259" w:lineRule="auto"/>
        <w:contextualSpacing w:val="0"/>
        <w:jc w:val="both"/>
        <w:rPr>
          <w:sz w:val="22"/>
          <w:szCs w:val="22"/>
        </w:rPr>
      </w:pPr>
      <w:r w:rsidRPr="002C48EC">
        <w:rPr>
          <w:sz w:val="22"/>
          <w:szCs w:val="22"/>
        </w:rPr>
        <w:t xml:space="preserve">Case 1: Different </w:t>
      </w:r>
      <w:proofErr w:type="spellStart"/>
      <w:r w:rsidRPr="002C48EC">
        <w:rPr>
          <w:sz w:val="22"/>
          <w:szCs w:val="22"/>
        </w:rPr>
        <w:t>gNB’s</w:t>
      </w:r>
      <w:proofErr w:type="spellEnd"/>
      <w:r w:rsidRPr="002C48EC">
        <w:rPr>
          <w:sz w:val="22"/>
          <w:szCs w:val="22"/>
        </w:rPr>
        <w:t xml:space="preserve"> before and after the switch. In this case, the target gateway after feeder link switch is served by a different </w:t>
      </w:r>
      <w:proofErr w:type="spellStart"/>
      <w:r w:rsidRPr="002C48EC">
        <w:rPr>
          <w:sz w:val="22"/>
          <w:szCs w:val="22"/>
        </w:rPr>
        <w:t>gNB</w:t>
      </w:r>
      <w:proofErr w:type="spellEnd"/>
      <w:r w:rsidRPr="002C48EC">
        <w:rPr>
          <w:sz w:val="22"/>
          <w:szCs w:val="22"/>
        </w:rPr>
        <w:t xml:space="preserve"> compared to the source gateway.</w:t>
      </w:r>
    </w:p>
    <w:p w14:paraId="39C44851" w14:textId="77777777" w:rsidR="005A2611" w:rsidRPr="002C48EC" w:rsidRDefault="005A2611" w:rsidP="005A2611">
      <w:pPr>
        <w:pStyle w:val="ListParagraph"/>
        <w:numPr>
          <w:ilvl w:val="0"/>
          <w:numId w:val="23"/>
        </w:numPr>
        <w:spacing w:after="160" w:line="259" w:lineRule="auto"/>
        <w:contextualSpacing w:val="0"/>
        <w:jc w:val="both"/>
        <w:rPr>
          <w:sz w:val="22"/>
          <w:szCs w:val="22"/>
        </w:rPr>
      </w:pPr>
      <w:r w:rsidRPr="002C48EC">
        <w:rPr>
          <w:sz w:val="22"/>
          <w:szCs w:val="22"/>
        </w:rPr>
        <w:t xml:space="preserve">Case 2: Same </w:t>
      </w:r>
      <w:proofErr w:type="spellStart"/>
      <w:r w:rsidRPr="002C48EC">
        <w:rPr>
          <w:sz w:val="22"/>
          <w:szCs w:val="22"/>
        </w:rPr>
        <w:t>gNB</w:t>
      </w:r>
      <w:proofErr w:type="spellEnd"/>
      <w:r w:rsidRPr="002C48EC">
        <w:rPr>
          <w:sz w:val="22"/>
          <w:szCs w:val="22"/>
        </w:rPr>
        <w:t xml:space="preserve"> before and after the switch. In this case, the gateways before and after the switch are connected to the same </w:t>
      </w:r>
      <w:proofErr w:type="spellStart"/>
      <w:r w:rsidRPr="002C48EC">
        <w:rPr>
          <w:sz w:val="22"/>
          <w:szCs w:val="22"/>
        </w:rPr>
        <w:t>gNB</w:t>
      </w:r>
      <w:proofErr w:type="spellEnd"/>
      <w:r w:rsidRPr="002C48EC">
        <w:rPr>
          <w:sz w:val="22"/>
          <w:szCs w:val="22"/>
        </w:rPr>
        <w:t xml:space="preserve">. </w:t>
      </w:r>
    </w:p>
    <w:p w14:paraId="4D0DA119" w14:textId="4CA428EE" w:rsidR="004E5D8A" w:rsidRPr="005A2611" w:rsidRDefault="005A2611" w:rsidP="00EB4C94">
      <w:pPr>
        <w:rPr>
          <w:b/>
          <w:bCs/>
          <w:sz w:val="22"/>
          <w:szCs w:val="22"/>
          <w:u w:val="single"/>
        </w:rPr>
      </w:pPr>
      <w:r w:rsidRPr="42CF9C66">
        <w:rPr>
          <w:b/>
          <w:bCs/>
          <w:u w:val="single"/>
        </w:rPr>
        <w:t xml:space="preserve"> </w:t>
      </w:r>
      <w:r>
        <w:rPr>
          <w:noProof/>
        </w:rPr>
        <w:drawing>
          <wp:inline distT="0" distB="0" distL="0" distR="0" wp14:anchorId="50C30EB2" wp14:editId="05DC7AC2">
            <wp:extent cx="5943600" cy="2537841"/>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537841"/>
                    </a:xfrm>
                    <a:prstGeom prst="rect">
                      <a:avLst/>
                    </a:prstGeom>
                  </pic:spPr>
                </pic:pic>
              </a:graphicData>
            </a:graphic>
          </wp:inline>
        </w:drawing>
      </w:r>
    </w:p>
    <w:p w14:paraId="42468FFA" w14:textId="0A1DBAEF" w:rsidR="004F73EE" w:rsidRPr="009B1B28" w:rsidRDefault="005A2611" w:rsidP="009B1B28">
      <w:pPr>
        <w:jc w:val="center"/>
        <w:rPr>
          <w:b/>
          <w:bCs/>
          <w:sz w:val="22"/>
          <w:szCs w:val="22"/>
        </w:rPr>
      </w:pPr>
      <w:r w:rsidRPr="009B1B28">
        <w:rPr>
          <w:b/>
          <w:bCs/>
          <w:sz w:val="22"/>
          <w:szCs w:val="22"/>
        </w:rPr>
        <w:t>Figure 1</w:t>
      </w:r>
      <w:r w:rsidR="009B1B28" w:rsidRPr="009B1B28">
        <w:rPr>
          <w:b/>
          <w:bCs/>
          <w:sz w:val="22"/>
          <w:szCs w:val="22"/>
        </w:rPr>
        <w:t>: illustrate case 1 and case 2 for feeder link switch [email discussion 910]</w:t>
      </w:r>
    </w:p>
    <w:p w14:paraId="05DB4BA9" w14:textId="48F24918" w:rsidR="00673B54" w:rsidRDefault="00673B54" w:rsidP="004F73EE">
      <w:pPr>
        <w:rPr>
          <w:b/>
          <w:bCs/>
          <w:u w:val="single"/>
        </w:rPr>
      </w:pPr>
    </w:p>
    <w:p w14:paraId="4C5BE4C9" w14:textId="77777777" w:rsidR="009B1B28" w:rsidRDefault="009B1B28" w:rsidP="004F73EE">
      <w:pPr>
        <w:rPr>
          <w:sz w:val="22"/>
          <w:szCs w:val="22"/>
        </w:rPr>
      </w:pPr>
      <w:r>
        <w:rPr>
          <w:sz w:val="22"/>
          <w:szCs w:val="22"/>
        </w:rPr>
        <w:t xml:space="preserve">In our view, case 1 should be the baseline where different </w:t>
      </w:r>
      <w:proofErr w:type="spellStart"/>
      <w:r>
        <w:rPr>
          <w:sz w:val="22"/>
          <w:szCs w:val="22"/>
        </w:rPr>
        <w:t>gNB</w:t>
      </w:r>
      <w:proofErr w:type="spellEnd"/>
      <w:r>
        <w:rPr>
          <w:sz w:val="22"/>
          <w:szCs w:val="22"/>
        </w:rPr>
        <w:t xml:space="preserve"> connect to different GW. Given large cell coverage in NTN, we don’t see case 2 is practical given the added delay between </w:t>
      </w:r>
      <w:proofErr w:type="spellStart"/>
      <w:r>
        <w:rPr>
          <w:sz w:val="22"/>
          <w:szCs w:val="22"/>
        </w:rPr>
        <w:t>gNB</w:t>
      </w:r>
      <w:proofErr w:type="spellEnd"/>
      <w:r>
        <w:rPr>
          <w:sz w:val="22"/>
          <w:szCs w:val="22"/>
        </w:rPr>
        <w:t xml:space="preserve"> and GWs. </w:t>
      </w:r>
    </w:p>
    <w:p w14:paraId="42A39F21" w14:textId="7FF59F2B" w:rsidR="009B1B28" w:rsidRPr="009B1B28" w:rsidRDefault="009B1B28" w:rsidP="004F73EE">
      <w:pPr>
        <w:rPr>
          <w:b/>
          <w:bCs/>
          <w:sz w:val="22"/>
          <w:szCs w:val="22"/>
        </w:rPr>
      </w:pPr>
      <w:r w:rsidRPr="009B1B28">
        <w:rPr>
          <w:b/>
          <w:bCs/>
          <w:sz w:val="22"/>
          <w:szCs w:val="22"/>
        </w:rPr>
        <w:t xml:space="preserve">Observation 1: Same </w:t>
      </w:r>
      <w:proofErr w:type="spellStart"/>
      <w:r w:rsidRPr="009B1B28">
        <w:rPr>
          <w:b/>
          <w:bCs/>
          <w:sz w:val="22"/>
          <w:szCs w:val="22"/>
        </w:rPr>
        <w:t>gNB’s</w:t>
      </w:r>
      <w:proofErr w:type="spellEnd"/>
      <w:r w:rsidRPr="009B1B28">
        <w:rPr>
          <w:b/>
          <w:bCs/>
          <w:sz w:val="22"/>
          <w:szCs w:val="22"/>
        </w:rPr>
        <w:t xml:space="preserve"> before and after the switch may not be so practical given the large cell coverage of NTN and added delay between </w:t>
      </w:r>
      <w:proofErr w:type="spellStart"/>
      <w:r w:rsidRPr="009B1B28">
        <w:rPr>
          <w:b/>
          <w:bCs/>
          <w:sz w:val="22"/>
          <w:szCs w:val="22"/>
        </w:rPr>
        <w:t>gNB</w:t>
      </w:r>
      <w:proofErr w:type="spellEnd"/>
      <w:r w:rsidRPr="009B1B28">
        <w:rPr>
          <w:b/>
          <w:bCs/>
          <w:sz w:val="22"/>
          <w:szCs w:val="22"/>
        </w:rPr>
        <w:t xml:space="preserve"> and GWs.</w:t>
      </w:r>
    </w:p>
    <w:p w14:paraId="6F34BE70" w14:textId="3C11E880" w:rsidR="009B1B28" w:rsidRDefault="009B1B28" w:rsidP="004F73EE">
      <w:pPr>
        <w:rPr>
          <w:sz w:val="22"/>
          <w:szCs w:val="22"/>
        </w:rPr>
      </w:pPr>
      <w:r>
        <w:rPr>
          <w:sz w:val="22"/>
          <w:szCs w:val="22"/>
        </w:rPr>
        <w:t>Then companies were asked about different issues for soft feeder link switch below:</w:t>
      </w:r>
    </w:p>
    <w:p w14:paraId="54C73A42"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1:</w:t>
      </w:r>
      <w:r>
        <w:rPr>
          <w:sz w:val="22"/>
          <w:szCs w:val="22"/>
        </w:rPr>
        <w:t xml:space="preserve"> Many connected mode UEs need to be handed over within the duration of the feeder link switch</w:t>
      </w:r>
    </w:p>
    <w:p w14:paraId="7A12CEEA" w14:textId="77777777" w:rsidR="009B1B28" w:rsidRPr="00F403CF"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2:</w:t>
      </w:r>
      <w:r>
        <w:rPr>
          <w:sz w:val="22"/>
          <w:szCs w:val="22"/>
        </w:rPr>
        <w:t xml:space="preserve"> Many idle mode UEs need to reselect another cell </w:t>
      </w:r>
    </w:p>
    <w:p w14:paraId="3E98D826"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3:</w:t>
      </w:r>
      <w:r>
        <w:rPr>
          <w:sz w:val="22"/>
          <w:szCs w:val="22"/>
        </w:rPr>
        <w:t xml:space="preserve"> Packet forwarding delay due to long inter distance between </w:t>
      </w:r>
      <w:proofErr w:type="spellStart"/>
      <w:r>
        <w:rPr>
          <w:sz w:val="22"/>
          <w:szCs w:val="22"/>
        </w:rPr>
        <w:t>gNBs</w:t>
      </w:r>
      <w:proofErr w:type="spellEnd"/>
    </w:p>
    <w:p w14:paraId="08A90E70"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lastRenderedPageBreak/>
        <w:t>Issue 4:</w:t>
      </w:r>
      <w:r>
        <w:rPr>
          <w:sz w:val="22"/>
          <w:szCs w:val="22"/>
        </w:rPr>
        <w:t xml:space="preserve"> Satellite capability of forwarding beams (cells) from two GWs simultaneously</w:t>
      </w:r>
    </w:p>
    <w:p w14:paraId="589B8FFD"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5:</w:t>
      </w:r>
      <w:r>
        <w:rPr>
          <w:sz w:val="22"/>
          <w:szCs w:val="22"/>
        </w:rPr>
        <w:t xml:space="preserve"> Satellite capability of supporting two feeder link connections simultaneously</w:t>
      </w:r>
    </w:p>
    <w:p w14:paraId="161155E3" w14:textId="38C2BE24" w:rsidR="009B1B28" w:rsidRDefault="009B1B28" w:rsidP="004F73EE">
      <w:pPr>
        <w:rPr>
          <w:sz w:val="22"/>
          <w:szCs w:val="22"/>
        </w:rPr>
      </w:pPr>
      <w:r>
        <w:rPr>
          <w:sz w:val="22"/>
          <w:szCs w:val="22"/>
        </w:rPr>
        <w:t>In this contribution, we are focusing on issue 1 and 2 since issue 3 should leave it to RAN3 discussion and issues 4 and 5 should be discussed based on satellite capability which may be out of scope of 3GPP.</w:t>
      </w:r>
    </w:p>
    <w:p w14:paraId="220534BC" w14:textId="77777777" w:rsidR="009B1B28" w:rsidRDefault="009B1B28" w:rsidP="004F73EE">
      <w:pPr>
        <w:rPr>
          <w:sz w:val="22"/>
          <w:szCs w:val="22"/>
        </w:rPr>
      </w:pPr>
    </w:p>
    <w:p w14:paraId="098D63FC" w14:textId="77777777" w:rsidR="009B1B28" w:rsidRPr="009B1B28" w:rsidRDefault="009B1B28" w:rsidP="009B1B28">
      <w:pPr>
        <w:overflowPunct w:val="0"/>
        <w:autoSpaceDE w:val="0"/>
        <w:autoSpaceDN w:val="0"/>
        <w:adjustRightInd w:val="0"/>
        <w:spacing w:before="120" w:after="120"/>
        <w:jc w:val="both"/>
        <w:textAlignment w:val="baseline"/>
        <w:rPr>
          <w:b/>
          <w:bCs/>
          <w:sz w:val="22"/>
          <w:szCs w:val="22"/>
          <w:u w:val="single"/>
        </w:rPr>
      </w:pPr>
      <w:r w:rsidRPr="009B1B28">
        <w:rPr>
          <w:b/>
          <w:bCs/>
          <w:i/>
          <w:iCs/>
          <w:sz w:val="22"/>
          <w:szCs w:val="22"/>
          <w:u w:val="single"/>
        </w:rPr>
        <w:t>Issue 1:</w:t>
      </w:r>
      <w:r w:rsidRPr="009B1B28">
        <w:rPr>
          <w:b/>
          <w:bCs/>
          <w:sz w:val="22"/>
          <w:szCs w:val="22"/>
          <w:u w:val="single"/>
        </w:rPr>
        <w:t xml:space="preserve"> Many connected mode UEs need to be handed over within the duration of the feeder link switch</w:t>
      </w:r>
    </w:p>
    <w:p w14:paraId="3128956E" w14:textId="3CC4D8FA" w:rsidR="009B1B28" w:rsidRDefault="009B1B28" w:rsidP="004F73EE">
      <w:pPr>
        <w:rPr>
          <w:sz w:val="22"/>
          <w:szCs w:val="22"/>
        </w:rPr>
      </w:pPr>
    </w:p>
    <w:p w14:paraId="66C4D000" w14:textId="30263099" w:rsidR="009B1B28" w:rsidRDefault="005E0024" w:rsidP="004F73EE">
      <w:pPr>
        <w:rPr>
          <w:sz w:val="22"/>
          <w:szCs w:val="22"/>
        </w:rPr>
      </w:pPr>
      <w:r>
        <w:rPr>
          <w:sz w:val="22"/>
          <w:szCs w:val="22"/>
        </w:rPr>
        <w:t>There are few potential solutions discussed during the email discussion, they are:</w:t>
      </w:r>
    </w:p>
    <w:p w14:paraId="516D5A50" w14:textId="77777777" w:rsidR="005E0024" w:rsidRPr="00835D52"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1:</w:t>
      </w:r>
      <w:r w:rsidRPr="00835D52">
        <w:rPr>
          <w:sz w:val="22"/>
          <w:szCs w:val="22"/>
        </w:rPr>
        <w:t xml:space="preserve"> Conditional HO (Discussed further in email discussion [911])</w:t>
      </w:r>
    </w:p>
    <w:p w14:paraId="6B2E7CFC" w14:textId="77777777" w:rsidR="005E0024"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2:</w:t>
      </w:r>
      <w:r>
        <w:rPr>
          <w:sz w:val="22"/>
          <w:szCs w:val="22"/>
        </w:rPr>
        <w:t xml:space="preserve"> HO with random access attempts distributed in time</w:t>
      </w:r>
    </w:p>
    <w:p w14:paraId="717DCC26" w14:textId="77777777" w:rsidR="005E0024"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3:</w:t>
      </w:r>
      <w:r>
        <w:rPr>
          <w:sz w:val="22"/>
          <w:szCs w:val="22"/>
        </w:rPr>
        <w:t xml:space="preserve"> Group HO, e.g. common part of HO command in SI and UE specific with UE specific signalling.</w:t>
      </w:r>
    </w:p>
    <w:p w14:paraId="6EA08FFC" w14:textId="77777777" w:rsidR="002761A9" w:rsidRDefault="002761A9" w:rsidP="004F73EE">
      <w:pPr>
        <w:rPr>
          <w:sz w:val="22"/>
          <w:szCs w:val="22"/>
        </w:rPr>
      </w:pPr>
    </w:p>
    <w:p w14:paraId="632A8A61" w14:textId="258FA455" w:rsidR="005E0024" w:rsidRDefault="005E0024" w:rsidP="004F73EE">
      <w:pPr>
        <w:rPr>
          <w:sz w:val="22"/>
          <w:szCs w:val="22"/>
        </w:rPr>
      </w:pPr>
      <w:r>
        <w:rPr>
          <w:sz w:val="22"/>
          <w:szCs w:val="22"/>
        </w:rPr>
        <w:t xml:space="preserve">We think that conditional handover can be </w:t>
      </w:r>
      <w:proofErr w:type="gramStart"/>
      <w:r>
        <w:rPr>
          <w:sz w:val="22"/>
          <w:szCs w:val="22"/>
        </w:rPr>
        <w:t xml:space="preserve">used </w:t>
      </w:r>
      <w:r w:rsidR="00273B8E">
        <w:rPr>
          <w:sz w:val="22"/>
          <w:szCs w:val="22"/>
        </w:rPr>
        <w:t xml:space="preserve"> because</w:t>
      </w:r>
      <w:proofErr w:type="gramEnd"/>
      <w:r w:rsidR="00273B8E">
        <w:rPr>
          <w:sz w:val="22"/>
          <w:szCs w:val="22"/>
        </w:rPr>
        <w:t xml:space="preserve"> it is already supported in Rel-16</w:t>
      </w:r>
      <w:r>
        <w:rPr>
          <w:sz w:val="22"/>
          <w:szCs w:val="22"/>
        </w:rPr>
        <w:t xml:space="preserve">. Further enhancement on conditional handover will be discussed in connected mode mobility specific to NTN. The outcome of the solution should be able to apply for feeder link switch due to mobility of the satellite. </w:t>
      </w:r>
    </w:p>
    <w:p w14:paraId="66A9820B" w14:textId="3865A01D" w:rsidR="005E0024" w:rsidRPr="005E0024" w:rsidRDefault="005E0024" w:rsidP="004F73EE">
      <w:pPr>
        <w:rPr>
          <w:b/>
          <w:bCs/>
          <w:sz w:val="22"/>
          <w:szCs w:val="22"/>
        </w:rPr>
      </w:pPr>
      <w:r w:rsidRPr="005E0024">
        <w:rPr>
          <w:b/>
          <w:bCs/>
          <w:sz w:val="22"/>
          <w:szCs w:val="22"/>
        </w:rPr>
        <w:t xml:space="preserve">Observation 2: conditional handover and enhanced conditional handover </w:t>
      </w:r>
      <w:r w:rsidR="00287B87">
        <w:rPr>
          <w:b/>
          <w:bCs/>
          <w:sz w:val="22"/>
          <w:szCs w:val="22"/>
        </w:rPr>
        <w:t>can</w:t>
      </w:r>
      <w:r w:rsidR="00287B87" w:rsidRPr="005E0024">
        <w:rPr>
          <w:b/>
          <w:bCs/>
          <w:sz w:val="22"/>
          <w:szCs w:val="22"/>
        </w:rPr>
        <w:t xml:space="preserve"> </w:t>
      </w:r>
      <w:r w:rsidRPr="005E0024">
        <w:rPr>
          <w:b/>
          <w:bCs/>
          <w:sz w:val="22"/>
          <w:szCs w:val="22"/>
        </w:rPr>
        <w:t xml:space="preserve">be applied </w:t>
      </w:r>
      <w:r w:rsidR="00845C35">
        <w:rPr>
          <w:b/>
          <w:bCs/>
          <w:sz w:val="22"/>
          <w:szCs w:val="22"/>
        </w:rPr>
        <w:t xml:space="preserve">to mitigate impact from the large number of UEs’ handover </w:t>
      </w:r>
      <w:r w:rsidR="00EB71D7">
        <w:rPr>
          <w:b/>
          <w:bCs/>
          <w:sz w:val="22"/>
          <w:szCs w:val="22"/>
        </w:rPr>
        <w:t>during</w:t>
      </w:r>
      <w:r w:rsidRPr="005E0024">
        <w:rPr>
          <w:b/>
          <w:bCs/>
          <w:sz w:val="22"/>
          <w:szCs w:val="22"/>
        </w:rPr>
        <w:t xml:space="preserve"> the feeder link switch due to mobility of the satellite.</w:t>
      </w:r>
    </w:p>
    <w:p w14:paraId="6AC7C7A2" w14:textId="4C4E348F" w:rsidR="005E0024" w:rsidRDefault="005E0024" w:rsidP="004F73EE">
      <w:pPr>
        <w:rPr>
          <w:sz w:val="22"/>
          <w:szCs w:val="22"/>
        </w:rPr>
      </w:pPr>
      <w:r>
        <w:rPr>
          <w:sz w:val="22"/>
          <w:szCs w:val="22"/>
        </w:rPr>
        <w:t xml:space="preserve">As for solution 2, further study in detail is needed. Today network can handover UE in connected mode </w:t>
      </w:r>
      <w:r w:rsidR="002761A9">
        <w:rPr>
          <w:sz w:val="22"/>
          <w:szCs w:val="22"/>
        </w:rPr>
        <w:t xml:space="preserve">by sending HO command to the UE. Therefore, network can also send HO command to the UE distributed in time to achieve solution 2 where random access distributed in time. </w:t>
      </w:r>
    </w:p>
    <w:p w14:paraId="6F432B1C" w14:textId="6DCDF28A" w:rsidR="002761A9" w:rsidRPr="002761A9" w:rsidRDefault="002761A9" w:rsidP="004F73EE">
      <w:pPr>
        <w:rPr>
          <w:b/>
          <w:bCs/>
          <w:sz w:val="22"/>
          <w:szCs w:val="22"/>
        </w:rPr>
      </w:pPr>
      <w:r w:rsidRPr="002761A9">
        <w:rPr>
          <w:b/>
          <w:bCs/>
          <w:sz w:val="22"/>
          <w:szCs w:val="22"/>
        </w:rPr>
        <w:t>Observation 3: HO with random access attempts distributed in time can be achieved by network implementation by sending HO command to the UE distributed in time.</w:t>
      </w:r>
    </w:p>
    <w:p w14:paraId="0B75167B" w14:textId="74AAEDCA" w:rsidR="002761A9" w:rsidRDefault="002761A9" w:rsidP="004F73EE">
      <w:pPr>
        <w:rPr>
          <w:sz w:val="22"/>
          <w:szCs w:val="22"/>
        </w:rPr>
      </w:pPr>
      <w:r>
        <w:rPr>
          <w:sz w:val="22"/>
          <w:szCs w:val="22"/>
        </w:rPr>
        <w:t xml:space="preserve">For solution 3, group HO where the common part of the HO command send it via broadcast message to reduce signalling overhead to handover large number of UE in short amount of time seems beneficial.  However, </w:t>
      </w:r>
      <w:r w:rsidR="00AF5533">
        <w:rPr>
          <w:sz w:val="22"/>
          <w:szCs w:val="22"/>
        </w:rPr>
        <w:t xml:space="preserve">the gain is relatively small if there is UE specific configuration required </w:t>
      </w:r>
      <w:r w:rsidR="001756FC">
        <w:rPr>
          <w:sz w:val="22"/>
          <w:szCs w:val="22"/>
        </w:rPr>
        <w:t xml:space="preserve">to </w:t>
      </w:r>
      <w:r w:rsidR="003A24D1">
        <w:rPr>
          <w:sz w:val="22"/>
          <w:szCs w:val="22"/>
        </w:rPr>
        <w:t>send</w:t>
      </w:r>
      <w:r w:rsidR="001756FC">
        <w:rPr>
          <w:sz w:val="22"/>
          <w:szCs w:val="22"/>
        </w:rPr>
        <w:t xml:space="preserve"> vi</w:t>
      </w:r>
      <w:r w:rsidR="008E2240">
        <w:rPr>
          <w:sz w:val="22"/>
          <w:szCs w:val="22"/>
        </w:rPr>
        <w:t xml:space="preserve">a </w:t>
      </w:r>
      <w:r w:rsidR="00A12290">
        <w:rPr>
          <w:sz w:val="22"/>
          <w:szCs w:val="22"/>
        </w:rPr>
        <w:t>dedicated</w:t>
      </w:r>
      <w:r w:rsidR="008E2240">
        <w:rPr>
          <w:sz w:val="22"/>
          <w:szCs w:val="22"/>
        </w:rPr>
        <w:t xml:space="preserve"> signalling. In addition, </w:t>
      </w:r>
      <w:r>
        <w:rPr>
          <w:sz w:val="22"/>
          <w:szCs w:val="22"/>
        </w:rPr>
        <w:t xml:space="preserve">the UEs are distributed over a large area (the large NTN cell), the handover will happen in a distributed manner depending on UE location and the mobility of the NTN cell. One </w:t>
      </w:r>
      <w:r w:rsidR="008E2240">
        <w:rPr>
          <w:sz w:val="22"/>
          <w:szCs w:val="22"/>
        </w:rPr>
        <w:t>may combine</w:t>
      </w:r>
      <w:r>
        <w:rPr>
          <w:sz w:val="22"/>
          <w:szCs w:val="22"/>
        </w:rPr>
        <w:t xml:space="preserve"> group handover </w:t>
      </w:r>
      <w:r w:rsidR="008E2240">
        <w:rPr>
          <w:sz w:val="22"/>
          <w:szCs w:val="22"/>
        </w:rPr>
        <w:t xml:space="preserve">with conditional HO </w:t>
      </w:r>
      <w:r>
        <w:rPr>
          <w:sz w:val="22"/>
          <w:szCs w:val="22"/>
        </w:rPr>
        <w:t xml:space="preserve">where the conditional reconfiguration is broadcast to the UE. Then the UE performs conditional evaluation and execute handover when the condition has met. </w:t>
      </w:r>
      <w:r w:rsidR="003A24D1">
        <w:rPr>
          <w:sz w:val="22"/>
          <w:szCs w:val="22"/>
        </w:rPr>
        <w:t>However, the same logic applies</w:t>
      </w:r>
      <w:r w:rsidR="00FF700F">
        <w:rPr>
          <w:sz w:val="22"/>
          <w:szCs w:val="22"/>
        </w:rPr>
        <w:t>, the gain is small if there is UE dedicated signalling involved.</w:t>
      </w:r>
    </w:p>
    <w:p w14:paraId="10DE8C6D" w14:textId="027A86EF" w:rsidR="002761A9" w:rsidRPr="002761A9" w:rsidRDefault="002761A9" w:rsidP="004F73EE">
      <w:pPr>
        <w:rPr>
          <w:b/>
          <w:bCs/>
          <w:sz w:val="22"/>
          <w:szCs w:val="22"/>
        </w:rPr>
      </w:pPr>
      <w:r w:rsidRPr="002761A9">
        <w:rPr>
          <w:b/>
          <w:bCs/>
          <w:sz w:val="22"/>
          <w:szCs w:val="22"/>
        </w:rPr>
        <w:t xml:space="preserve">Observation 4: </w:t>
      </w:r>
      <w:r w:rsidR="00FF700F">
        <w:rPr>
          <w:b/>
          <w:bCs/>
          <w:sz w:val="22"/>
          <w:szCs w:val="22"/>
        </w:rPr>
        <w:t xml:space="preserve">if there is UE dedicated signalling in </w:t>
      </w:r>
      <w:r w:rsidRPr="002761A9">
        <w:rPr>
          <w:b/>
          <w:bCs/>
          <w:sz w:val="22"/>
          <w:szCs w:val="22"/>
        </w:rPr>
        <w:t>group HO</w:t>
      </w:r>
      <w:r w:rsidR="00FF700F">
        <w:rPr>
          <w:b/>
          <w:bCs/>
          <w:sz w:val="22"/>
          <w:szCs w:val="22"/>
        </w:rPr>
        <w:t>, the gain is small</w:t>
      </w:r>
      <w:r w:rsidR="00683515">
        <w:rPr>
          <w:b/>
          <w:bCs/>
          <w:sz w:val="22"/>
          <w:szCs w:val="22"/>
        </w:rPr>
        <w:t>.</w:t>
      </w:r>
      <w:r w:rsidRPr="002761A9">
        <w:rPr>
          <w:b/>
          <w:bCs/>
          <w:sz w:val="22"/>
          <w:szCs w:val="22"/>
        </w:rPr>
        <w:t xml:space="preserve">  </w:t>
      </w:r>
    </w:p>
    <w:p w14:paraId="536F7D8A" w14:textId="77777777" w:rsidR="002761A9" w:rsidRDefault="002761A9" w:rsidP="004F73EE">
      <w:pPr>
        <w:rPr>
          <w:sz w:val="22"/>
          <w:szCs w:val="22"/>
        </w:rPr>
      </w:pPr>
    </w:p>
    <w:p w14:paraId="05AEF1EC" w14:textId="127F8DFC" w:rsidR="009B1B28" w:rsidRPr="002761A9" w:rsidRDefault="002761A9" w:rsidP="004F73EE">
      <w:pPr>
        <w:rPr>
          <w:b/>
          <w:bCs/>
          <w:sz w:val="22"/>
          <w:szCs w:val="22"/>
        </w:rPr>
      </w:pPr>
      <w:r w:rsidRPr="002761A9">
        <w:rPr>
          <w:b/>
          <w:bCs/>
          <w:sz w:val="22"/>
          <w:szCs w:val="22"/>
        </w:rPr>
        <w:t xml:space="preserve">Proposal 1: </w:t>
      </w:r>
      <w:r w:rsidR="00343529">
        <w:rPr>
          <w:b/>
          <w:bCs/>
          <w:sz w:val="22"/>
          <w:szCs w:val="22"/>
        </w:rPr>
        <w:t xml:space="preserve">Enhanced </w:t>
      </w:r>
      <w:r w:rsidRPr="002761A9">
        <w:rPr>
          <w:b/>
          <w:bCs/>
          <w:sz w:val="22"/>
          <w:szCs w:val="22"/>
        </w:rPr>
        <w:t>conditional handover</w:t>
      </w:r>
      <w:r w:rsidR="00343529">
        <w:rPr>
          <w:b/>
          <w:bCs/>
          <w:sz w:val="22"/>
          <w:szCs w:val="22"/>
        </w:rPr>
        <w:t xml:space="preserve"> can be used to </w:t>
      </w:r>
      <w:r w:rsidR="00A06F3F">
        <w:rPr>
          <w:b/>
          <w:bCs/>
          <w:sz w:val="22"/>
          <w:szCs w:val="22"/>
        </w:rPr>
        <w:t>handover large number of UE when feeder link switch</w:t>
      </w:r>
      <w:r w:rsidRPr="002761A9">
        <w:rPr>
          <w:b/>
          <w:bCs/>
          <w:sz w:val="22"/>
          <w:szCs w:val="22"/>
        </w:rPr>
        <w:t>.</w:t>
      </w:r>
    </w:p>
    <w:p w14:paraId="573F57E0" w14:textId="77777777" w:rsidR="002761A9" w:rsidRDefault="002761A9" w:rsidP="002761A9">
      <w:pPr>
        <w:overflowPunct w:val="0"/>
        <w:autoSpaceDE w:val="0"/>
        <w:autoSpaceDN w:val="0"/>
        <w:adjustRightInd w:val="0"/>
        <w:spacing w:before="120" w:after="120"/>
        <w:jc w:val="both"/>
        <w:textAlignment w:val="baseline"/>
        <w:rPr>
          <w:i/>
          <w:iCs/>
          <w:sz w:val="22"/>
          <w:szCs w:val="22"/>
        </w:rPr>
      </w:pPr>
    </w:p>
    <w:p w14:paraId="2F432950" w14:textId="64EF9BF8" w:rsidR="002761A9" w:rsidRPr="002761A9" w:rsidRDefault="002761A9" w:rsidP="002761A9">
      <w:pPr>
        <w:overflowPunct w:val="0"/>
        <w:autoSpaceDE w:val="0"/>
        <w:autoSpaceDN w:val="0"/>
        <w:adjustRightInd w:val="0"/>
        <w:spacing w:before="120" w:after="120"/>
        <w:jc w:val="both"/>
        <w:textAlignment w:val="baseline"/>
        <w:rPr>
          <w:b/>
          <w:bCs/>
          <w:sz w:val="22"/>
          <w:szCs w:val="22"/>
          <w:u w:val="single"/>
        </w:rPr>
      </w:pPr>
      <w:r w:rsidRPr="002761A9">
        <w:rPr>
          <w:b/>
          <w:bCs/>
          <w:i/>
          <w:iCs/>
          <w:sz w:val="22"/>
          <w:szCs w:val="22"/>
          <w:u w:val="single"/>
        </w:rPr>
        <w:t>Issue 2:</w:t>
      </w:r>
      <w:r w:rsidRPr="002761A9">
        <w:rPr>
          <w:b/>
          <w:bCs/>
          <w:sz w:val="22"/>
          <w:szCs w:val="22"/>
          <w:u w:val="single"/>
        </w:rPr>
        <w:t xml:space="preserve"> Many idle mode UEs need to reselect another cell </w:t>
      </w:r>
    </w:p>
    <w:p w14:paraId="43BCBC0C" w14:textId="7C5C6783" w:rsidR="002761A9" w:rsidRDefault="002761A9" w:rsidP="004F73EE">
      <w:pPr>
        <w:rPr>
          <w:sz w:val="22"/>
          <w:szCs w:val="22"/>
        </w:rPr>
      </w:pPr>
    </w:p>
    <w:p w14:paraId="7FFC054C" w14:textId="24D8CA42" w:rsidR="002761A9" w:rsidRDefault="002761A9" w:rsidP="004F73EE">
      <w:pPr>
        <w:rPr>
          <w:sz w:val="22"/>
          <w:szCs w:val="22"/>
        </w:rPr>
      </w:pPr>
      <w:r>
        <w:rPr>
          <w:sz w:val="22"/>
          <w:szCs w:val="22"/>
        </w:rPr>
        <w:t xml:space="preserve">As for idle mode, we think that </w:t>
      </w:r>
      <w:r w:rsidR="003051E1">
        <w:rPr>
          <w:sz w:val="22"/>
          <w:szCs w:val="22"/>
        </w:rPr>
        <w:t>the method that will be adopted for cell selection and reselection for NTN can be reused when feeder link switch. Therefore, no specific solution is needed for idle mode reselect another cell due to feeder link switch.</w:t>
      </w:r>
      <w:r w:rsidR="00394C9E">
        <w:rPr>
          <w:sz w:val="22"/>
          <w:szCs w:val="22"/>
        </w:rPr>
        <w:t xml:space="preserve"> </w:t>
      </w:r>
      <w:r w:rsidR="0036004F">
        <w:rPr>
          <w:sz w:val="22"/>
          <w:szCs w:val="22"/>
        </w:rPr>
        <w:t xml:space="preserve">Contribution </w:t>
      </w:r>
      <w:r w:rsidR="00DA3F69">
        <w:rPr>
          <w:sz w:val="22"/>
          <w:szCs w:val="22"/>
        </w:rPr>
        <w:t>[3]</w:t>
      </w:r>
      <w:r w:rsidR="0036004F">
        <w:rPr>
          <w:sz w:val="22"/>
          <w:szCs w:val="22"/>
        </w:rPr>
        <w:t xml:space="preserve"> discusses more in detail of idle mode </w:t>
      </w:r>
      <w:r w:rsidR="002156C6">
        <w:rPr>
          <w:sz w:val="22"/>
          <w:szCs w:val="22"/>
        </w:rPr>
        <w:t xml:space="preserve">operation. </w:t>
      </w:r>
    </w:p>
    <w:p w14:paraId="75D392B5" w14:textId="5BCD739A" w:rsidR="003051E1" w:rsidRPr="003051E1" w:rsidRDefault="003051E1" w:rsidP="004F73EE">
      <w:pPr>
        <w:rPr>
          <w:b/>
          <w:bCs/>
          <w:sz w:val="22"/>
          <w:szCs w:val="22"/>
        </w:rPr>
      </w:pPr>
      <w:r w:rsidRPr="003051E1">
        <w:rPr>
          <w:b/>
          <w:bCs/>
          <w:sz w:val="22"/>
          <w:szCs w:val="22"/>
        </w:rPr>
        <w:t>Proposal 2: no specific solution is needed for idle mode reselect another cell due to feeder link switch.</w:t>
      </w:r>
    </w:p>
    <w:p w14:paraId="7B522273" w14:textId="77777777" w:rsidR="002761A9" w:rsidRPr="009B1B28" w:rsidRDefault="002761A9" w:rsidP="004F73EE">
      <w:pPr>
        <w:rPr>
          <w:sz w:val="22"/>
          <w:szCs w:val="22"/>
        </w:rPr>
      </w:pPr>
    </w:p>
    <w:p w14:paraId="23A8CAB2" w14:textId="183137FD" w:rsidR="009F6669" w:rsidRDefault="009F6669" w:rsidP="00F17084">
      <w:pPr>
        <w:pStyle w:val="Heading1"/>
        <w:numPr>
          <w:ilvl w:val="0"/>
          <w:numId w:val="1"/>
        </w:numPr>
      </w:pPr>
      <w:r>
        <w:t>Conclusion</w:t>
      </w:r>
    </w:p>
    <w:p w14:paraId="423A146B" w14:textId="77777777" w:rsidR="009F1ABF" w:rsidRPr="009F1ABF" w:rsidRDefault="009F1ABF" w:rsidP="009F1ABF">
      <w:pPr>
        <w:rPr>
          <w:b/>
          <w:bCs/>
          <w:sz w:val="22"/>
          <w:szCs w:val="22"/>
        </w:rPr>
      </w:pPr>
      <w:r w:rsidRPr="009F1ABF">
        <w:rPr>
          <w:b/>
          <w:bCs/>
          <w:sz w:val="22"/>
          <w:szCs w:val="22"/>
        </w:rPr>
        <w:t xml:space="preserve">Observation 1: Same </w:t>
      </w:r>
      <w:proofErr w:type="spellStart"/>
      <w:r w:rsidRPr="009F1ABF">
        <w:rPr>
          <w:b/>
          <w:bCs/>
          <w:sz w:val="22"/>
          <w:szCs w:val="22"/>
        </w:rPr>
        <w:t>gNB’s</w:t>
      </w:r>
      <w:proofErr w:type="spellEnd"/>
      <w:r w:rsidRPr="009F1ABF">
        <w:rPr>
          <w:b/>
          <w:bCs/>
          <w:sz w:val="22"/>
          <w:szCs w:val="22"/>
        </w:rPr>
        <w:t xml:space="preserve"> before and after the switch may not be so practical given the large cell coverage of NTN and added delay between </w:t>
      </w:r>
      <w:proofErr w:type="spellStart"/>
      <w:r w:rsidRPr="009F1ABF">
        <w:rPr>
          <w:b/>
          <w:bCs/>
          <w:sz w:val="22"/>
          <w:szCs w:val="22"/>
        </w:rPr>
        <w:t>gNB</w:t>
      </w:r>
      <w:proofErr w:type="spellEnd"/>
      <w:r w:rsidRPr="009F1ABF">
        <w:rPr>
          <w:b/>
          <w:bCs/>
          <w:sz w:val="22"/>
          <w:szCs w:val="22"/>
        </w:rPr>
        <w:t xml:space="preserve"> and GWs.</w:t>
      </w:r>
    </w:p>
    <w:p w14:paraId="77153B05" w14:textId="77777777" w:rsidR="009F1ABF" w:rsidRPr="005E0024" w:rsidRDefault="009F1ABF" w:rsidP="009F1ABF">
      <w:pPr>
        <w:rPr>
          <w:b/>
          <w:bCs/>
          <w:sz w:val="22"/>
          <w:szCs w:val="22"/>
        </w:rPr>
      </w:pPr>
      <w:r w:rsidRPr="005E0024">
        <w:rPr>
          <w:b/>
          <w:bCs/>
          <w:sz w:val="22"/>
          <w:szCs w:val="22"/>
        </w:rPr>
        <w:t xml:space="preserve">Observation 2: conditional handover and enhanced conditional handover </w:t>
      </w:r>
      <w:r>
        <w:rPr>
          <w:b/>
          <w:bCs/>
          <w:sz w:val="22"/>
          <w:szCs w:val="22"/>
        </w:rPr>
        <w:t>can</w:t>
      </w:r>
      <w:r w:rsidRPr="005E0024">
        <w:rPr>
          <w:b/>
          <w:bCs/>
          <w:sz w:val="22"/>
          <w:szCs w:val="22"/>
        </w:rPr>
        <w:t xml:space="preserve"> be applied </w:t>
      </w:r>
      <w:r>
        <w:rPr>
          <w:b/>
          <w:bCs/>
          <w:sz w:val="22"/>
          <w:szCs w:val="22"/>
        </w:rPr>
        <w:t>to mitigate impact from the large number of UEs’ handover during</w:t>
      </w:r>
      <w:r w:rsidRPr="005E0024">
        <w:rPr>
          <w:b/>
          <w:bCs/>
          <w:sz w:val="22"/>
          <w:szCs w:val="22"/>
        </w:rPr>
        <w:t xml:space="preserve"> the feeder link switch due to mobility of the satellite.</w:t>
      </w:r>
    </w:p>
    <w:p w14:paraId="281D634A" w14:textId="77777777" w:rsidR="009F1ABF" w:rsidRPr="002761A9" w:rsidRDefault="009F1ABF" w:rsidP="009F1ABF">
      <w:pPr>
        <w:rPr>
          <w:b/>
          <w:bCs/>
          <w:sz w:val="22"/>
          <w:szCs w:val="22"/>
        </w:rPr>
      </w:pPr>
      <w:r w:rsidRPr="002761A9">
        <w:rPr>
          <w:b/>
          <w:bCs/>
          <w:sz w:val="22"/>
          <w:szCs w:val="22"/>
        </w:rPr>
        <w:t>Observation 3: HO with random access attempts distributed in time can be achieved by network implementation by sending HO command to the UE distributed in time.</w:t>
      </w:r>
    </w:p>
    <w:p w14:paraId="2B5150F1" w14:textId="77777777" w:rsidR="009F1ABF" w:rsidRPr="002761A9" w:rsidRDefault="009F1ABF" w:rsidP="009F1ABF">
      <w:pPr>
        <w:rPr>
          <w:b/>
          <w:bCs/>
          <w:sz w:val="22"/>
          <w:szCs w:val="22"/>
        </w:rPr>
      </w:pPr>
      <w:r w:rsidRPr="002761A9">
        <w:rPr>
          <w:b/>
          <w:bCs/>
          <w:sz w:val="22"/>
          <w:szCs w:val="22"/>
        </w:rPr>
        <w:t xml:space="preserve">Observation 4: </w:t>
      </w:r>
      <w:r>
        <w:rPr>
          <w:b/>
          <w:bCs/>
          <w:sz w:val="22"/>
          <w:szCs w:val="22"/>
        </w:rPr>
        <w:t xml:space="preserve">if there is UE dedicated signalling in </w:t>
      </w:r>
      <w:r w:rsidRPr="002761A9">
        <w:rPr>
          <w:b/>
          <w:bCs/>
          <w:sz w:val="22"/>
          <w:szCs w:val="22"/>
        </w:rPr>
        <w:t>group HO</w:t>
      </w:r>
      <w:r>
        <w:rPr>
          <w:b/>
          <w:bCs/>
          <w:sz w:val="22"/>
          <w:szCs w:val="22"/>
        </w:rPr>
        <w:t>, the gain is small.</w:t>
      </w:r>
      <w:r w:rsidRPr="002761A9">
        <w:rPr>
          <w:b/>
          <w:bCs/>
          <w:sz w:val="22"/>
          <w:szCs w:val="22"/>
        </w:rPr>
        <w:t xml:space="preserve">  </w:t>
      </w:r>
    </w:p>
    <w:p w14:paraId="699AFD59" w14:textId="77777777" w:rsidR="009F1ABF" w:rsidRDefault="009F1ABF" w:rsidP="009F1ABF">
      <w:pPr>
        <w:rPr>
          <w:sz w:val="22"/>
          <w:szCs w:val="22"/>
        </w:rPr>
      </w:pPr>
    </w:p>
    <w:p w14:paraId="79F62A54" w14:textId="77777777" w:rsidR="009F1ABF" w:rsidRPr="002761A9" w:rsidRDefault="009F1ABF" w:rsidP="009F1ABF">
      <w:pPr>
        <w:rPr>
          <w:b/>
          <w:bCs/>
          <w:sz w:val="22"/>
          <w:szCs w:val="22"/>
        </w:rPr>
      </w:pPr>
      <w:r w:rsidRPr="002761A9">
        <w:rPr>
          <w:b/>
          <w:bCs/>
          <w:sz w:val="22"/>
          <w:szCs w:val="22"/>
        </w:rPr>
        <w:t xml:space="preserve">Proposal 1: </w:t>
      </w:r>
      <w:r>
        <w:rPr>
          <w:b/>
          <w:bCs/>
          <w:sz w:val="22"/>
          <w:szCs w:val="22"/>
        </w:rPr>
        <w:t xml:space="preserve">Enhanced </w:t>
      </w:r>
      <w:r w:rsidRPr="002761A9">
        <w:rPr>
          <w:b/>
          <w:bCs/>
          <w:sz w:val="22"/>
          <w:szCs w:val="22"/>
        </w:rPr>
        <w:t>conditional handover</w:t>
      </w:r>
      <w:r>
        <w:rPr>
          <w:b/>
          <w:bCs/>
          <w:sz w:val="22"/>
          <w:szCs w:val="22"/>
        </w:rPr>
        <w:t xml:space="preserve"> can be used to handover large number of UE when feeder link switch</w:t>
      </w:r>
      <w:r w:rsidRPr="002761A9">
        <w:rPr>
          <w:b/>
          <w:bCs/>
          <w:sz w:val="22"/>
          <w:szCs w:val="22"/>
        </w:rPr>
        <w:t>.</w:t>
      </w:r>
    </w:p>
    <w:p w14:paraId="11748576" w14:textId="77777777" w:rsidR="009F1ABF" w:rsidRPr="003051E1" w:rsidRDefault="009F1ABF" w:rsidP="009F1ABF">
      <w:pPr>
        <w:rPr>
          <w:b/>
          <w:bCs/>
          <w:sz w:val="22"/>
          <w:szCs w:val="22"/>
        </w:rPr>
      </w:pPr>
      <w:r w:rsidRPr="003051E1">
        <w:rPr>
          <w:b/>
          <w:bCs/>
          <w:sz w:val="22"/>
          <w:szCs w:val="22"/>
        </w:rPr>
        <w:t>Proposal 2: no specific solution is needed for idle mode reselect another cell due to feeder link switch.</w:t>
      </w:r>
    </w:p>
    <w:p w14:paraId="5F620FB0" w14:textId="37A16307" w:rsidR="00917091" w:rsidRDefault="00917091" w:rsidP="00917091">
      <w:bookmarkStart w:id="1" w:name="_GoBack"/>
      <w:bookmarkEnd w:id="1"/>
    </w:p>
    <w:p w14:paraId="6671E112" w14:textId="77777777" w:rsidR="00917091" w:rsidRDefault="00917091" w:rsidP="00917091">
      <w:pPr>
        <w:pStyle w:val="Heading1"/>
        <w:numPr>
          <w:ilvl w:val="0"/>
          <w:numId w:val="1"/>
        </w:numPr>
      </w:pPr>
      <w:bookmarkStart w:id="2" w:name="_Hlk47081425"/>
      <w:r>
        <w:t>Reference</w:t>
      </w:r>
    </w:p>
    <w:p w14:paraId="39D4542B" w14:textId="77777777" w:rsidR="00917091" w:rsidRDefault="00917091" w:rsidP="00917091">
      <w:r>
        <w:t>[1] “</w:t>
      </w:r>
      <w:r w:rsidRPr="0053095B">
        <w:t>Solutions for NR to support non-terrestrial networks</w:t>
      </w:r>
      <w:r>
        <w:t>”, Thales,</w:t>
      </w:r>
      <w:r w:rsidRPr="0053095B">
        <w:t xml:space="preserve"> </w:t>
      </w:r>
      <w:r>
        <w:t>RP-201256</w:t>
      </w:r>
    </w:p>
    <w:p w14:paraId="21ADCD4A" w14:textId="0A99814D" w:rsidR="00917091" w:rsidRPr="0053095B" w:rsidRDefault="00917091" w:rsidP="00917091">
      <w:r>
        <w:t>[2] “</w:t>
      </w:r>
      <w:r w:rsidRPr="0072218E">
        <w:t>Solutions for NR to support non-terrestrial networks (NTN)</w:t>
      </w:r>
      <w:r>
        <w:t>”, TS38.</w:t>
      </w:r>
      <w:r w:rsidR="00D336A1">
        <w:t>821</w:t>
      </w:r>
    </w:p>
    <w:bookmarkEnd w:id="2"/>
    <w:p w14:paraId="691EC7EC" w14:textId="7D9340A3" w:rsidR="00E41E18" w:rsidRPr="00917091" w:rsidRDefault="00E41E18" w:rsidP="00917091">
      <w:r>
        <w:t>[</w:t>
      </w:r>
      <w:r w:rsidR="00DA3F69">
        <w:t>3</w:t>
      </w:r>
      <w:r>
        <w:t>] “</w:t>
      </w:r>
      <w:r w:rsidR="00DA3F69" w:rsidRPr="00DA3F69">
        <w:t>Idle mode operation in NTN</w:t>
      </w:r>
      <w:r w:rsidR="00DA3F69">
        <w:t>”, Intel, R2-2008984</w:t>
      </w:r>
    </w:p>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11F3" w14:textId="77777777" w:rsidR="00457928" w:rsidRDefault="00457928" w:rsidP="00766284">
      <w:pPr>
        <w:spacing w:after="0"/>
      </w:pPr>
      <w:r>
        <w:separator/>
      </w:r>
    </w:p>
  </w:endnote>
  <w:endnote w:type="continuationSeparator" w:id="0">
    <w:p w14:paraId="696B026D" w14:textId="77777777" w:rsidR="00457928" w:rsidRDefault="00457928" w:rsidP="00766284">
      <w:pPr>
        <w:spacing w:after="0"/>
      </w:pPr>
      <w:r>
        <w:continuationSeparator/>
      </w:r>
    </w:p>
  </w:endnote>
  <w:endnote w:type="continuationNotice" w:id="1">
    <w:p w14:paraId="0F9A438F" w14:textId="77777777" w:rsidR="00457928" w:rsidRDefault="00457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A3677" w14:textId="77777777" w:rsidR="00457928" w:rsidRDefault="00457928" w:rsidP="00766284">
      <w:pPr>
        <w:spacing w:after="0"/>
      </w:pPr>
      <w:r>
        <w:separator/>
      </w:r>
    </w:p>
  </w:footnote>
  <w:footnote w:type="continuationSeparator" w:id="0">
    <w:p w14:paraId="62386B9F" w14:textId="77777777" w:rsidR="00457928" w:rsidRDefault="00457928" w:rsidP="00766284">
      <w:pPr>
        <w:spacing w:after="0"/>
      </w:pPr>
      <w:r>
        <w:continuationSeparator/>
      </w:r>
    </w:p>
  </w:footnote>
  <w:footnote w:type="continuationNotice" w:id="1">
    <w:p w14:paraId="059D6888" w14:textId="77777777" w:rsidR="00457928" w:rsidRDefault="004579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F7671F"/>
    <w:multiLevelType w:val="hybridMultilevel"/>
    <w:tmpl w:val="80A835D6"/>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C5048"/>
    <w:multiLevelType w:val="hybridMultilevel"/>
    <w:tmpl w:val="65AA9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AA94A03"/>
    <w:multiLevelType w:val="multilevel"/>
    <w:tmpl w:val="C6984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9"/>
  </w:num>
  <w:num w:numId="4">
    <w:abstractNumId w:val="6"/>
  </w:num>
  <w:num w:numId="5">
    <w:abstractNumId w:val="20"/>
  </w:num>
  <w:num w:numId="6">
    <w:abstractNumId w:val="5"/>
  </w:num>
  <w:num w:numId="7">
    <w:abstractNumId w:val="17"/>
  </w:num>
  <w:num w:numId="8">
    <w:abstractNumId w:val="2"/>
  </w:num>
  <w:num w:numId="9">
    <w:abstractNumId w:val="22"/>
  </w:num>
  <w:num w:numId="10">
    <w:abstractNumId w:val="21"/>
  </w:num>
  <w:num w:numId="11">
    <w:abstractNumId w:val="1"/>
  </w:num>
  <w:num w:numId="12">
    <w:abstractNumId w:val="23"/>
  </w:num>
  <w:num w:numId="13">
    <w:abstractNumId w:val="11"/>
  </w:num>
  <w:num w:numId="14">
    <w:abstractNumId w:val="16"/>
  </w:num>
  <w:num w:numId="15">
    <w:abstractNumId w:val="3"/>
  </w:num>
  <w:num w:numId="16">
    <w:abstractNumId w:val="8"/>
  </w:num>
  <w:num w:numId="17">
    <w:abstractNumId w:val="4"/>
  </w:num>
  <w:num w:numId="18">
    <w:abstractNumId w:val="0"/>
  </w:num>
  <w:num w:numId="19">
    <w:abstractNumId w:val="18"/>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15AC"/>
    <w:rsid w:val="00023715"/>
    <w:rsid w:val="00024AC5"/>
    <w:rsid w:val="00027C5C"/>
    <w:rsid w:val="00034934"/>
    <w:rsid w:val="00034B89"/>
    <w:rsid w:val="0003549F"/>
    <w:rsid w:val="0004058E"/>
    <w:rsid w:val="00045423"/>
    <w:rsid w:val="00045C9F"/>
    <w:rsid w:val="00050CD8"/>
    <w:rsid w:val="0008010B"/>
    <w:rsid w:val="00083979"/>
    <w:rsid w:val="00085CBE"/>
    <w:rsid w:val="00091D9D"/>
    <w:rsid w:val="0009287F"/>
    <w:rsid w:val="000B138D"/>
    <w:rsid w:val="000D0418"/>
    <w:rsid w:val="000D1350"/>
    <w:rsid w:val="000E7A7E"/>
    <w:rsid w:val="000F003F"/>
    <w:rsid w:val="000F1CE8"/>
    <w:rsid w:val="000F7916"/>
    <w:rsid w:val="001013D3"/>
    <w:rsid w:val="00103B9E"/>
    <w:rsid w:val="00104CFA"/>
    <w:rsid w:val="00134957"/>
    <w:rsid w:val="00137599"/>
    <w:rsid w:val="001378C6"/>
    <w:rsid w:val="00142AF1"/>
    <w:rsid w:val="0014360E"/>
    <w:rsid w:val="0016090C"/>
    <w:rsid w:val="00165EDA"/>
    <w:rsid w:val="001660D1"/>
    <w:rsid w:val="00170383"/>
    <w:rsid w:val="0017083E"/>
    <w:rsid w:val="00174C46"/>
    <w:rsid w:val="001756FC"/>
    <w:rsid w:val="001772FB"/>
    <w:rsid w:val="00190069"/>
    <w:rsid w:val="0019065F"/>
    <w:rsid w:val="0019185F"/>
    <w:rsid w:val="0019627B"/>
    <w:rsid w:val="001966B4"/>
    <w:rsid w:val="0019776A"/>
    <w:rsid w:val="00197B66"/>
    <w:rsid w:val="00197C62"/>
    <w:rsid w:val="001A163D"/>
    <w:rsid w:val="001A2090"/>
    <w:rsid w:val="001A4BCF"/>
    <w:rsid w:val="001B2677"/>
    <w:rsid w:val="001C4E0D"/>
    <w:rsid w:val="001C554D"/>
    <w:rsid w:val="001D117F"/>
    <w:rsid w:val="001D5E15"/>
    <w:rsid w:val="001E13DC"/>
    <w:rsid w:val="001E38EE"/>
    <w:rsid w:val="001F050E"/>
    <w:rsid w:val="001F1FAF"/>
    <w:rsid w:val="001F3EA7"/>
    <w:rsid w:val="001F5C0A"/>
    <w:rsid w:val="00201241"/>
    <w:rsid w:val="00202945"/>
    <w:rsid w:val="00202D43"/>
    <w:rsid w:val="00203645"/>
    <w:rsid w:val="0020420D"/>
    <w:rsid w:val="0020651D"/>
    <w:rsid w:val="0020659C"/>
    <w:rsid w:val="0021028E"/>
    <w:rsid w:val="00210698"/>
    <w:rsid w:val="002156C6"/>
    <w:rsid w:val="00215DD9"/>
    <w:rsid w:val="002179CE"/>
    <w:rsid w:val="0022320F"/>
    <w:rsid w:val="0022376B"/>
    <w:rsid w:val="0024071F"/>
    <w:rsid w:val="002435FD"/>
    <w:rsid w:val="00244F38"/>
    <w:rsid w:val="00245B02"/>
    <w:rsid w:val="00256178"/>
    <w:rsid w:val="002565B9"/>
    <w:rsid w:val="00256C02"/>
    <w:rsid w:val="002716BD"/>
    <w:rsid w:val="00273B8E"/>
    <w:rsid w:val="00274DED"/>
    <w:rsid w:val="002761A9"/>
    <w:rsid w:val="002761C6"/>
    <w:rsid w:val="00276A9B"/>
    <w:rsid w:val="00287B87"/>
    <w:rsid w:val="002A160F"/>
    <w:rsid w:val="002A27BC"/>
    <w:rsid w:val="002A4EAD"/>
    <w:rsid w:val="002A5DA7"/>
    <w:rsid w:val="002B2CAA"/>
    <w:rsid w:val="002B51CF"/>
    <w:rsid w:val="002B5972"/>
    <w:rsid w:val="002C2533"/>
    <w:rsid w:val="002C391A"/>
    <w:rsid w:val="002C4433"/>
    <w:rsid w:val="002E2699"/>
    <w:rsid w:val="002E2AA0"/>
    <w:rsid w:val="002E33B4"/>
    <w:rsid w:val="002E6712"/>
    <w:rsid w:val="002F1EA9"/>
    <w:rsid w:val="002F4092"/>
    <w:rsid w:val="002F593E"/>
    <w:rsid w:val="002F7FE2"/>
    <w:rsid w:val="003051E1"/>
    <w:rsid w:val="00305762"/>
    <w:rsid w:val="003072B2"/>
    <w:rsid w:val="00315FF9"/>
    <w:rsid w:val="003225DD"/>
    <w:rsid w:val="0032642A"/>
    <w:rsid w:val="003269F7"/>
    <w:rsid w:val="00327A54"/>
    <w:rsid w:val="003313C8"/>
    <w:rsid w:val="0033308E"/>
    <w:rsid w:val="00334980"/>
    <w:rsid w:val="00340CC5"/>
    <w:rsid w:val="0034156A"/>
    <w:rsid w:val="00342700"/>
    <w:rsid w:val="00343529"/>
    <w:rsid w:val="003463F0"/>
    <w:rsid w:val="00347526"/>
    <w:rsid w:val="0035125B"/>
    <w:rsid w:val="00351E80"/>
    <w:rsid w:val="00352436"/>
    <w:rsid w:val="00352554"/>
    <w:rsid w:val="00357146"/>
    <w:rsid w:val="0036004F"/>
    <w:rsid w:val="003627F0"/>
    <w:rsid w:val="0036342D"/>
    <w:rsid w:val="00364154"/>
    <w:rsid w:val="00371B07"/>
    <w:rsid w:val="00375400"/>
    <w:rsid w:val="003764AC"/>
    <w:rsid w:val="0038065A"/>
    <w:rsid w:val="003843B9"/>
    <w:rsid w:val="00385612"/>
    <w:rsid w:val="00390861"/>
    <w:rsid w:val="00394C9E"/>
    <w:rsid w:val="003951F7"/>
    <w:rsid w:val="003A04F1"/>
    <w:rsid w:val="003A24D1"/>
    <w:rsid w:val="003A309F"/>
    <w:rsid w:val="003A79DE"/>
    <w:rsid w:val="003B0473"/>
    <w:rsid w:val="003B0A72"/>
    <w:rsid w:val="003C0EA9"/>
    <w:rsid w:val="003C5CD3"/>
    <w:rsid w:val="003C72EB"/>
    <w:rsid w:val="003C7822"/>
    <w:rsid w:val="003D53AC"/>
    <w:rsid w:val="003D612F"/>
    <w:rsid w:val="003D6A6A"/>
    <w:rsid w:val="003E1BE6"/>
    <w:rsid w:val="003E5AB7"/>
    <w:rsid w:val="003E6C26"/>
    <w:rsid w:val="003F0846"/>
    <w:rsid w:val="003F4495"/>
    <w:rsid w:val="00404F3D"/>
    <w:rsid w:val="004112A9"/>
    <w:rsid w:val="00414CFB"/>
    <w:rsid w:val="004155AC"/>
    <w:rsid w:val="00422837"/>
    <w:rsid w:val="00425160"/>
    <w:rsid w:val="004330E4"/>
    <w:rsid w:val="00434CAC"/>
    <w:rsid w:val="00437313"/>
    <w:rsid w:val="00441EA3"/>
    <w:rsid w:val="004429AA"/>
    <w:rsid w:val="00442BAD"/>
    <w:rsid w:val="004431D7"/>
    <w:rsid w:val="00443603"/>
    <w:rsid w:val="00444E2F"/>
    <w:rsid w:val="0044554C"/>
    <w:rsid w:val="00446D38"/>
    <w:rsid w:val="00453A9C"/>
    <w:rsid w:val="00457928"/>
    <w:rsid w:val="00461468"/>
    <w:rsid w:val="00461815"/>
    <w:rsid w:val="00463A36"/>
    <w:rsid w:val="00466750"/>
    <w:rsid w:val="00471A72"/>
    <w:rsid w:val="00472BF1"/>
    <w:rsid w:val="00473872"/>
    <w:rsid w:val="004809FB"/>
    <w:rsid w:val="00485A90"/>
    <w:rsid w:val="004860C9"/>
    <w:rsid w:val="004920AE"/>
    <w:rsid w:val="00492997"/>
    <w:rsid w:val="00495E98"/>
    <w:rsid w:val="00496E1E"/>
    <w:rsid w:val="0049793E"/>
    <w:rsid w:val="004A055C"/>
    <w:rsid w:val="004A3F4E"/>
    <w:rsid w:val="004B1E82"/>
    <w:rsid w:val="004B31A5"/>
    <w:rsid w:val="004B36BA"/>
    <w:rsid w:val="004B3CF6"/>
    <w:rsid w:val="004B5217"/>
    <w:rsid w:val="004C1E8F"/>
    <w:rsid w:val="004C4E4E"/>
    <w:rsid w:val="004C51FC"/>
    <w:rsid w:val="004C79B7"/>
    <w:rsid w:val="004D4620"/>
    <w:rsid w:val="004D4AED"/>
    <w:rsid w:val="004E4F0D"/>
    <w:rsid w:val="004E522E"/>
    <w:rsid w:val="004E5D8A"/>
    <w:rsid w:val="004E5EAB"/>
    <w:rsid w:val="004F301B"/>
    <w:rsid w:val="004F5DD9"/>
    <w:rsid w:val="004F73EE"/>
    <w:rsid w:val="0050388E"/>
    <w:rsid w:val="00505D67"/>
    <w:rsid w:val="0051638C"/>
    <w:rsid w:val="00516503"/>
    <w:rsid w:val="00521810"/>
    <w:rsid w:val="005225FC"/>
    <w:rsid w:val="00523B51"/>
    <w:rsid w:val="0053083D"/>
    <w:rsid w:val="00533C41"/>
    <w:rsid w:val="00534F9A"/>
    <w:rsid w:val="00541708"/>
    <w:rsid w:val="00542579"/>
    <w:rsid w:val="00542E55"/>
    <w:rsid w:val="00543F28"/>
    <w:rsid w:val="00546D77"/>
    <w:rsid w:val="005508EC"/>
    <w:rsid w:val="005524E1"/>
    <w:rsid w:val="005607F1"/>
    <w:rsid w:val="005670A4"/>
    <w:rsid w:val="00571079"/>
    <w:rsid w:val="00573370"/>
    <w:rsid w:val="005816AE"/>
    <w:rsid w:val="00584213"/>
    <w:rsid w:val="00591212"/>
    <w:rsid w:val="00591AE5"/>
    <w:rsid w:val="005936D1"/>
    <w:rsid w:val="00594B98"/>
    <w:rsid w:val="005A2611"/>
    <w:rsid w:val="005A3389"/>
    <w:rsid w:val="005A66B6"/>
    <w:rsid w:val="005A76AE"/>
    <w:rsid w:val="005B2792"/>
    <w:rsid w:val="005B5BB2"/>
    <w:rsid w:val="005C4EF5"/>
    <w:rsid w:val="005C5F8A"/>
    <w:rsid w:val="005D2FEF"/>
    <w:rsid w:val="005D6D93"/>
    <w:rsid w:val="005E0024"/>
    <w:rsid w:val="005E3049"/>
    <w:rsid w:val="005E3E10"/>
    <w:rsid w:val="005E6967"/>
    <w:rsid w:val="005F029E"/>
    <w:rsid w:val="005F05AC"/>
    <w:rsid w:val="005F7E10"/>
    <w:rsid w:val="006010EE"/>
    <w:rsid w:val="006059CA"/>
    <w:rsid w:val="00607E82"/>
    <w:rsid w:val="00612116"/>
    <w:rsid w:val="006155F2"/>
    <w:rsid w:val="00617413"/>
    <w:rsid w:val="00624F34"/>
    <w:rsid w:val="00625F58"/>
    <w:rsid w:val="00627143"/>
    <w:rsid w:val="00632BE1"/>
    <w:rsid w:val="00632F75"/>
    <w:rsid w:val="00633639"/>
    <w:rsid w:val="00633D35"/>
    <w:rsid w:val="00653A6B"/>
    <w:rsid w:val="0065517E"/>
    <w:rsid w:val="006577D8"/>
    <w:rsid w:val="00660CD2"/>
    <w:rsid w:val="00662EC0"/>
    <w:rsid w:val="006647BF"/>
    <w:rsid w:val="00666EAA"/>
    <w:rsid w:val="00671F9E"/>
    <w:rsid w:val="0067283C"/>
    <w:rsid w:val="00673B54"/>
    <w:rsid w:val="00682D66"/>
    <w:rsid w:val="00683235"/>
    <w:rsid w:val="00683515"/>
    <w:rsid w:val="00694075"/>
    <w:rsid w:val="006A0AE8"/>
    <w:rsid w:val="006A4027"/>
    <w:rsid w:val="006A7724"/>
    <w:rsid w:val="006B0EE4"/>
    <w:rsid w:val="006B179F"/>
    <w:rsid w:val="006B1E33"/>
    <w:rsid w:val="006C1720"/>
    <w:rsid w:val="006C7500"/>
    <w:rsid w:val="006C7F13"/>
    <w:rsid w:val="006D1E33"/>
    <w:rsid w:val="006D3C89"/>
    <w:rsid w:val="006D4951"/>
    <w:rsid w:val="006D654A"/>
    <w:rsid w:val="006E39F2"/>
    <w:rsid w:val="006F027F"/>
    <w:rsid w:val="006F4270"/>
    <w:rsid w:val="006F4366"/>
    <w:rsid w:val="007003A3"/>
    <w:rsid w:val="007051C7"/>
    <w:rsid w:val="00707C83"/>
    <w:rsid w:val="00707CF0"/>
    <w:rsid w:val="007118D2"/>
    <w:rsid w:val="00716151"/>
    <w:rsid w:val="00716B40"/>
    <w:rsid w:val="0071757D"/>
    <w:rsid w:val="00721EF6"/>
    <w:rsid w:val="00722F34"/>
    <w:rsid w:val="00725574"/>
    <w:rsid w:val="00730CF9"/>
    <w:rsid w:val="007319FA"/>
    <w:rsid w:val="00743074"/>
    <w:rsid w:val="00743548"/>
    <w:rsid w:val="0074587A"/>
    <w:rsid w:val="007537AD"/>
    <w:rsid w:val="00761C9B"/>
    <w:rsid w:val="00764F51"/>
    <w:rsid w:val="00766284"/>
    <w:rsid w:val="007676DD"/>
    <w:rsid w:val="00770179"/>
    <w:rsid w:val="0077690F"/>
    <w:rsid w:val="00783B93"/>
    <w:rsid w:val="0078518E"/>
    <w:rsid w:val="007860B2"/>
    <w:rsid w:val="007863DD"/>
    <w:rsid w:val="0079086E"/>
    <w:rsid w:val="00790C76"/>
    <w:rsid w:val="007A1EEF"/>
    <w:rsid w:val="007A5134"/>
    <w:rsid w:val="007A6BD7"/>
    <w:rsid w:val="007B01BA"/>
    <w:rsid w:val="007B1DBF"/>
    <w:rsid w:val="007B2971"/>
    <w:rsid w:val="007B626C"/>
    <w:rsid w:val="007B703F"/>
    <w:rsid w:val="007B777D"/>
    <w:rsid w:val="007C0355"/>
    <w:rsid w:val="007C2D8F"/>
    <w:rsid w:val="007C4D1B"/>
    <w:rsid w:val="007E0EDE"/>
    <w:rsid w:val="007E129E"/>
    <w:rsid w:val="007E1D8F"/>
    <w:rsid w:val="007E297D"/>
    <w:rsid w:val="007E2E41"/>
    <w:rsid w:val="007E4180"/>
    <w:rsid w:val="007E5426"/>
    <w:rsid w:val="007E63AC"/>
    <w:rsid w:val="007F4243"/>
    <w:rsid w:val="007F510D"/>
    <w:rsid w:val="00806032"/>
    <w:rsid w:val="00807E92"/>
    <w:rsid w:val="00824D06"/>
    <w:rsid w:val="00826415"/>
    <w:rsid w:val="00830029"/>
    <w:rsid w:val="008300AD"/>
    <w:rsid w:val="00836B29"/>
    <w:rsid w:val="00845B3B"/>
    <w:rsid w:val="00845C35"/>
    <w:rsid w:val="0084658B"/>
    <w:rsid w:val="00847BB6"/>
    <w:rsid w:val="00851EF5"/>
    <w:rsid w:val="008577BD"/>
    <w:rsid w:val="00857B19"/>
    <w:rsid w:val="00862017"/>
    <w:rsid w:val="00873652"/>
    <w:rsid w:val="00873C76"/>
    <w:rsid w:val="00875F01"/>
    <w:rsid w:val="0088050D"/>
    <w:rsid w:val="008826AE"/>
    <w:rsid w:val="00882B71"/>
    <w:rsid w:val="008871C0"/>
    <w:rsid w:val="008878BC"/>
    <w:rsid w:val="008917FE"/>
    <w:rsid w:val="00891E37"/>
    <w:rsid w:val="008921B9"/>
    <w:rsid w:val="008B0F0E"/>
    <w:rsid w:val="008B43E9"/>
    <w:rsid w:val="008C06B9"/>
    <w:rsid w:val="008C0BFE"/>
    <w:rsid w:val="008C2024"/>
    <w:rsid w:val="008C2837"/>
    <w:rsid w:val="008C3040"/>
    <w:rsid w:val="008D59AB"/>
    <w:rsid w:val="008E1FA2"/>
    <w:rsid w:val="008E2240"/>
    <w:rsid w:val="008E34E6"/>
    <w:rsid w:val="008E5BFE"/>
    <w:rsid w:val="008F55A1"/>
    <w:rsid w:val="008F69B9"/>
    <w:rsid w:val="0090003F"/>
    <w:rsid w:val="00900B02"/>
    <w:rsid w:val="00902AAD"/>
    <w:rsid w:val="00905345"/>
    <w:rsid w:val="0091330E"/>
    <w:rsid w:val="00917091"/>
    <w:rsid w:val="00926387"/>
    <w:rsid w:val="0093559E"/>
    <w:rsid w:val="0093770B"/>
    <w:rsid w:val="00937E67"/>
    <w:rsid w:val="00940149"/>
    <w:rsid w:val="0094058D"/>
    <w:rsid w:val="00940C83"/>
    <w:rsid w:val="00944376"/>
    <w:rsid w:val="00950C60"/>
    <w:rsid w:val="00954387"/>
    <w:rsid w:val="00961651"/>
    <w:rsid w:val="00961CB5"/>
    <w:rsid w:val="00963CEC"/>
    <w:rsid w:val="00964566"/>
    <w:rsid w:val="00974171"/>
    <w:rsid w:val="0097735C"/>
    <w:rsid w:val="00987049"/>
    <w:rsid w:val="00990134"/>
    <w:rsid w:val="00990D58"/>
    <w:rsid w:val="00991A9E"/>
    <w:rsid w:val="0099276B"/>
    <w:rsid w:val="00995E64"/>
    <w:rsid w:val="009A0F49"/>
    <w:rsid w:val="009B1B28"/>
    <w:rsid w:val="009B2B44"/>
    <w:rsid w:val="009C08D8"/>
    <w:rsid w:val="009C0FEE"/>
    <w:rsid w:val="009C21C9"/>
    <w:rsid w:val="009D1B87"/>
    <w:rsid w:val="009D6B07"/>
    <w:rsid w:val="009D6B56"/>
    <w:rsid w:val="009D7FE2"/>
    <w:rsid w:val="009E409D"/>
    <w:rsid w:val="009E4B50"/>
    <w:rsid w:val="009E4BF0"/>
    <w:rsid w:val="009E6101"/>
    <w:rsid w:val="009E7ED2"/>
    <w:rsid w:val="009F0994"/>
    <w:rsid w:val="009F1ABF"/>
    <w:rsid w:val="009F2159"/>
    <w:rsid w:val="009F228E"/>
    <w:rsid w:val="009F2445"/>
    <w:rsid w:val="009F452A"/>
    <w:rsid w:val="009F6669"/>
    <w:rsid w:val="009F7551"/>
    <w:rsid w:val="00A0152D"/>
    <w:rsid w:val="00A01A7C"/>
    <w:rsid w:val="00A06F3F"/>
    <w:rsid w:val="00A10FD7"/>
    <w:rsid w:val="00A12290"/>
    <w:rsid w:val="00A2293E"/>
    <w:rsid w:val="00A25B95"/>
    <w:rsid w:val="00A43243"/>
    <w:rsid w:val="00A51125"/>
    <w:rsid w:val="00A5346A"/>
    <w:rsid w:val="00A5727A"/>
    <w:rsid w:val="00A7246F"/>
    <w:rsid w:val="00A73C0C"/>
    <w:rsid w:val="00A84CE6"/>
    <w:rsid w:val="00A87A2D"/>
    <w:rsid w:val="00A95A86"/>
    <w:rsid w:val="00A96DCA"/>
    <w:rsid w:val="00A973C5"/>
    <w:rsid w:val="00AA16ED"/>
    <w:rsid w:val="00AA62A5"/>
    <w:rsid w:val="00AB338A"/>
    <w:rsid w:val="00AB469A"/>
    <w:rsid w:val="00AB4752"/>
    <w:rsid w:val="00AB507E"/>
    <w:rsid w:val="00AC01E2"/>
    <w:rsid w:val="00AC0A20"/>
    <w:rsid w:val="00AC0B67"/>
    <w:rsid w:val="00AC1F30"/>
    <w:rsid w:val="00AC5D18"/>
    <w:rsid w:val="00AC6507"/>
    <w:rsid w:val="00AC676E"/>
    <w:rsid w:val="00AD560A"/>
    <w:rsid w:val="00AD6047"/>
    <w:rsid w:val="00AD6A5B"/>
    <w:rsid w:val="00AD7A92"/>
    <w:rsid w:val="00AE3F8B"/>
    <w:rsid w:val="00AE5685"/>
    <w:rsid w:val="00AF1FC1"/>
    <w:rsid w:val="00AF5533"/>
    <w:rsid w:val="00AF6414"/>
    <w:rsid w:val="00AF7384"/>
    <w:rsid w:val="00B03909"/>
    <w:rsid w:val="00B03ADF"/>
    <w:rsid w:val="00B06103"/>
    <w:rsid w:val="00B06EA4"/>
    <w:rsid w:val="00B1449E"/>
    <w:rsid w:val="00B14BB9"/>
    <w:rsid w:val="00B21EB9"/>
    <w:rsid w:val="00B233FD"/>
    <w:rsid w:val="00B24A5C"/>
    <w:rsid w:val="00B2508B"/>
    <w:rsid w:val="00B2699D"/>
    <w:rsid w:val="00B2785E"/>
    <w:rsid w:val="00B34359"/>
    <w:rsid w:val="00B34C26"/>
    <w:rsid w:val="00B53453"/>
    <w:rsid w:val="00B55C6D"/>
    <w:rsid w:val="00B57103"/>
    <w:rsid w:val="00B6091B"/>
    <w:rsid w:val="00B72693"/>
    <w:rsid w:val="00B755BF"/>
    <w:rsid w:val="00B772F0"/>
    <w:rsid w:val="00B80CF1"/>
    <w:rsid w:val="00B834B0"/>
    <w:rsid w:val="00B8447D"/>
    <w:rsid w:val="00B86353"/>
    <w:rsid w:val="00B97CD9"/>
    <w:rsid w:val="00BA39C5"/>
    <w:rsid w:val="00BA3EF9"/>
    <w:rsid w:val="00BA4BF4"/>
    <w:rsid w:val="00BA6B09"/>
    <w:rsid w:val="00BB5BA6"/>
    <w:rsid w:val="00BB6256"/>
    <w:rsid w:val="00BB73E6"/>
    <w:rsid w:val="00BC43FA"/>
    <w:rsid w:val="00BC531E"/>
    <w:rsid w:val="00BC7322"/>
    <w:rsid w:val="00BE2824"/>
    <w:rsid w:val="00BE68FC"/>
    <w:rsid w:val="00BF53A2"/>
    <w:rsid w:val="00BF6B4C"/>
    <w:rsid w:val="00BF7AED"/>
    <w:rsid w:val="00C007AD"/>
    <w:rsid w:val="00C052A4"/>
    <w:rsid w:val="00C06E33"/>
    <w:rsid w:val="00C10851"/>
    <w:rsid w:val="00C10FC7"/>
    <w:rsid w:val="00C1390C"/>
    <w:rsid w:val="00C1599F"/>
    <w:rsid w:val="00C16983"/>
    <w:rsid w:val="00C17877"/>
    <w:rsid w:val="00C2041A"/>
    <w:rsid w:val="00C204F9"/>
    <w:rsid w:val="00C22212"/>
    <w:rsid w:val="00C22E11"/>
    <w:rsid w:val="00C273BF"/>
    <w:rsid w:val="00C30A5B"/>
    <w:rsid w:val="00C31DCE"/>
    <w:rsid w:val="00C34614"/>
    <w:rsid w:val="00C41A1C"/>
    <w:rsid w:val="00C44E82"/>
    <w:rsid w:val="00C4568A"/>
    <w:rsid w:val="00C5089F"/>
    <w:rsid w:val="00C53ECF"/>
    <w:rsid w:val="00C551FD"/>
    <w:rsid w:val="00C61BF1"/>
    <w:rsid w:val="00C624ED"/>
    <w:rsid w:val="00C645DC"/>
    <w:rsid w:val="00C667D5"/>
    <w:rsid w:val="00C70292"/>
    <w:rsid w:val="00C71703"/>
    <w:rsid w:val="00C7434B"/>
    <w:rsid w:val="00C75D86"/>
    <w:rsid w:val="00C77783"/>
    <w:rsid w:val="00C85B4D"/>
    <w:rsid w:val="00C86715"/>
    <w:rsid w:val="00C90F33"/>
    <w:rsid w:val="00C9402C"/>
    <w:rsid w:val="00C94B98"/>
    <w:rsid w:val="00CA1776"/>
    <w:rsid w:val="00CA528F"/>
    <w:rsid w:val="00CA605D"/>
    <w:rsid w:val="00CA67BF"/>
    <w:rsid w:val="00CA7833"/>
    <w:rsid w:val="00CB065B"/>
    <w:rsid w:val="00CB78C6"/>
    <w:rsid w:val="00CC0019"/>
    <w:rsid w:val="00CC11E7"/>
    <w:rsid w:val="00CC1EC8"/>
    <w:rsid w:val="00CC48BE"/>
    <w:rsid w:val="00CD010D"/>
    <w:rsid w:val="00CD7A35"/>
    <w:rsid w:val="00CE348D"/>
    <w:rsid w:val="00CE687A"/>
    <w:rsid w:val="00CF1415"/>
    <w:rsid w:val="00CF1431"/>
    <w:rsid w:val="00CF15D2"/>
    <w:rsid w:val="00CF167B"/>
    <w:rsid w:val="00CF6CF9"/>
    <w:rsid w:val="00D00180"/>
    <w:rsid w:val="00D00686"/>
    <w:rsid w:val="00D02038"/>
    <w:rsid w:val="00D03397"/>
    <w:rsid w:val="00D03843"/>
    <w:rsid w:val="00D0404A"/>
    <w:rsid w:val="00D142A3"/>
    <w:rsid w:val="00D14D03"/>
    <w:rsid w:val="00D1631B"/>
    <w:rsid w:val="00D224BD"/>
    <w:rsid w:val="00D2723C"/>
    <w:rsid w:val="00D336A1"/>
    <w:rsid w:val="00D35BCD"/>
    <w:rsid w:val="00D37315"/>
    <w:rsid w:val="00D42244"/>
    <w:rsid w:val="00D464EF"/>
    <w:rsid w:val="00D46979"/>
    <w:rsid w:val="00D47FB8"/>
    <w:rsid w:val="00D54C46"/>
    <w:rsid w:val="00D54DA2"/>
    <w:rsid w:val="00D61C33"/>
    <w:rsid w:val="00D63BDF"/>
    <w:rsid w:val="00D64851"/>
    <w:rsid w:val="00D6641D"/>
    <w:rsid w:val="00D709AD"/>
    <w:rsid w:val="00D719E6"/>
    <w:rsid w:val="00D72C4B"/>
    <w:rsid w:val="00D77A43"/>
    <w:rsid w:val="00D81E60"/>
    <w:rsid w:val="00D82B75"/>
    <w:rsid w:val="00D862EC"/>
    <w:rsid w:val="00D9215B"/>
    <w:rsid w:val="00D94813"/>
    <w:rsid w:val="00D97732"/>
    <w:rsid w:val="00DA20F0"/>
    <w:rsid w:val="00DA3F69"/>
    <w:rsid w:val="00DB5F23"/>
    <w:rsid w:val="00DC70C0"/>
    <w:rsid w:val="00DC7D5B"/>
    <w:rsid w:val="00DE0DF3"/>
    <w:rsid w:val="00DE5114"/>
    <w:rsid w:val="00DF47F1"/>
    <w:rsid w:val="00E1024A"/>
    <w:rsid w:val="00E11296"/>
    <w:rsid w:val="00E16B31"/>
    <w:rsid w:val="00E22394"/>
    <w:rsid w:val="00E231F9"/>
    <w:rsid w:val="00E234AF"/>
    <w:rsid w:val="00E27C93"/>
    <w:rsid w:val="00E34ED3"/>
    <w:rsid w:val="00E35C95"/>
    <w:rsid w:val="00E36770"/>
    <w:rsid w:val="00E37A50"/>
    <w:rsid w:val="00E41E18"/>
    <w:rsid w:val="00E429D6"/>
    <w:rsid w:val="00E474BB"/>
    <w:rsid w:val="00E5105B"/>
    <w:rsid w:val="00E516E3"/>
    <w:rsid w:val="00E544C3"/>
    <w:rsid w:val="00E577C1"/>
    <w:rsid w:val="00E62702"/>
    <w:rsid w:val="00E66B56"/>
    <w:rsid w:val="00E66CFE"/>
    <w:rsid w:val="00E7234E"/>
    <w:rsid w:val="00E738FF"/>
    <w:rsid w:val="00E8182D"/>
    <w:rsid w:val="00E83433"/>
    <w:rsid w:val="00E85465"/>
    <w:rsid w:val="00E878C8"/>
    <w:rsid w:val="00E900BC"/>
    <w:rsid w:val="00E9068B"/>
    <w:rsid w:val="00E91A5F"/>
    <w:rsid w:val="00E935DD"/>
    <w:rsid w:val="00E96E8C"/>
    <w:rsid w:val="00E97265"/>
    <w:rsid w:val="00EA13CD"/>
    <w:rsid w:val="00EA39DD"/>
    <w:rsid w:val="00EB4C94"/>
    <w:rsid w:val="00EB71D7"/>
    <w:rsid w:val="00EC1071"/>
    <w:rsid w:val="00EC574D"/>
    <w:rsid w:val="00EC731C"/>
    <w:rsid w:val="00ED089D"/>
    <w:rsid w:val="00ED38A0"/>
    <w:rsid w:val="00EE0F4C"/>
    <w:rsid w:val="00EE18A4"/>
    <w:rsid w:val="00EE3BB5"/>
    <w:rsid w:val="00EF5DBA"/>
    <w:rsid w:val="00F01F75"/>
    <w:rsid w:val="00F03865"/>
    <w:rsid w:val="00F03A05"/>
    <w:rsid w:val="00F069EB"/>
    <w:rsid w:val="00F14B99"/>
    <w:rsid w:val="00F14F55"/>
    <w:rsid w:val="00F16A58"/>
    <w:rsid w:val="00F17084"/>
    <w:rsid w:val="00F24943"/>
    <w:rsid w:val="00F24AAA"/>
    <w:rsid w:val="00F33AE5"/>
    <w:rsid w:val="00F35836"/>
    <w:rsid w:val="00F476CE"/>
    <w:rsid w:val="00F5147A"/>
    <w:rsid w:val="00F54202"/>
    <w:rsid w:val="00F5493E"/>
    <w:rsid w:val="00F632CC"/>
    <w:rsid w:val="00F64A14"/>
    <w:rsid w:val="00F7071E"/>
    <w:rsid w:val="00F75ADB"/>
    <w:rsid w:val="00F80A4A"/>
    <w:rsid w:val="00F80ED4"/>
    <w:rsid w:val="00FA0141"/>
    <w:rsid w:val="00FA196E"/>
    <w:rsid w:val="00FA3ACB"/>
    <w:rsid w:val="00FA6FF9"/>
    <w:rsid w:val="00FA7C12"/>
    <w:rsid w:val="00FB4D33"/>
    <w:rsid w:val="00FB6349"/>
    <w:rsid w:val="00FC27B7"/>
    <w:rsid w:val="00FC490E"/>
    <w:rsid w:val="00FD5256"/>
    <w:rsid w:val="00FE2C54"/>
    <w:rsid w:val="00FF6BF9"/>
    <w:rsid w:val="00FF6D27"/>
    <w:rsid w:val="00FF700F"/>
    <w:rsid w:val="00FF7034"/>
    <w:rsid w:val="2ABFE37A"/>
    <w:rsid w:val="32EEF86C"/>
    <w:rsid w:val="42CF9C66"/>
    <w:rsid w:val="4EB47872"/>
    <w:rsid w:val="5B5630AF"/>
    <w:rsid w:val="64D11C05"/>
    <w:rsid w:val="6673B3A7"/>
    <w:rsid w:val="71BC41DC"/>
    <w:rsid w:val="777A394D"/>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F2D530DC-7AA5-4289-A00F-4F2228A3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B1">
    <w:name w:val="B1"/>
    <w:basedOn w:val="List"/>
    <w:link w:val="B1Char1"/>
    <w:rsid w:val="00CA67BF"/>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1">
    <w:name w:val="B1 Char1"/>
    <w:link w:val="B1"/>
    <w:rsid w:val="00CA67B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A67BF"/>
    <w:pPr>
      <w:ind w:left="360" w:hanging="360"/>
      <w:contextualSpacing/>
    </w:pPr>
  </w:style>
  <w:style w:type="character" w:styleId="Hyperlink">
    <w:name w:val="Hyperlink"/>
    <w:uiPriority w:val="99"/>
    <w:semiHidden/>
    <w:unhideWhenUsed/>
    <w:qFormat/>
    <w:rsid w:val="00AC5D18"/>
    <w:rPr>
      <w:color w:val="0000FF"/>
      <w:u w:val="singl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A2611"/>
    <w:rPr>
      <w:rFonts w:ascii="Times New Roman" w:eastAsia="Malgun Gothic" w:hAnsi="Times New Roman" w:cs="Times New Roman"/>
      <w:sz w:val="20"/>
      <w:szCs w:val="20"/>
      <w:lang w:val="en-GB" w:eastAsia="en-US"/>
    </w:rPr>
  </w:style>
  <w:style w:type="paragraph" w:styleId="Header">
    <w:name w:val="header"/>
    <w:basedOn w:val="Normal"/>
    <w:link w:val="HeaderChar"/>
    <w:uiPriority w:val="99"/>
    <w:unhideWhenUsed/>
    <w:rsid w:val="00766284"/>
    <w:pPr>
      <w:tabs>
        <w:tab w:val="center" w:pos="4680"/>
        <w:tab w:val="right" w:pos="9360"/>
      </w:tabs>
      <w:spacing w:after="0"/>
    </w:pPr>
  </w:style>
  <w:style w:type="character" w:customStyle="1" w:styleId="HeaderChar">
    <w:name w:val="Header Char"/>
    <w:basedOn w:val="DefaultParagraphFont"/>
    <w:link w:val="Header"/>
    <w:uiPriority w:val="99"/>
    <w:rsid w:val="00766284"/>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766284"/>
    <w:pPr>
      <w:tabs>
        <w:tab w:val="center" w:pos="4680"/>
        <w:tab w:val="right" w:pos="9360"/>
      </w:tabs>
      <w:spacing w:after="0"/>
    </w:pPr>
  </w:style>
  <w:style w:type="character" w:customStyle="1" w:styleId="FooterChar">
    <w:name w:val="Footer Char"/>
    <w:basedOn w:val="DefaultParagraphFont"/>
    <w:link w:val="Footer"/>
    <w:uiPriority w:val="99"/>
    <w:rsid w:val="00766284"/>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630944522">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738168554">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1844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Data/3GPP/Extracts/R2-2007565%20-%20Rel17%20NR-NTN%20workplan.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7037</Characters>
  <Application>Microsoft Office Word</Application>
  <DocSecurity>0</DocSecurity>
  <Lines>58</Lines>
  <Paragraphs>16</Paragraphs>
  <ScaleCrop>false</ScaleCrop>
  <Company>Intel Corporation</Company>
  <LinksUpToDate>false</LinksUpToDate>
  <CharactersWithSpaces>8255</CharactersWithSpaces>
  <SharedDoc>false</SharedDoc>
  <HLinks>
    <vt:vector size="6" baseType="variant">
      <vt:variant>
        <vt:i4>1769479</vt:i4>
      </vt:variant>
      <vt:variant>
        <vt:i4>0</vt:i4>
      </vt:variant>
      <vt:variant>
        <vt:i4>0</vt:i4>
      </vt:variant>
      <vt:variant>
        <vt:i4>5</vt:i4>
      </vt:variant>
      <vt:variant>
        <vt:lpwstr>C:\Data\3GPP\Extracts\R2-2007565 - Rel17 NR-NTN workplan.docx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2020-10-23T04:17:00Z</dcterms:created>
  <dcterms:modified xsi:type="dcterms:W3CDTF">2020-10-23T04:17:00Z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26bf7976-6ded-43f9-9527-282f1ad40a2d</vt:lpwstr>
  </property>
  <property fmtid="{D5CDD505-2E9C-101B-9397-08002B2CF9AE}" pid="4" name="CTP_TimeStamp">
    <vt:lpwstr>2020-08-07 04:35:09Z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