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32F72850"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2F3F8F">
        <w:rPr>
          <w:rFonts w:ascii="Arial" w:eastAsia="Times New Roman" w:hAnsi="Arial"/>
          <w:b/>
          <w:bCs/>
          <w:sz w:val="24"/>
          <w:szCs w:val="24"/>
        </w:rPr>
        <w:t>2</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7CA91C19" w:rsidRPr="7C955B9A">
        <w:rPr>
          <w:rFonts w:ascii="Arial" w:hAnsi="Arial" w:cs="Arial"/>
          <w:b/>
          <w:bCs/>
          <w:color w:val="000000" w:themeColor="text1"/>
          <w:sz w:val="26"/>
          <w:szCs w:val="26"/>
        </w:rPr>
        <w:t xml:space="preserve"> R2-2008980</w:t>
      </w:r>
    </w:p>
    <w:p w14:paraId="110EB4B6" w14:textId="0F54A108"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2F3F8F" w:rsidRPr="002F3F8F">
        <w:rPr>
          <w:rFonts w:ascii="Arial" w:hAnsi="Arial"/>
          <w:b/>
          <w:bCs/>
          <w:sz w:val="24"/>
          <w:szCs w:val="24"/>
          <w:lang w:eastAsia="zh-CN"/>
        </w:rPr>
        <w:t>Nov 2</w:t>
      </w:r>
      <w:r w:rsidR="002F3F8F" w:rsidRPr="002F3F8F">
        <w:rPr>
          <w:rFonts w:ascii="Arial" w:hAnsi="Arial"/>
          <w:b/>
          <w:bCs/>
          <w:sz w:val="24"/>
          <w:szCs w:val="24"/>
          <w:vertAlign w:val="superscript"/>
          <w:lang w:eastAsia="zh-CN"/>
        </w:rPr>
        <w:t>nd</w:t>
      </w:r>
      <w:r w:rsidR="002F3F8F">
        <w:rPr>
          <w:rFonts w:ascii="Arial" w:hAnsi="Arial"/>
          <w:b/>
          <w:bCs/>
          <w:sz w:val="24"/>
          <w:szCs w:val="24"/>
          <w:lang w:eastAsia="zh-CN"/>
        </w:rPr>
        <w:t xml:space="preserve"> </w:t>
      </w:r>
      <w:r w:rsidR="002F3F8F" w:rsidRPr="002F3F8F">
        <w:rPr>
          <w:rFonts w:ascii="Arial" w:hAnsi="Arial"/>
          <w:b/>
          <w:bCs/>
          <w:sz w:val="24"/>
          <w:szCs w:val="24"/>
          <w:lang w:eastAsia="zh-CN"/>
        </w:rPr>
        <w:t>- 13</w:t>
      </w:r>
      <w:r w:rsidR="002F3F8F" w:rsidRPr="002F3F8F">
        <w:rPr>
          <w:rFonts w:ascii="Arial" w:hAnsi="Arial"/>
          <w:b/>
          <w:bCs/>
          <w:sz w:val="24"/>
          <w:szCs w:val="24"/>
          <w:vertAlign w:val="superscript"/>
          <w:lang w:eastAsia="zh-CN"/>
        </w:rPr>
        <w:t>th</w:t>
      </w:r>
      <w:r w:rsidR="002F3F8F">
        <w:rPr>
          <w:rFonts w:ascii="Arial" w:hAnsi="Arial"/>
          <w:b/>
          <w:bCs/>
          <w:sz w:val="24"/>
          <w:szCs w:val="24"/>
          <w:lang w:eastAsia="zh-CN"/>
        </w:rPr>
        <w:t xml:space="preserve"> </w:t>
      </w:r>
      <w:r w:rsidR="002F3F8F" w:rsidRPr="002F3F8F">
        <w:rPr>
          <w:rFonts w:ascii="Arial" w:hAnsi="Arial"/>
          <w:b/>
          <w:bCs/>
          <w:sz w:val="24"/>
          <w:szCs w:val="24"/>
          <w:lang w:eastAsia="zh-CN"/>
        </w:rPr>
        <w:t>2020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8912302"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757E04">
        <w:rPr>
          <w:rFonts w:ascii="Arial" w:eastAsia="MS Mincho" w:hAnsi="Arial" w:cs="Arial"/>
          <w:b/>
          <w:bCs/>
          <w:sz w:val="24"/>
          <w:szCs w:val="24"/>
        </w:rPr>
        <w:t>2.</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63276C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757E04">
        <w:rPr>
          <w:rFonts w:ascii="Arial" w:eastAsia="Times New Roman" w:hAnsi="Arial" w:cs="Arial"/>
          <w:b/>
          <w:bCs/>
          <w:sz w:val="24"/>
          <w:szCs w:val="24"/>
        </w:rPr>
        <w:t>Timing advance</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628305C3" w:rsidR="00783B93" w:rsidRDefault="00783B93" w:rsidP="00783B93">
      <w:pPr>
        <w:pStyle w:val="Heading1"/>
        <w:numPr>
          <w:ilvl w:val="0"/>
          <w:numId w:val="1"/>
        </w:numPr>
        <w:pBdr>
          <w:top w:val="single" w:sz="12" w:space="2" w:color="auto"/>
        </w:pBdr>
      </w:pPr>
      <w:r>
        <w:t xml:space="preserve">Introduction </w:t>
      </w:r>
    </w:p>
    <w:p w14:paraId="5780EBEB" w14:textId="11604B17" w:rsidR="00757E04" w:rsidRPr="00757E04" w:rsidRDefault="00757E04" w:rsidP="00757E04">
      <w:r>
        <w:t>NTN WI is approved in [1] and the scope of work for connect mode and mobility are as follow:</w:t>
      </w:r>
    </w:p>
    <w:p w14:paraId="4DB65BCB" w14:textId="77777777" w:rsidR="00757E04" w:rsidRPr="00757E04" w:rsidRDefault="00653A6B" w:rsidP="00757E04">
      <w:pPr>
        <w:numPr>
          <w:ilvl w:val="0"/>
          <w:numId w:val="18"/>
        </w:numPr>
        <w:spacing w:after="0"/>
        <w:ind w:left="540"/>
        <w:textAlignment w:val="center"/>
        <w:rPr>
          <w:rFonts w:ascii="Calibri" w:eastAsia="Times New Roman" w:hAnsi="Calibri" w:cs="Calibri"/>
          <w:sz w:val="22"/>
          <w:szCs w:val="22"/>
          <w:lang w:val="en-US" w:eastAsia="zh-TW"/>
        </w:rPr>
      </w:pPr>
      <w:r>
        <w:t xml:space="preserve"> </w:t>
      </w:r>
      <w:r w:rsidR="00757E04" w:rsidRPr="00757E04">
        <w:rPr>
          <w:rFonts w:eastAsia="Times New Roman"/>
          <w:lang w:val="en-US" w:eastAsia="zh-TW"/>
        </w:rPr>
        <w:t>MAC</w:t>
      </w:r>
    </w:p>
    <w:p w14:paraId="67EC46A5"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Random access:</w:t>
      </w:r>
    </w:p>
    <w:p w14:paraId="6E5F2837"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Definition of an offset for the start of the ra-</w:t>
      </w:r>
      <w:proofErr w:type="spellStart"/>
      <w:r w:rsidRPr="00757E04">
        <w:rPr>
          <w:rFonts w:eastAsia="Times New Roman"/>
          <w:lang w:val="en-US" w:eastAsia="zh-TW"/>
        </w:rPr>
        <w:t>ResponseWindow</w:t>
      </w:r>
      <w:proofErr w:type="spellEnd"/>
      <w:r w:rsidRPr="00757E04">
        <w:rPr>
          <w:rFonts w:eastAsia="Times New Roman"/>
          <w:lang w:val="en-US" w:eastAsia="zh-TW"/>
        </w:rPr>
        <w:t xml:space="preserve"> for NTN and extension of the ra-</w:t>
      </w:r>
      <w:proofErr w:type="spellStart"/>
      <w:r w:rsidRPr="00757E04">
        <w:rPr>
          <w:rFonts w:eastAsia="Times New Roman"/>
          <w:lang w:val="en-US" w:eastAsia="zh-TW"/>
        </w:rPr>
        <w:t>ResponseWindow</w:t>
      </w:r>
      <w:proofErr w:type="spellEnd"/>
      <w:r w:rsidRPr="00757E04">
        <w:rPr>
          <w:rFonts w:eastAsia="Times New Roman"/>
          <w:lang w:val="en-US" w:eastAsia="zh-TW"/>
        </w:rPr>
        <w:t xml:space="preserve"> duration to support UE without location information.</w:t>
      </w:r>
    </w:p>
    <w:p w14:paraId="5396C4FC"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Introduction of an offset for the start of the ra-</w:t>
      </w:r>
      <w:proofErr w:type="spellStart"/>
      <w:r w:rsidRPr="00757E04">
        <w:rPr>
          <w:rFonts w:eastAsia="Times New Roman"/>
          <w:lang w:val="en-US" w:eastAsia="zh-TW"/>
        </w:rPr>
        <w:t>ContentionResolutionTimer</w:t>
      </w:r>
      <w:proofErr w:type="spellEnd"/>
      <w:r w:rsidRPr="00757E04">
        <w:rPr>
          <w:rFonts w:eastAsia="Times New Roman"/>
          <w:lang w:val="en-US" w:eastAsia="zh-TW"/>
        </w:rPr>
        <w:t xml:space="preserve"> to resolve Random access contention</w:t>
      </w:r>
    </w:p>
    <w:p w14:paraId="5A0FCCE4"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Solutions for resolving preamble ambiguity and extension of RAR window.</w:t>
      </w:r>
    </w:p>
    <w:p w14:paraId="2B341C66"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Adaptations for UEs with GNSS capabilities; timing advance and msg3 scheduling.</w:t>
      </w:r>
    </w:p>
    <w:p w14:paraId="0932392B" w14:textId="77777777" w:rsidR="00757E04" w:rsidRPr="00DD60CE" w:rsidRDefault="00757E04" w:rsidP="00757E04">
      <w:pPr>
        <w:numPr>
          <w:ilvl w:val="1"/>
          <w:numId w:val="18"/>
        </w:numPr>
        <w:spacing w:after="0"/>
        <w:ind w:left="1080"/>
        <w:textAlignment w:val="center"/>
        <w:rPr>
          <w:rFonts w:ascii="Calibri" w:eastAsia="Times New Roman" w:hAnsi="Calibri" w:cs="Calibri"/>
          <w:sz w:val="22"/>
          <w:szCs w:val="22"/>
          <w:highlight w:val="yellow"/>
          <w:lang w:val="en-US" w:eastAsia="zh-TW"/>
        </w:rPr>
      </w:pPr>
      <w:r w:rsidRPr="00DD60CE">
        <w:rPr>
          <w:rFonts w:eastAsia="Times New Roman"/>
          <w:highlight w:val="yellow"/>
          <w:lang w:val="en-US" w:eastAsia="zh-TW"/>
        </w:rPr>
        <w:t>Timing advance: TA calculation and signaling adaptation to deal with NTN maximum round trip delay in LEO and GEO scenarios for UE with and without UE location information.</w:t>
      </w:r>
    </w:p>
    <w:p w14:paraId="66C7DE5E"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DRX: </w:t>
      </w:r>
    </w:p>
    <w:p w14:paraId="1CAA9B63"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If HARQ feedback is enabled, an offset should be added for </w:t>
      </w:r>
      <w:proofErr w:type="spellStart"/>
      <w:r w:rsidRPr="00757E04">
        <w:rPr>
          <w:rFonts w:eastAsia="Times New Roman"/>
          <w:i/>
          <w:iCs/>
          <w:lang w:val="en-US" w:eastAsia="zh-TW"/>
        </w:rPr>
        <w:t>drx</w:t>
      </w:r>
      <w:proofErr w:type="spellEnd"/>
      <w:r w:rsidRPr="00757E04">
        <w:rPr>
          <w:rFonts w:eastAsia="Times New Roman"/>
          <w:i/>
          <w:iCs/>
          <w:lang w:val="en-US" w:eastAsia="zh-TW"/>
        </w:rPr>
        <w:t>-HARQ-RTT-</w:t>
      </w:r>
      <w:proofErr w:type="spellStart"/>
      <w:r w:rsidRPr="00757E04">
        <w:rPr>
          <w:rFonts w:eastAsia="Times New Roman"/>
          <w:i/>
          <w:iCs/>
          <w:lang w:val="en-US" w:eastAsia="zh-TW"/>
        </w:rPr>
        <w:t>TimerDL</w:t>
      </w:r>
      <w:proofErr w:type="spellEnd"/>
      <w:r w:rsidRPr="00757E04">
        <w:rPr>
          <w:rFonts w:eastAsia="Times New Roman"/>
          <w:i/>
          <w:iCs/>
          <w:lang w:val="en-US" w:eastAsia="zh-TW"/>
        </w:rPr>
        <w:t xml:space="preserve"> </w:t>
      </w:r>
      <w:r w:rsidRPr="00757E04">
        <w:rPr>
          <w:rFonts w:eastAsia="Times New Roman"/>
          <w:lang w:val="en-US" w:eastAsia="zh-TW"/>
        </w:rPr>
        <w:t xml:space="preserve">and </w:t>
      </w:r>
      <w:proofErr w:type="spellStart"/>
      <w:r w:rsidRPr="00757E04">
        <w:rPr>
          <w:rFonts w:eastAsia="Times New Roman"/>
          <w:i/>
          <w:iCs/>
          <w:lang w:val="en-US" w:eastAsia="zh-TW"/>
        </w:rPr>
        <w:t>drx</w:t>
      </w:r>
      <w:proofErr w:type="spellEnd"/>
      <w:r w:rsidRPr="00757E04">
        <w:rPr>
          <w:rFonts w:eastAsia="Times New Roman"/>
          <w:i/>
          <w:iCs/>
          <w:lang w:val="en-US" w:eastAsia="zh-TW"/>
        </w:rPr>
        <w:t>-HARQ-RTT-</w:t>
      </w:r>
      <w:proofErr w:type="spellStart"/>
      <w:r w:rsidRPr="00757E04">
        <w:rPr>
          <w:rFonts w:eastAsia="Times New Roman"/>
          <w:i/>
          <w:iCs/>
          <w:lang w:val="en-US" w:eastAsia="zh-TW"/>
        </w:rPr>
        <w:t>TimerUL</w:t>
      </w:r>
      <w:proofErr w:type="spellEnd"/>
      <w:r w:rsidRPr="00757E04">
        <w:rPr>
          <w:rFonts w:eastAsia="Times New Roman"/>
          <w:lang w:val="en-US" w:eastAsia="zh-TW"/>
        </w:rPr>
        <w:t>.</w:t>
      </w:r>
    </w:p>
    <w:p w14:paraId="5817D345"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If HARQ is turned off per HARQ process, adaptions in HARQ procedure may be required</w:t>
      </w:r>
    </w:p>
    <w:p w14:paraId="2510E1A6"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Options for UE power saving for SR and CFRA can be discussed during work item phase</w:t>
      </w:r>
    </w:p>
    <w:p w14:paraId="13AD6025"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Scheduling Request: Extension of the value range of </w:t>
      </w:r>
      <w:proofErr w:type="spellStart"/>
      <w:r w:rsidRPr="00757E04">
        <w:rPr>
          <w:rFonts w:eastAsia="Times New Roman"/>
          <w:i/>
          <w:iCs/>
          <w:lang w:val="en-US" w:eastAsia="zh-TW"/>
        </w:rPr>
        <w:t>sr-ProhibitTimer</w:t>
      </w:r>
      <w:proofErr w:type="spellEnd"/>
      <w:r w:rsidRPr="00757E04">
        <w:rPr>
          <w:rFonts w:eastAsia="Times New Roman"/>
          <w:i/>
          <w:iCs/>
          <w:lang w:val="en-US" w:eastAsia="zh-TW"/>
        </w:rPr>
        <w:t xml:space="preserve"> </w:t>
      </w:r>
    </w:p>
    <w:p w14:paraId="7D4E1FD0"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HARQ</w:t>
      </w:r>
    </w:p>
    <w:p w14:paraId="39276D7E"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enabling / disabling of uplink HARQ feedback for downlink transmission at the UE receiver should be configurable per UE and per HARQ process. </w:t>
      </w:r>
    </w:p>
    <w:p w14:paraId="38A04939"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enabling / disabling of HARQ uplink retransmission should be configurable per UE or per HARQ </w:t>
      </w:r>
      <w:proofErr w:type="gramStart"/>
      <w:r w:rsidRPr="00757E04">
        <w:rPr>
          <w:rFonts w:eastAsia="Times New Roman"/>
          <w:lang w:val="en-US" w:eastAsia="zh-TW"/>
        </w:rPr>
        <w:t>process .</w:t>
      </w:r>
      <w:proofErr w:type="gramEnd"/>
      <w:r w:rsidRPr="00757E04">
        <w:rPr>
          <w:rFonts w:eastAsia="Times New Roman"/>
          <w:lang w:val="en-US" w:eastAsia="zh-TW"/>
        </w:rPr>
        <w:t xml:space="preserve"> The LCP impact caused by disabling the HARQ uplink retransmission configuration and its impact on UE’s uplink transmission should be discussed in the work item phase.</w:t>
      </w:r>
    </w:p>
    <w:p w14:paraId="7825F05D"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Multiple transmission of the same TB to lower residual BLER should also be </w:t>
      </w:r>
      <w:proofErr w:type="gramStart"/>
      <w:r w:rsidRPr="00757E04">
        <w:rPr>
          <w:rFonts w:eastAsia="Times New Roman"/>
          <w:lang w:val="en-US" w:eastAsia="zh-TW"/>
        </w:rPr>
        <w:t>configured..</w:t>
      </w:r>
      <w:proofErr w:type="gramEnd"/>
    </w:p>
    <w:p w14:paraId="73521765" w14:textId="77777777" w:rsidR="00757E04" w:rsidRDefault="00757E04" w:rsidP="00653A6B">
      <w:pPr>
        <w:rPr>
          <w:lang w:val="en-US"/>
        </w:rPr>
      </w:pPr>
    </w:p>
    <w:p w14:paraId="2B01AEBD" w14:textId="2C7CCD1D" w:rsidR="00653A6B" w:rsidRPr="00757E04" w:rsidRDefault="00757E04" w:rsidP="00653A6B">
      <w:pPr>
        <w:rPr>
          <w:lang w:val="en-US"/>
        </w:rPr>
      </w:pPr>
      <w:r>
        <w:rPr>
          <w:lang w:val="en-US"/>
        </w:rPr>
        <w:t xml:space="preserve">This contribution focuses </w:t>
      </w:r>
      <w:r w:rsidR="00460764">
        <w:rPr>
          <w:lang w:val="en-US"/>
        </w:rPr>
        <w:t>discussion on</w:t>
      </w:r>
      <w:r>
        <w:rPr>
          <w:lang w:val="en-US"/>
        </w:rPr>
        <w:t xml:space="preserve"> timing advance challenge in NTN. </w:t>
      </w:r>
    </w:p>
    <w:p w14:paraId="57BF1261" w14:textId="3E03BDBB" w:rsidR="00783B93" w:rsidRDefault="00783B93" w:rsidP="00783B93">
      <w:pPr>
        <w:pStyle w:val="Heading1"/>
        <w:numPr>
          <w:ilvl w:val="0"/>
          <w:numId w:val="1"/>
        </w:numPr>
        <w:pBdr>
          <w:top w:val="single" w:sz="12" w:space="2" w:color="auto"/>
        </w:pBdr>
      </w:pPr>
      <w:r>
        <w:t xml:space="preserve">Discussion </w:t>
      </w:r>
    </w:p>
    <w:p w14:paraId="51587D32" w14:textId="77777777" w:rsidR="001273ED" w:rsidRDefault="001273ED" w:rsidP="001273ED">
      <w:r>
        <w:t xml:space="preserve">One of the primary differences in NTNs compared to terrestrial cellular networks is the significantly longer propagation delay between the UE (on the ground) and the satellite. Propagation delays can result in the uplink signal from different UEs being received at the </w:t>
      </w:r>
      <w:proofErr w:type="spellStart"/>
      <w:r>
        <w:t>gNB</w:t>
      </w:r>
      <w:proofErr w:type="spellEnd"/>
      <w:r>
        <w:t xml:space="preserve"> at very different times. In order to be able to receive multiple uplink signals, the </w:t>
      </w:r>
      <w:proofErr w:type="spellStart"/>
      <w:r>
        <w:t>gNB</w:t>
      </w:r>
      <w:proofErr w:type="spellEnd"/>
      <w:r>
        <w:t xml:space="preserve"> assigns timing advances to UEs ensure that the receive times of signals from UEs are the same. The timing advance value is communicated to the UE in the </w:t>
      </w:r>
      <w:proofErr w:type="gramStart"/>
      <w:r>
        <w:t>random access</w:t>
      </w:r>
      <w:proofErr w:type="gramEnd"/>
      <w:r>
        <w:t xml:space="preserve"> procedure, in the random access response.</w:t>
      </w:r>
    </w:p>
    <w:p w14:paraId="25C8304A" w14:textId="564818C0" w:rsidR="00DD60CE" w:rsidRDefault="00DD60CE" w:rsidP="00943BFF">
      <w:r>
        <w:t xml:space="preserve">RAN1 has </w:t>
      </w:r>
      <w:r w:rsidR="00592EEF">
        <w:t xml:space="preserve">some </w:t>
      </w:r>
      <w:r>
        <w:t xml:space="preserve">discussion </w:t>
      </w:r>
      <w:r w:rsidR="00592EEF">
        <w:t xml:space="preserve">on UE specific TA and common TA </w:t>
      </w:r>
      <w:r>
        <w:t>and has the follow agreement:</w:t>
      </w:r>
    </w:p>
    <w:tbl>
      <w:tblPr>
        <w:tblW w:w="0" w:type="auto"/>
        <w:tblCellMar>
          <w:left w:w="0" w:type="dxa"/>
          <w:right w:w="0" w:type="dxa"/>
        </w:tblCellMar>
        <w:tblLook w:val="04A0" w:firstRow="1" w:lastRow="0" w:firstColumn="1" w:lastColumn="0" w:noHBand="0" w:noVBand="1"/>
      </w:tblPr>
      <w:tblGrid>
        <w:gridCol w:w="9340"/>
      </w:tblGrid>
      <w:tr w:rsidR="00DD60CE" w14:paraId="2E859E34" w14:textId="77777777" w:rsidTr="00DD60C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30032D" w14:textId="77777777" w:rsidR="00DD60CE" w:rsidRDefault="00DD60CE">
            <w:pPr>
              <w:rPr>
                <w:rFonts w:eastAsiaTheme="minorEastAsia"/>
                <w:lang w:val="en-US" w:eastAsia="x-none"/>
              </w:rPr>
            </w:pPr>
            <w:r>
              <w:rPr>
                <w:highlight w:val="green"/>
                <w:lang w:eastAsia="x-none"/>
              </w:rPr>
              <w:lastRenderedPageBreak/>
              <w:t>Agreement:</w:t>
            </w:r>
          </w:p>
          <w:p w14:paraId="47F6B661" w14:textId="77777777" w:rsidR="00DD60CE" w:rsidRDefault="00DD60CE">
            <w:pPr>
              <w:rPr>
                <w:lang w:eastAsia="x-none"/>
              </w:rPr>
            </w:pPr>
            <w:r>
              <w:rPr>
                <w:lang w:eastAsia="x-none"/>
              </w:rPr>
              <w:t>In case of GNSS-assisted TA acquisition in RRC idle/inactive mode, the UE calculates its TA based on the following potential contributions:</w:t>
            </w:r>
          </w:p>
          <w:p w14:paraId="5EBF89B1" w14:textId="77777777" w:rsidR="00DD60CE" w:rsidRDefault="00DD60CE" w:rsidP="00DD60CE">
            <w:pPr>
              <w:numPr>
                <w:ilvl w:val="0"/>
                <w:numId w:val="21"/>
              </w:numPr>
              <w:spacing w:after="0"/>
              <w:rPr>
                <w:rFonts w:eastAsia="Times New Roman"/>
                <w:lang w:eastAsia="x-none"/>
              </w:rPr>
            </w:pPr>
            <w:r>
              <w:rPr>
                <w:rFonts w:eastAsia="Times New Roman"/>
                <w:lang w:eastAsia="x-none"/>
              </w:rPr>
              <w:t>The User specific TA which is estimated by the UE:</w:t>
            </w:r>
          </w:p>
          <w:p w14:paraId="75123F10" w14:textId="77777777" w:rsidR="00DD60CE" w:rsidRDefault="00DD60CE" w:rsidP="00DD60CE">
            <w:pPr>
              <w:numPr>
                <w:ilvl w:val="1"/>
                <w:numId w:val="21"/>
              </w:numPr>
              <w:spacing w:after="0"/>
              <w:rPr>
                <w:rFonts w:eastAsia="Times New Roman"/>
                <w:highlight w:val="yellow"/>
                <w:lang w:val="en-US" w:eastAsia="x-none"/>
              </w:rPr>
            </w:pPr>
            <w:r>
              <w:rPr>
                <w:rFonts w:eastAsia="Times New Roman"/>
                <w:highlight w:val="yellow"/>
                <w:lang w:eastAsia="x-none"/>
              </w:rPr>
              <w:t>Option 1: The User specific TA is estimated by the UE based on its GNSS acquired position together with the serving satellite ephemeris indicated by the network:</w:t>
            </w:r>
          </w:p>
          <w:p w14:paraId="580A3B01" w14:textId="77777777" w:rsidR="00DD60CE" w:rsidRDefault="00DD60CE" w:rsidP="00DD60CE">
            <w:pPr>
              <w:numPr>
                <w:ilvl w:val="2"/>
                <w:numId w:val="21"/>
              </w:numPr>
              <w:spacing w:after="0"/>
              <w:rPr>
                <w:rFonts w:eastAsia="Times New Roman"/>
                <w:highlight w:val="yellow"/>
                <w:lang w:eastAsia="x-none"/>
              </w:rPr>
            </w:pPr>
            <w:r>
              <w:rPr>
                <w:rFonts w:eastAsia="Times New Roman"/>
                <w:highlight w:val="yellow"/>
                <w:lang w:eastAsia="x-none"/>
              </w:rPr>
              <w:t xml:space="preserve">FFS: Details on serving satellite ephemeris indication </w:t>
            </w:r>
          </w:p>
          <w:p w14:paraId="1B866850" w14:textId="77777777" w:rsidR="00DD60CE" w:rsidRDefault="00DD60CE" w:rsidP="00DD60CE">
            <w:pPr>
              <w:numPr>
                <w:ilvl w:val="1"/>
                <w:numId w:val="21"/>
              </w:numPr>
              <w:spacing w:after="0"/>
              <w:rPr>
                <w:rFonts w:eastAsia="Times New Roman"/>
                <w:highlight w:val="yellow"/>
                <w:lang w:eastAsia="x-none"/>
              </w:rPr>
            </w:pPr>
            <w:r>
              <w:rPr>
                <w:rFonts w:eastAsia="Times New Roman"/>
                <w:highlight w:val="yellow"/>
                <w:lang w:eastAsia="x-none"/>
              </w:rPr>
              <w:t xml:space="preserve">Option 2: The User specific </w:t>
            </w:r>
            <w:proofErr w:type="gramStart"/>
            <w:r>
              <w:rPr>
                <w:rFonts w:eastAsia="Times New Roman"/>
                <w:highlight w:val="yellow"/>
                <w:lang w:eastAsia="x-none"/>
              </w:rPr>
              <w:t>TA  is</w:t>
            </w:r>
            <w:proofErr w:type="gramEnd"/>
            <w:r>
              <w:rPr>
                <w:rFonts w:eastAsia="Times New Roman"/>
                <w:highlight w:val="yellow"/>
                <w:lang w:eastAsia="x-none"/>
              </w:rPr>
              <w:t xml:space="preserve"> estimated by the UE based on the GNSS acquired reference time at UE together with reference time as indicated by the network</w:t>
            </w:r>
          </w:p>
          <w:p w14:paraId="0E5C7B77" w14:textId="77777777" w:rsidR="00DD60CE" w:rsidRDefault="00DD60CE" w:rsidP="00DD60CE">
            <w:pPr>
              <w:numPr>
                <w:ilvl w:val="0"/>
                <w:numId w:val="21"/>
              </w:numPr>
              <w:spacing w:after="0"/>
              <w:rPr>
                <w:rFonts w:eastAsia="Times New Roman"/>
                <w:lang w:eastAsia="x-none"/>
              </w:rPr>
            </w:pPr>
            <w:r>
              <w:rPr>
                <w:rFonts w:eastAsia="Times New Roman"/>
                <w:lang w:eastAsia="x-none"/>
              </w:rPr>
              <w:t>The Common TA if indicated by the network:</w:t>
            </w:r>
          </w:p>
          <w:p w14:paraId="0CF932C4" w14:textId="77777777" w:rsidR="00DD60CE" w:rsidRDefault="00DD60CE" w:rsidP="00DD60CE">
            <w:pPr>
              <w:numPr>
                <w:ilvl w:val="1"/>
                <w:numId w:val="21"/>
              </w:numPr>
              <w:spacing w:after="0"/>
              <w:rPr>
                <w:rFonts w:eastAsia="Times New Roman"/>
                <w:lang w:eastAsia="x-none"/>
              </w:rPr>
            </w:pPr>
            <w:r>
              <w:rPr>
                <w:rFonts w:eastAsia="Times New Roman"/>
                <w:lang w:eastAsia="x-none"/>
              </w:rPr>
              <w:t xml:space="preserve">FFS: The need and details of Common TA indication </w:t>
            </w:r>
          </w:p>
          <w:p w14:paraId="4F1D34F6" w14:textId="77777777" w:rsidR="00DD60CE" w:rsidRDefault="00DD60CE">
            <w:pPr>
              <w:rPr>
                <w:rFonts w:eastAsiaTheme="minorEastAsia"/>
              </w:rPr>
            </w:pPr>
            <w:r>
              <w:rPr>
                <w:lang w:eastAsia="x-none"/>
              </w:rPr>
              <w:t>FFS: The TA margin, if needed and indicated by the network (in order to account for the TA estimation uncertainty)</w:t>
            </w:r>
          </w:p>
        </w:tc>
      </w:tr>
    </w:tbl>
    <w:p w14:paraId="781A9102" w14:textId="56E8268C" w:rsidR="00DD60CE" w:rsidRDefault="00DD60CE" w:rsidP="00943BFF"/>
    <w:p w14:paraId="482B4D46" w14:textId="49EEC12D" w:rsidR="00285092" w:rsidRDefault="00D84CD9" w:rsidP="00943BFF">
      <w:r>
        <w:t xml:space="preserve">We would like to discuss some remaining issues based on RAN1 agreement. </w:t>
      </w:r>
    </w:p>
    <w:p w14:paraId="5ED8DCDD" w14:textId="13DDB465" w:rsidR="00285092" w:rsidRPr="00DE5F22" w:rsidRDefault="00285092" w:rsidP="00285092">
      <w:pPr>
        <w:rPr>
          <w:b/>
        </w:rPr>
      </w:pPr>
      <w:r w:rsidRPr="00DE5F22">
        <w:rPr>
          <w:b/>
        </w:rPr>
        <w:t xml:space="preserve">Issue </w:t>
      </w:r>
      <w:r w:rsidR="00D84CD9" w:rsidRPr="00DE5F22">
        <w:rPr>
          <w:b/>
        </w:rPr>
        <w:t>1: the need of c</w:t>
      </w:r>
      <w:r w:rsidR="00B03A92" w:rsidRPr="00DE5F22">
        <w:rPr>
          <w:b/>
        </w:rPr>
        <w:t>ommon TA indication</w:t>
      </w:r>
    </w:p>
    <w:p w14:paraId="00FFE8B5" w14:textId="60E8D24E" w:rsidR="00285092" w:rsidRDefault="00285092" w:rsidP="00285092">
      <w:r>
        <w:t>During the study item, two options are proposed</w:t>
      </w:r>
      <w:r w:rsidRPr="0031263E">
        <w:t xml:space="preserve"> </w:t>
      </w:r>
      <w:r>
        <w:t>to calculate TA in NTN:</w:t>
      </w:r>
    </w:p>
    <w:p w14:paraId="748F1994" w14:textId="77777777" w:rsidR="00285092" w:rsidRDefault="00285092" w:rsidP="00285092">
      <w:pPr>
        <w:pStyle w:val="ListParagraph"/>
        <w:numPr>
          <w:ilvl w:val="0"/>
          <w:numId w:val="19"/>
        </w:numPr>
      </w:pPr>
      <w:r w:rsidRPr="00450CE8">
        <w:t>Option 1: Autonomous acquisition of the TA at UE with UE known location and satellite ephemeris.</w:t>
      </w:r>
      <w:r>
        <w:t xml:space="preserve"> </w:t>
      </w:r>
    </w:p>
    <w:p w14:paraId="30D53AF4" w14:textId="77777777" w:rsidR="00285092" w:rsidRDefault="00285092" w:rsidP="00285092">
      <w:pPr>
        <w:pStyle w:val="ListParagraph"/>
        <w:numPr>
          <w:ilvl w:val="0"/>
          <w:numId w:val="19"/>
        </w:numPr>
      </w:pPr>
      <w:r>
        <w:t xml:space="preserve">Option 2: Timing advance adjustment based on network indication </w:t>
      </w:r>
    </w:p>
    <w:p w14:paraId="7F436F24" w14:textId="13E3BFE6" w:rsidR="00285092" w:rsidRDefault="00285092" w:rsidP="00285092">
      <w:r>
        <w:t xml:space="preserve">For option 1, both full TA compensation and UE specific differential TA are considered. In case of full TA compensation, common TA is not needed it has inaccuracy due to the impact from the feeder link in case of satellite with transparent payload. On the contrary, in case of UE specific differential TA, common TA is </w:t>
      </w:r>
      <w:r w:rsidR="008020B4">
        <w:t>indicated,</w:t>
      </w:r>
      <w:bookmarkStart w:id="1" w:name="_GoBack"/>
      <w:bookmarkEnd w:id="1"/>
      <w:r>
        <w:t xml:space="preserve"> and UE specific TA is estimated based on single reference point. It means that common TA can include feeder link delay and propagation delay to the </w:t>
      </w:r>
      <w:r w:rsidR="008020B4">
        <w:t>single</w:t>
      </w:r>
      <w:r>
        <w:t xml:space="preserve"> reference point from satellite, which mitigates the concern of feeder link impact in full TA compensation. </w:t>
      </w:r>
    </w:p>
    <w:p w14:paraId="590BA360" w14:textId="19597E8D" w:rsidR="00285092" w:rsidRDefault="00285092" w:rsidP="00285092">
      <w:r>
        <w:t>For option2, basically, it reuse</w:t>
      </w:r>
      <w:r w:rsidR="009C4B8D">
        <w:t>s</w:t>
      </w:r>
      <w:r>
        <w:t xml:space="preserve"> Rel-15 TA </w:t>
      </w:r>
      <w:r w:rsidR="009C4B8D">
        <w:t>mechanism,</w:t>
      </w:r>
      <w:r>
        <w:t xml:space="preserve"> but initial adjustment is done by the common TA</w:t>
      </w:r>
      <w:r w:rsidR="009C4B8D">
        <w:t xml:space="preserve"> to compensate the large propagation delay</w:t>
      </w:r>
      <w:r>
        <w:t xml:space="preserve">. </w:t>
      </w:r>
    </w:p>
    <w:p w14:paraId="2E8777E9" w14:textId="77777777" w:rsidR="00285092" w:rsidRDefault="00285092" w:rsidP="00285092">
      <w:r>
        <w:t>In short summary, in both options, common TA is used in addition with UE specific differential TA.</w:t>
      </w:r>
    </w:p>
    <w:p w14:paraId="668CAC6F" w14:textId="77777777" w:rsidR="00285092" w:rsidRDefault="00285092" w:rsidP="00285092">
      <w:r w:rsidRPr="2D8EF00C">
        <w:rPr>
          <w:b/>
          <w:bCs/>
        </w:rPr>
        <w:t xml:space="preserve">Proposal 1: </w:t>
      </w:r>
      <w:r>
        <w:rPr>
          <w:b/>
          <w:bCs/>
        </w:rPr>
        <w:t xml:space="preserve">Introduce </w:t>
      </w:r>
      <w:r w:rsidRPr="2D8EF00C">
        <w:rPr>
          <w:b/>
          <w:bCs/>
        </w:rPr>
        <w:t>network broadcast a common TA per cell/beam</w:t>
      </w:r>
      <w:r>
        <w:rPr>
          <w:b/>
          <w:bCs/>
        </w:rPr>
        <w:t xml:space="preserve"> in NTN for Rel-17</w:t>
      </w:r>
      <w:r w:rsidRPr="2D8EF00C">
        <w:rPr>
          <w:b/>
          <w:bCs/>
        </w:rPr>
        <w:t>.</w:t>
      </w:r>
    </w:p>
    <w:p w14:paraId="1302C82C" w14:textId="77777777" w:rsidR="00285092" w:rsidRDefault="00285092" w:rsidP="00943BFF"/>
    <w:p w14:paraId="5DC22B1A" w14:textId="48B42877" w:rsidR="00B03A92" w:rsidRPr="00D52006" w:rsidRDefault="00B03A92" w:rsidP="00B03A92">
      <w:pPr>
        <w:rPr>
          <w:b/>
          <w:bCs/>
        </w:rPr>
      </w:pPr>
      <w:r w:rsidRPr="00D52006">
        <w:rPr>
          <w:b/>
          <w:bCs/>
        </w:rPr>
        <w:t xml:space="preserve">Issue 2: </w:t>
      </w:r>
      <w:r w:rsidR="009C4B8D" w:rsidRPr="00D52006">
        <w:rPr>
          <w:b/>
          <w:bCs/>
        </w:rPr>
        <w:t>UE specific TA estimation</w:t>
      </w:r>
    </w:p>
    <w:p w14:paraId="28CD7523" w14:textId="26EA617B" w:rsidR="0028755A" w:rsidRDefault="0028755A" w:rsidP="0028755A">
      <w:r>
        <w:t>Table 1 shows the cell size for GEO is roughly 1000km and L</w:t>
      </w:r>
      <w:r w:rsidR="00580336">
        <w:t>EO</w:t>
      </w:r>
      <w:r>
        <w:t xml:space="preserve"> is 200km. The attitude of GEO and LEO are roughly 35000km and 600km respectively (D1 in Figure 1). Figure 1 shows the distance between the UE and the satellite represented as D2. D2 is calculated in table 2 for both GEO and LEO using the 1000km cell size for GEO and 200km for LEO as an example. The difference between D2 and D1 is </w:t>
      </w:r>
      <w:r w:rsidR="00655FF0">
        <w:t>relatively</w:t>
      </w:r>
      <w:r>
        <w:t xml:space="preserve"> small (14km for GEO and 32km for LEO). </w:t>
      </w:r>
    </w:p>
    <w:p w14:paraId="6D138B04" w14:textId="77777777" w:rsidR="0028755A" w:rsidRDefault="0028755A" w:rsidP="0028755A">
      <w:pPr>
        <w:jc w:val="center"/>
      </w:pPr>
      <w:r>
        <w:rPr>
          <w:noProof/>
        </w:rPr>
        <w:lastRenderedPageBreak/>
        <w:drawing>
          <wp:inline distT="0" distB="0" distL="0" distR="0" wp14:anchorId="49F46A30" wp14:editId="409AA182">
            <wp:extent cx="2215662" cy="192098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23722" cy="1927974"/>
                    </a:xfrm>
                    <a:prstGeom prst="rect">
                      <a:avLst/>
                    </a:prstGeom>
                  </pic:spPr>
                </pic:pic>
              </a:graphicData>
            </a:graphic>
          </wp:inline>
        </w:drawing>
      </w:r>
    </w:p>
    <w:p w14:paraId="21C90759" w14:textId="77777777" w:rsidR="0028755A" w:rsidRDefault="0028755A" w:rsidP="0028755A">
      <w:pPr>
        <w:jc w:val="center"/>
        <w:rPr>
          <w:b/>
          <w:bCs/>
        </w:rPr>
      </w:pPr>
      <w:r w:rsidRPr="00DE5F22">
        <w:rPr>
          <w:b/>
          <w:bCs/>
        </w:rPr>
        <w:t>Figure 1: Example of a satellite coverage with distance from the UE</w:t>
      </w:r>
    </w:p>
    <w:tbl>
      <w:tblPr>
        <w:tblStyle w:val="TableGrid"/>
        <w:tblW w:w="0" w:type="auto"/>
        <w:jc w:val="center"/>
        <w:tblLook w:val="04A0" w:firstRow="1" w:lastRow="0" w:firstColumn="1" w:lastColumn="0" w:noHBand="0" w:noVBand="1"/>
      </w:tblPr>
      <w:tblGrid>
        <w:gridCol w:w="3116"/>
        <w:gridCol w:w="3117"/>
        <w:gridCol w:w="3117"/>
      </w:tblGrid>
      <w:tr w:rsidR="0028755A" w14:paraId="4C4AB1B1" w14:textId="77777777" w:rsidTr="00DE5F22">
        <w:trPr>
          <w:jc w:val="center"/>
        </w:trPr>
        <w:tc>
          <w:tcPr>
            <w:tcW w:w="3116" w:type="dxa"/>
          </w:tcPr>
          <w:p w14:paraId="382BB494" w14:textId="77777777" w:rsidR="0028755A" w:rsidRDefault="0028755A" w:rsidP="007C3F04">
            <w:pPr>
              <w:jc w:val="center"/>
            </w:pPr>
          </w:p>
        </w:tc>
        <w:tc>
          <w:tcPr>
            <w:tcW w:w="3117" w:type="dxa"/>
          </w:tcPr>
          <w:p w14:paraId="7FBB6409" w14:textId="77777777" w:rsidR="0028755A" w:rsidRDefault="0028755A" w:rsidP="007C3F04">
            <w:pPr>
              <w:jc w:val="center"/>
            </w:pPr>
            <w:r>
              <w:t>GEO</w:t>
            </w:r>
          </w:p>
        </w:tc>
        <w:tc>
          <w:tcPr>
            <w:tcW w:w="3117" w:type="dxa"/>
          </w:tcPr>
          <w:p w14:paraId="52F9980B" w14:textId="77777777" w:rsidR="0028755A" w:rsidRDefault="0028755A" w:rsidP="007C3F04">
            <w:pPr>
              <w:jc w:val="center"/>
            </w:pPr>
            <w:r>
              <w:t>LEO</w:t>
            </w:r>
          </w:p>
        </w:tc>
      </w:tr>
      <w:tr w:rsidR="0028755A" w14:paraId="4F868227" w14:textId="77777777" w:rsidTr="00DE5F22">
        <w:trPr>
          <w:jc w:val="center"/>
        </w:trPr>
        <w:tc>
          <w:tcPr>
            <w:tcW w:w="3116" w:type="dxa"/>
          </w:tcPr>
          <w:p w14:paraId="688FA904" w14:textId="77777777" w:rsidR="0028755A" w:rsidRDefault="0028755A" w:rsidP="007C3F04">
            <w:pPr>
              <w:jc w:val="center"/>
            </w:pPr>
            <w:r>
              <w:t>Attitude = D1</w:t>
            </w:r>
          </w:p>
        </w:tc>
        <w:tc>
          <w:tcPr>
            <w:tcW w:w="3117" w:type="dxa"/>
          </w:tcPr>
          <w:p w14:paraId="6A53F6DC" w14:textId="77777777" w:rsidR="0028755A" w:rsidRDefault="0028755A" w:rsidP="007C3F04">
            <w:pPr>
              <w:jc w:val="center"/>
            </w:pPr>
            <w:r>
              <w:t>~35000 km</w:t>
            </w:r>
          </w:p>
        </w:tc>
        <w:tc>
          <w:tcPr>
            <w:tcW w:w="3117" w:type="dxa"/>
          </w:tcPr>
          <w:p w14:paraId="32325227" w14:textId="77777777" w:rsidR="0028755A" w:rsidRDefault="0028755A" w:rsidP="007C3F04">
            <w:pPr>
              <w:jc w:val="center"/>
            </w:pPr>
            <w:r>
              <w:t>~600 km</w:t>
            </w:r>
          </w:p>
        </w:tc>
      </w:tr>
      <w:tr w:rsidR="0028755A" w14:paraId="79CC3688" w14:textId="77777777" w:rsidTr="00DE5F22">
        <w:trPr>
          <w:jc w:val="center"/>
        </w:trPr>
        <w:tc>
          <w:tcPr>
            <w:tcW w:w="3116" w:type="dxa"/>
          </w:tcPr>
          <w:p w14:paraId="763BDFCA" w14:textId="77777777" w:rsidR="0028755A" w:rsidRDefault="0028755A" w:rsidP="007C3F04">
            <w:pPr>
              <w:jc w:val="center"/>
            </w:pPr>
            <w:r>
              <w:t>Cell size</w:t>
            </w:r>
          </w:p>
        </w:tc>
        <w:tc>
          <w:tcPr>
            <w:tcW w:w="3117" w:type="dxa"/>
          </w:tcPr>
          <w:p w14:paraId="72054F7A" w14:textId="77777777" w:rsidR="0028755A" w:rsidRDefault="0028755A" w:rsidP="007C3F04">
            <w:pPr>
              <w:jc w:val="center"/>
            </w:pPr>
            <w:r>
              <w:t>~1000 km</w:t>
            </w:r>
          </w:p>
        </w:tc>
        <w:tc>
          <w:tcPr>
            <w:tcW w:w="3117" w:type="dxa"/>
          </w:tcPr>
          <w:p w14:paraId="50C6E857" w14:textId="77777777" w:rsidR="0028755A" w:rsidRDefault="0028755A" w:rsidP="007C3F04">
            <w:pPr>
              <w:jc w:val="center"/>
            </w:pPr>
            <w:r>
              <w:t>~200 km</w:t>
            </w:r>
          </w:p>
        </w:tc>
      </w:tr>
      <w:tr w:rsidR="0028755A" w14:paraId="3E47FB29" w14:textId="77777777" w:rsidTr="00DE5F22">
        <w:trPr>
          <w:jc w:val="center"/>
        </w:trPr>
        <w:tc>
          <w:tcPr>
            <w:tcW w:w="3116" w:type="dxa"/>
          </w:tcPr>
          <w:p w14:paraId="2A54F2F3" w14:textId="77777777" w:rsidR="0028755A" w:rsidRDefault="0028755A" w:rsidP="007C3F04">
            <w:pPr>
              <w:jc w:val="center"/>
            </w:pPr>
            <w:r>
              <w:t>D2</w:t>
            </w:r>
          </w:p>
        </w:tc>
        <w:tc>
          <w:tcPr>
            <w:tcW w:w="3117" w:type="dxa"/>
          </w:tcPr>
          <w:p w14:paraId="17F90B5A" w14:textId="77777777" w:rsidR="0028755A" w:rsidRDefault="0028755A" w:rsidP="007C3F04">
            <w:pPr>
              <w:jc w:val="center"/>
            </w:pPr>
            <w:r>
              <w:t>~35014 km</w:t>
            </w:r>
          </w:p>
        </w:tc>
        <w:tc>
          <w:tcPr>
            <w:tcW w:w="3117" w:type="dxa"/>
          </w:tcPr>
          <w:p w14:paraId="48354294" w14:textId="77777777" w:rsidR="0028755A" w:rsidRDefault="0028755A" w:rsidP="007C3F04">
            <w:pPr>
              <w:jc w:val="center"/>
            </w:pPr>
            <w:r>
              <w:t>~632 km</w:t>
            </w:r>
          </w:p>
        </w:tc>
      </w:tr>
    </w:tbl>
    <w:p w14:paraId="131D4D19" w14:textId="6B9D8BEB" w:rsidR="00D01F7D" w:rsidRDefault="0028755A" w:rsidP="00DE5F22">
      <w:pPr>
        <w:jc w:val="center"/>
      </w:pPr>
      <w:r>
        <w:rPr>
          <w:b/>
          <w:bCs/>
        </w:rPr>
        <w:t>Table 1: attitude and cell size in relation to D2</w:t>
      </w:r>
    </w:p>
    <w:p w14:paraId="7B966031" w14:textId="77777777" w:rsidR="00935931" w:rsidRDefault="00A65F1B" w:rsidP="00943BFF">
      <w:r>
        <w:t xml:space="preserve">During RAN2 email discussion, majority of the companies </w:t>
      </w:r>
      <w:r w:rsidR="003279DB">
        <w:t xml:space="preserve">also </w:t>
      </w:r>
      <w:r>
        <w:t xml:space="preserve">support to have UE specific TA and 13 companies prefer option 1 from RAN1 conclusion vs 4 companies prefer option 2. </w:t>
      </w:r>
    </w:p>
    <w:p w14:paraId="378FC876" w14:textId="15258DBD" w:rsidR="00DD60CE" w:rsidRDefault="00935931" w:rsidP="00943BFF">
      <w:r>
        <w:t xml:space="preserve">However, we would like to discuss whether UE specific TA is needed before deciding the detailed options. As shown </w:t>
      </w:r>
      <w:r w:rsidR="00DF5015">
        <w:t xml:space="preserve">in Table 1, the variance between cell </w:t>
      </w:r>
      <w:proofErr w:type="spellStart"/>
      <w:r w:rsidR="00DF5015">
        <w:t>center</w:t>
      </w:r>
      <w:proofErr w:type="spellEnd"/>
      <w:r w:rsidR="00DF5015">
        <w:t xml:space="preserve"> UE and cell edge UE is </w:t>
      </w:r>
      <w:r w:rsidR="008020B4">
        <w:t>relatively</w:t>
      </w:r>
      <w:r w:rsidR="00DF5015">
        <w:t xml:space="preserve"> small. 14 km or </w:t>
      </w:r>
      <w:r w:rsidR="00CC33E3">
        <w:t xml:space="preserve">32 km different can be still adjusted with Rel-15 TA mechanism. </w:t>
      </w:r>
      <w:r w:rsidR="00A524DE">
        <w:t xml:space="preserve">We think that UE specific TA has a small benefit </w:t>
      </w:r>
      <w:r w:rsidR="00DA1335">
        <w:t>but may not be needed</w:t>
      </w:r>
      <w:r w:rsidR="00D01F7D">
        <w:t xml:space="preserve"> </w:t>
      </w:r>
      <w:r w:rsidR="00FA0742">
        <w:t xml:space="preserve">if </w:t>
      </w:r>
      <w:r w:rsidR="00600798">
        <w:t xml:space="preserve">common TA can compensate </w:t>
      </w:r>
      <w:r w:rsidR="004D31D9">
        <w:t xml:space="preserve">main propagation path </w:t>
      </w:r>
      <w:r w:rsidR="0048360A">
        <w:t xml:space="preserve">which is common </w:t>
      </w:r>
      <w:r w:rsidR="004D31D9">
        <w:t>for all UEs</w:t>
      </w:r>
      <w:r w:rsidR="00DA1335">
        <w:t xml:space="preserve">. </w:t>
      </w:r>
      <w:r w:rsidR="008020B4">
        <w:t>Therefore,</w:t>
      </w:r>
      <w:r w:rsidR="00DA1335">
        <w:t xml:space="preserve"> it may not be needed.</w:t>
      </w:r>
    </w:p>
    <w:p w14:paraId="5CCE6B44" w14:textId="77777777" w:rsidR="00A524DE" w:rsidRDefault="00A524DE" w:rsidP="00943BFF"/>
    <w:p w14:paraId="1207CA72" w14:textId="75404662" w:rsidR="003A546A" w:rsidRPr="00DE5F22" w:rsidRDefault="003A546A" w:rsidP="00943BFF">
      <w:pPr>
        <w:rPr>
          <w:b/>
          <w:bCs/>
        </w:rPr>
      </w:pPr>
      <w:r w:rsidRPr="00DE5F22">
        <w:rPr>
          <w:b/>
          <w:bCs/>
        </w:rPr>
        <w:t>Proposal 2: RAN2 to further discuss the need for UE specific TA.</w:t>
      </w:r>
    </w:p>
    <w:p w14:paraId="23A8CAB2" w14:textId="500AAB18" w:rsidR="009F6669" w:rsidRDefault="009F6669" w:rsidP="00F17084">
      <w:pPr>
        <w:pStyle w:val="Heading1"/>
        <w:numPr>
          <w:ilvl w:val="0"/>
          <w:numId w:val="1"/>
        </w:numPr>
      </w:pPr>
      <w:r>
        <w:t>Conclusion</w:t>
      </w:r>
    </w:p>
    <w:p w14:paraId="33A4F5FE" w14:textId="77777777" w:rsidR="00DE5F22" w:rsidRDefault="00DE5F22" w:rsidP="00DE5F22">
      <w:r w:rsidRPr="00DE5F22">
        <w:rPr>
          <w:b/>
          <w:bCs/>
        </w:rPr>
        <w:t>Proposal 1: Introduce network broadcast a common TA per cell/beam in NTN for Rel-17.</w:t>
      </w:r>
    </w:p>
    <w:p w14:paraId="79D585C7" w14:textId="77777777" w:rsidR="00DE5F22" w:rsidRPr="00DE5F22" w:rsidRDefault="00DE5F22" w:rsidP="00DE5F22">
      <w:pPr>
        <w:rPr>
          <w:b/>
          <w:bCs/>
        </w:rPr>
      </w:pPr>
      <w:r w:rsidRPr="00DE5F22">
        <w:rPr>
          <w:b/>
          <w:bCs/>
        </w:rPr>
        <w:t>Proposal 2: RAN2 to further discuss the need for UE specific TA.</w:t>
      </w:r>
    </w:p>
    <w:p w14:paraId="5F7A873B" w14:textId="77777777" w:rsidR="00A65F1B" w:rsidRPr="0039139D" w:rsidRDefault="00A65F1B" w:rsidP="00757E04">
      <w:pPr>
        <w:rPr>
          <w:b/>
          <w:bCs/>
        </w:rPr>
      </w:pPr>
    </w:p>
    <w:p w14:paraId="153AC4E2" w14:textId="77777777" w:rsidR="00757E04" w:rsidRDefault="00757E04" w:rsidP="00757E04">
      <w:pPr>
        <w:pStyle w:val="Heading1"/>
        <w:numPr>
          <w:ilvl w:val="0"/>
          <w:numId w:val="1"/>
        </w:numPr>
      </w:pPr>
      <w:r>
        <w:t>Reference</w:t>
      </w:r>
    </w:p>
    <w:p w14:paraId="0A9FC641" w14:textId="1C98CD26" w:rsidR="00757E04" w:rsidRDefault="00757E04" w:rsidP="007336E3">
      <w:pPr>
        <w:pStyle w:val="ListParagraph"/>
        <w:numPr>
          <w:ilvl w:val="0"/>
          <w:numId w:val="20"/>
        </w:numPr>
      </w:pPr>
      <w:r>
        <w:t>“</w:t>
      </w:r>
      <w:r w:rsidRPr="0053095B">
        <w:t>Solutions for NR to support non-terrestrial networks</w:t>
      </w:r>
      <w:r>
        <w:t>”, Thales,</w:t>
      </w:r>
      <w:r w:rsidRPr="0053095B">
        <w:t xml:space="preserve"> </w:t>
      </w:r>
      <w:r>
        <w:t>RP-201256</w:t>
      </w:r>
    </w:p>
    <w:p w14:paraId="2E856F46" w14:textId="2F65A85B" w:rsidR="00757E04" w:rsidRPr="0053095B" w:rsidRDefault="00757E04" w:rsidP="007336E3">
      <w:pPr>
        <w:pStyle w:val="ListParagraph"/>
        <w:numPr>
          <w:ilvl w:val="0"/>
          <w:numId w:val="20"/>
        </w:numPr>
      </w:pPr>
      <w:bookmarkStart w:id="2" w:name="_Ref47642044"/>
      <w:r>
        <w:t>“Solutions for NR to support non-terrestrial networks (NTN)”, TS38.</w:t>
      </w:r>
      <w:r w:rsidR="34720F71">
        <w:t>8</w:t>
      </w:r>
      <w:r>
        <w:t>21</w:t>
      </w:r>
      <w:bookmarkEnd w:id="2"/>
    </w:p>
    <w:p w14:paraId="18F8A0BA" w14:textId="77777777" w:rsidR="00757E04" w:rsidRPr="00757E04" w:rsidRDefault="00757E04" w:rsidP="00757E04"/>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24439" w14:textId="77777777" w:rsidR="00471531" w:rsidRDefault="00471531" w:rsidP="00696A99">
      <w:pPr>
        <w:spacing w:after="0"/>
      </w:pPr>
      <w:r>
        <w:separator/>
      </w:r>
    </w:p>
  </w:endnote>
  <w:endnote w:type="continuationSeparator" w:id="0">
    <w:p w14:paraId="27C955DD" w14:textId="77777777" w:rsidR="00471531" w:rsidRDefault="00471531" w:rsidP="00696A99">
      <w:pPr>
        <w:spacing w:after="0"/>
      </w:pPr>
      <w:r>
        <w:continuationSeparator/>
      </w:r>
    </w:p>
  </w:endnote>
  <w:endnote w:type="continuationNotice" w:id="1">
    <w:p w14:paraId="15DD1B2B" w14:textId="77777777" w:rsidR="00471531" w:rsidRDefault="00471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873CB" w14:textId="77777777" w:rsidR="00471531" w:rsidRDefault="00471531" w:rsidP="00696A99">
      <w:pPr>
        <w:spacing w:after="0"/>
      </w:pPr>
      <w:r>
        <w:separator/>
      </w:r>
    </w:p>
  </w:footnote>
  <w:footnote w:type="continuationSeparator" w:id="0">
    <w:p w14:paraId="5637393C" w14:textId="77777777" w:rsidR="00471531" w:rsidRDefault="00471531" w:rsidP="00696A99">
      <w:pPr>
        <w:spacing w:after="0"/>
      </w:pPr>
      <w:r>
        <w:continuationSeparator/>
      </w:r>
    </w:p>
  </w:footnote>
  <w:footnote w:type="continuationNotice" w:id="1">
    <w:p w14:paraId="2E664FC4" w14:textId="77777777" w:rsidR="00471531" w:rsidRDefault="004715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B6565"/>
    <w:multiLevelType w:val="hybridMultilevel"/>
    <w:tmpl w:val="FE747680"/>
    <w:lvl w:ilvl="0" w:tplc="FAB2087A">
      <w:start w:val="1"/>
      <w:numFmt w:val="bullet"/>
      <w:lvlText w:val=""/>
      <w:lvlJc w:val="left"/>
      <w:pPr>
        <w:tabs>
          <w:tab w:val="num" w:pos="720"/>
        </w:tabs>
        <w:ind w:left="720" w:hanging="360"/>
      </w:pPr>
      <w:rPr>
        <w:rFonts w:ascii="Symbol" w:hAnsi="Symbol" w:hint="default"/>
        <w:sz w:val="20"/>
      </w:rPr>
    </w:lvl>
    <w:lvl w:ilvl="1" w:tplc="915AA194">
      <w:start w:val="1"/>
      <w:numFmt w:val="bullet"/>
      <w:lvlText w:val=""/>
      <w:lvlJc w:val="left"/>
      <w:pPr>
        <w:tabs>
          <w:tab w:val="num" w:pos="1440"/>
        </w:tabs>
        <w:ind w:left="1440" w:hanging="360"/>
      </w:pPr>
      <w:rPr>
        <w:rFonts w:ascii="Symbol" w:hAnsi="Symbol" w:hint="default"/>
        <w:sz w:val="20"/>
      </w:rPr>
    </w:lvl>
    <w:lvl w:ilvl="2" w:tplc="56EAA7C2">
      <w:start w:val="1"/>
      <w:numFmt w:val="bullet"/>
      <w:lvlText w:val=""/>
      <w:lvlJc w:val="left"/>
      <w:pPr>
        <w:tabs>
          <w:tab w:val="num" w:pos="2160"/>
        </w:tabs>
        <w:ind w:left="2160" w:hanging="360"/>
      </w:pPr>
      <w:rPr>
        <w:rFonts w:ascii="Symbol" w:hAnsi="Symbol" w:hint="default"/>
        <w:sz w:val="20"/>
      </w:rPr>
    </w:lvl>
    <w:lvl w:ilvl="3" w:tplc="A35447D4">
      <w:numFmt w:val="bullet"/>
      <w:lvlText w:val="-"/>
      <w:lvlJc w:val="left"/>
      <w:pPr>
        <w:ind w:left="2880" w:hanging="360"/>
      </w:pPr>
      <w:rPr>
        <w:rFonts w:ascii="Times New Roman" w:eastAsia="Malgun Gothic" w:hAnsi="Times New Roman" w:cs="Times New Roman" w:hint="default"/>
      </w:rPr>
    </w:lvl>
    <w:lvl w:ilvl="4" w:tplc="B276D84C">
      <w:start w:val="1"/>
      <w:numFmt w:val="bullet"/>
      <w:lvlText w:val=""/>
      <w:lvlJc w:val="left"/>
      <w:pPr>
        <w:tabs>
          <w:tab w:val="num" w:pos="3600"/>
        </w:tabs>
        <w:ind w:left="3600" w:hanging="360"/>
      </w:pPr>
      <w:rPr>
        <w:rFonts w:ascii="Symbol" w:hAnsi="Symbol" w:hint="default"/>
        <w:sz w:val="20"/>
      </w:rPr>
    </w:lvl>
    <w:lvl w:ilvl="5" w:tplc="6DEEC412" w:tentative="1">
      <w:start w:val="1"/>
      <w:numFmt w:val="bullet"/>
      <w:lvlText w:val=""/>
      <w:lvlJc w:val="left"/>
      <w:pPr>
        <w:tabs>
          <w:tab w:val="num" w:pos="4320"/>
        </w:tabs>
        <w:ind w:left="4320" w:hanging="360"/>
      </w:pPr>
      <w:rPr>
        <w:rFonts w:ascii="Symbol" w:hAnsi="Symbol" w:hint="default"/>
        <w:sz w:val="20"/>
      </w:rPr>
    </w:lvl>
    <w:lvl w:ilvl="6" w:tplc="6C4AE928" w:tentative="1">
      <w:start w:val="1"/>
      <w:numFmt w:val="bullet"/>
      <w:lvlText w:val=""/>
      <w:lvlJc w:val="left"/>
      <w:pPr>
        <w:tabs>
          <w:tab w:val="num" w:pos="5040"/>
        </w:tabs>
        <w:ind w:left="5040" w:hanging="360"/>
      </w:pPr>
      <w:rPr>
        <w:rFonts w:ascii="Symbol" w:hAnsi="Symbol" w:hint="default"/>
        <w:sz w:val="20"/>
      </w:rPr>
    </w:lvl>
    <w:lvl w:ilvl="7" w:tplc="63E23198" w:tentative="1">
      <w:start w:val="1"/>
      <w:numFmt w:val="bullet"/>
      <w:lvlText w:val=""/>
      <w:lvlJc w:val="left"/>
      <w:pPr>
        <w:tabs>
          <w:tab w:val="num" w:pos="5760"/>
        </w:tabs>
        <w:ind w:left="5760" w:hanging="360"/>
      </w:pPr>
      <w:rPr>
        <w:rFonts w:ascii="Symbol" w:hAnsi="Symbol" w:hint="default"/>
        <w:sz w:val="20"/>
      </w:rPr>
    </w:lvl>
    <w:lvl w:ilvl="8" w:tplc="2370E14A"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0B216E"/>
    <w:multiLevelType w:val="hybridMultilevel"/>
    <w:tmpl w:val="E7C873B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D6D5E91"/>
    <w:multiLevelType w:val="hybridMultilevel"/>
    <w:tmpl w:val="4B7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6"/>
  </w:num>
  <w:num w:numId="4">
    <w:abstractNumId w:val="7"/>
  </w:num>
  <w:num w:numId="5">
    <w:abstractNumId w:val="17"/>
  </w:num>
  <w:num w:numId="6">
    <w:abstractNumId w:val="4"/>
  </w:num>
  <w:num w:numId="7">
    <w:abstractNumId w:val="14"/>
  </w:num>
  <w:num w:numId="8">
    <w:abstractNumId w:val="1"/>
  </w:num>
  <w:num w:numId="9">
    <w:abstractNumId w:val="19"/>
  </w:num>
  <w:num w:numId="10">
    <w:abstractNumId w:val="18"/>
  </w:num>
  <w:num w:numId="11">
    <w:abstractNumId w:val="0"/>
  </w:num>
  <w:num w:numId="12">
    <w:abstractNumId w:val="20"/>
  </w:num>
  <w:num w:numId="13">
    <w:abstractNumId w:val="11"/>
  </w:num>
  <w:num w:numId="14">
    <w:abstractNumId w:val="13"/>
  </w:num>
  <w:num w:numId="15">
    <w:abstractNumId w:val="2"/>
  </w:num>
  <w:num w:numId="16">
    <w:abstractNumId w:val="9"/>
  </w:num>
  <w:num w:numId="17">
    <w:abstractNumId w:val="3"/>
  </w:num>
  <w:num w:numId="18">
    <w:abstractNumId w:val="5"/>
  </w:num>
  <w:num w:numId="19">
    <w:abstractNumId w:val="15"/>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8FC"/>
    <w:rsid w:val="00005DEF"/>
    <w:rsid w:val="000117C0"/>
    <w:rsid w:val="00023715"/>
    <w:rsid w:val="0002436D"/>
    <w:rsid w:val="00034B89"/>
    <w:rsid w:val="0003549F"/>
    <w:rsid w:val="0004058E"/>
    <w:rsid w:val="00070121"/>
    <w:rsid w:val="000821FC"/>
    <w:rsid w:val="00083979"/>
    <w:rsid w:val="00085AD3"/>
    <w:rsid w:val="00085CBE"/>
    <w:rsid w:val="00091D9D"/>
    <w:rsid w:val="000966DE"/>
    <w:rsid w:val="000970DF"/>
    <w:rsid w:val="000A059E"/>
    <w:rsid w:val="000A2703"/>
    <w:rsid w:val="000B4FE9"/>
    <w:rsid w:val="000C45BA"/>
    <w:rsid w:val="000C4A4B"/>
    <w:rsid w:val="000D0684"/>
    <w:rsid w:val="000D1350"/>
    <w:rsid w:val="000D73A7"/>
    <w:rsid w:val="000E3B07"/>
    <w:rsid w:val="000E43A4"/>
    <w:rsid w:val="000F1CE8"/>
    <w:rsid w:val="001013D3"/>
    <w:rsid w:val="00101B6E"/>
    <w:rsid w:val="00104CFA"/>
    <w:rsid w:val="001134AE"/>
    <w:rsid w:val="001141E6"/>
    <w:rsid w:val="001273ED"/>
    <w:rsid w:val="00134957"/>
    <w:rsid w:val="0014360E"/>
    <w:rsid w:val="00145C06"/>
    <w:rsid w:val="00157BE7"/>
    <w:rsid w:val="0016090C"/>
    <w:rsid w:val="00165EDA"/>
    <w:rsid w:val="001660D1"/>
    <w:rsid w:val="00170157"/>
    <w:rsid w:val="00170383"/>
    <w:rsid w:val="00171828"/>
    <w:rsid w:val="00174C46"/>
    <w:rsid w:val="00176C6A"/>
    <w:rsid w:val="001772FB"/>
    <w:rsid w:val="0018729A"/>
    <w:rsid w:val="00190056"/>
    <w:rsid w:val="00190069"/>
    <w:rsid w:val="001966B4"/>
    <w:rsid w:val="0019776A"/>
    <w:rsid w:val="00197B66"/>
    <w:rsid w:val="001A163D"/>
    <w:rsid w:val="001A2090"/>
    <w:rsid w:val="001A4BCF"/>
    <w:rsid w:val="001C3FF7"/>
    <w:rsid w:val="001C58E9"/>
    <w:rsid w:val="001E38EE"/>
    <w:rsid w:val="001F3EA7"/>
    <w:rsid w:val="001F6A4D"/>
    <w:rsid w:val="001F6AC3"/>
    <w:rsid w:val="00201241"/>
    <w:rsid w:val="0020420D"/>
    <w:rsid w:val="00207303"/>
    <w:rsid w:val="0021028E"/>
    <w:rsid w:val="00210698"/>
    <w:rsid w:val="00215DD9"/>
    <w:rsid w:val="00222057"/>
    <w:rsid w:val="00222981"/>
    <w:rsid w:val="0022320F"/>
    <w:rsid w:val="0022376B"/>
    <w:rsid w:val="00244F38"/>
    <w:rsid w:val="00245B02"/>
    <w:rsid w:val="00251C7D"/>
    <w:rsid w:val="00256178"/>
    <w:rsid w:val="002565B9"/>
    <w:rsid w:val="00256C02"/>
    <w:rsid w:val="002716BD"/>
    <w:rsid w:val="00274DED"/>
    <w:rsid w:val="002761C6"/>
    <w:rsid w:val="00276A9B"/>
    <w:rsid w:val="00285092"/>
    <w:rsid w:val="0028755A"/>
    <w:rsid w:val="002A1385"/>
    <w:rsid w:val="002A160F"/>
    <w:rsid w:val="002A5DA7"/>
    <w:rsid w:val="002B1B4E"/>
    <w:rsid w:val="002B2CAA"/>
    <w:rsid w:val="002B51CF"/>
    <w:rsid w:val="002C4433"/>
    <w:rsid w:val="002D3849"/>
    <w:rsid w:val="002D6DF2"/>
    <w:rsid w:val="002E13DD"/>
    <w:rsid w:val="002E33B4"/>
    <w:rsid w:val="002E4EBF"/>
    <w:rsid w:val="002F3F8F"/>
    <w:rsid w:val="002F7FE2"/>
    <w:rsid w:val="00304289"/>
    <w:rsid w:val="0031263E"/>
    <w:rsid w:val="003225DD"/>
    <w:rsid w:val="0032642A"/>
    <w:rsid w:val="003269F7"/>
    <w:rsid w:val="003279DB"/>
    <w:rsid w:val="003319C7"/>
    <w:rsid w:val="0033308E"/>
    <w:rsid w:val="00334980"/>
    <w:rsid w:val="00337773"/>
    <w:rsid w:val="00340CC5"/>
    <w:rsid w:val="00347526"/>
    <w:rsid w:val="00352554"/>
    <w:rsid w:val="00357146"/>
    <w:rsid w:val="00360837"/>
    <w:rsid w:val="00360DFF"/>
    <w:rsid w:val="00362151"/>
    <w:rsid w:val="00371B07"/>
    <w:rsid w:val="00375400"/>
    <w:rsid w:val="003758E0"/>
    <w:rsid w:val="003764AC"/>
    <w:rsid w:val="00390861"/>
    <w:rsid w:val="0039139D"/>
    <w:rsid w:val="003951F7"/>
    <w:rsid w:val="003A04F1"/>
    <w:rsid w:val="003A43F0"/>
    <w:rsid w:val="003A546A"/>
    <w:rsid w:val="003B196A"/>
    <w:rsid w:val="003B4262"/>
    <w:rsid w:val="003C0EA9"/>
    <w:rsid w:val="003C72EB"/>
    <w:rsid w:val="003C7822"/>
    <w:rsid w:val="003D3309"/>
    <w:rsid w:val="003D53AC"/>
    <w:rsid w:val="003E1BE6"/>
    <w:rsid w:val="003E2D56"/>
    <w:rsid w:val="003E6C26"/>
    <w:rsid w:val="003F0846"/>
    <w:rsid w:val="003F1C58"/>
    <w:rsid w:val="003F1F24"/>
    <w:rsid w:val="003F32A0"/>
    <w:rsid w:val="003F4495"/>
    <w:rsid w:val="003F54AC"/>
    <w:rsid w:val="0040640E"/>
    <w:rsid w:val="00406E71"/>
    <w:rsid w:val="00415111"/>
    <w:rsid w:val="004207CF"/>
    <w:rsid w:val="00422837"/>
    <w:rsid w:val="00425160"/>
    <w:rsid w:val="00435146"/>
    <w:rsid w:val="004429AA"/>
    <w:rsid w:val="00442BAD"/>
    <w:rsid w:val="00443603"/>
    <w:rsid w:val="0044554C"/>
    <w:rsid w:val="0044624C"/>
    <w:rsid w:val="00446D38"/>
    <w:rsid w:val="00453CA4"/>
    <w:rsid w:val="00460764"/>
    <w:rsid w:val="00461815"/>
    <w:rsid w:val="00462BE9"/>
    <w:rsid w:val="00463A36"/>
    <w:rsid w:val="00471531"/>
    <w:rsid w:val="00471A72"/>
    <w:rsid w:val="00473872"/>
    <w:rsid w:val="00476A07"/>
    <w:rsid w:val="004809FB"/>
    <w:rsid w:val="0048360A"/>
    <w:rsid w:val="00492997"/>
    <w:rsid w:val="00495E98"/>
    <w:rsid w:val="004A055C"/>
    <w:rsid w:val="004A2647"/>
    <w:rsid w:val="004A3F4E"/>
    <w:rsid w:val="004B1E82"/>
    <w:rsid w:val="004B3CF6"/>
    <w:rsid w:val="004B7933"/>
    <w:rsid w:val="004C1E8F"/>
    <w:rsid w:val="004C34E9"/>
    <w:rsid w:val="004C4E4E"/>
    <w:rsid w:val="004C5857"/>
    <w:rsid w:val="004D31D9"/>
    <w:rsid w:val="004D4620"/>
    <w:rsid w:val="004E4F0D"/>
    <w:rsid w:val="004E522E"/>
    <w:rsid w:val="004E5EAB"/>
    <w:rsid w:val="004F0CE6"/>
    <w:rsid w:val="004F23C8"/>
    <w:rsid w:val="004F7E9E"/>
    <w:rsid w:val="0050388E"/>
    <w:rsid w:val="005138F9"/>
    <w:rsid w:val="0051631A"/>
    <w:rsid w:val="0051638C"/>
    <w:rsid w:val="00521810"/>
    <w:rsid w:val="00523B51"/>
    <w:rsid w:val="00541708"/>
    <w:rsid w:val="00542579"/>
    <w:rsid w:val="00546D77"/>
    <w:rsid w:val="005508EC"/>
    <w:rsid w:val="00554C47"/>
    <w:rsid w:val="00554E10"/>
    <w:rsid w:val="00562A5A"/>
    <w:rsid w:val="00572DF2"/>
    <w:rsid w:val="00572E54"/>
    <w:rsid w:val="00580336"/>
    <w:rsid w:val="00580BE5"/>
    <w:rsid w:val="00584213"/>
    <w:rsid w:val="00591212"/>
    <w:rsid w:val="00591AE5"/>
    <w:rsid w:val="00592EEF"/>
    <w:rsid w:val="005A1537"/>
    <w:rsid w:val="005A66B6"/>
    <w:rsid w:val="005C09A5"/>
    <w:rsid w:val="005C4EF5"/>
    <w:rsid w:val="005D2FEF"/>
    <w:rsid w:val="005D62C5"/>
    <w:rsid w:val="005D65F5"/>
    <w:rsid w:val="005D6D93"/>
    <w:rsid w:val="005E128C"/>
    <w:rsid w:val="005E2BEB"/>
    <w:rsid w:val="005E3BDE"/>
    <w:rsid w:val="005E3E10"/>
    <w:rsid w:val="005E6967"/>
    <w:rsid w:val="005E760E"/>
    <w:rsid w:val="005F7E10"/>
    <w:rsid w:val="00600798"/>
    <w:rsid w:val="006010EE"/>
    <w:rsid w:val="00602E10"/>
    <w:rsid w:val="00603B83"/>
    <w:rsid w:val="006052B2"/>
    <w:rsid w:val="006059CA"/>
    <w:rsid w:val="00607C79"/>
    <w:rsid w:val="00607E82"/>
    <w:rsid w:val="00610D37"/>
    <w:rsid w:val="0061206C"/>
    <w:rsid w:val="006136FA"/>
    <w:rsid w:val="006155F2"/>
    <w:rsid w:val="006163BE"/>
    <w:rsid w:val="00617413"/>
    <w:rsid w:val="00617EB1"/>
    <w:rsid w:val="00623B40"/>
    <w:rsid w:val="00625F58"/>
    <w:rsid w:val="00627143"/>
    <w:rsid w:val="00632F75"/>
    <w:rsid w:val="00637536"/>
    <w:rsid w:val="006412CE"/>
    <w:rsid w:val="00653644"/>
    <w:rsid w:val="00653A6B"/>
    <w:rsid w:val="00655FF0"/>
    <w:rsid w:val="00660CD2"/>
    <w:rsid w:val="006647BF"/>
    <w:rsid w:val="0067283C"/>
    <w:rsid w:val="00680180"/>
    <w:rsid w:val="00681D1C"/>
    <w:rsid w:val="00683235"/>
    <w:rsid w:val="00691754"/>
    <w:rsid w:val="00694075"/>
    <w:rsid w:val="00696A99"/>
    <w:rsid w:val="006A01A9"/>
    <w:rsid w:val="006A4027"/>
    <w:rsid w:val="006A7E8A"/>
    <w:rsid w:val="006B0EE4"/>
    <w:rsid w:val="006B179F"/>
    <w:rsid w:val="006C1720"/>
    <w:rsid w:val="006C7500"/>
    <w:rsid w:val="006C7F13"/>
    <w:rsid w:val="006D1226"/>
    <w:rsid w:val="006D1E33"/>
    <w:rsid w:val="006D3C89"/>
    <w:rsid w:val="006D654A"/>
    <w:rsid w:val="006E39F2"/>
    <w:rsid w:val="007003A3"/>
    <w:rsid w:val="00702077"/>
    <w:rsid w:val="00707C83"/>
    <w:rsid w:val="007152A3"/>
    <w:rsid w:val="0071757D"/>
    <w:rsid w:val="00720A00"/>
    <w:rsid w:val="00722F34"/>
    <w:rsid w:val="007336E3"/>
    <w:rsid w:val="00735EBF"/>
    <w:rsid w:val="00743548"/>
    <w:rsid w:val="0074587A"/>
    <w:rsid w:val="007466E0"/>
    <w:rsid w:val="007468A1"/>
    <w:rsid w:val="00751D36"/>
    <w:rsid w:val="007537AD"/>
    <w:rsid w:val="00757E04"/>
    <w:rsid w:val="00761920"/>
    <w:rsid w:val="00761C9B"/>
    <w:rsid w:val="00764F51"/>
    <w:rsid w:val="007676DD"/>
    <w:rsid w:val="00770179"/>
    <w:rsid w:val="00772971"/>
    <w:rsid w:val="00780DA6"/>
    <w:rsid w:val="00783B93"/>
    <w:rsid w:val="0078518E"/>
    <w:rsid w:val="007860B2"/>
    <w:rsid w:val="007862C5"/>
    <w:rsid w:val="007863DD"/>
    <w:rsid w:val="00787E97"/>
    <w:rsid w:val="00790C76"/>
    <w:rsid w:val="00796AF2"/>
    <w:rsid w:val="00796F46"/>
    <w:rsid w:val="007A1EEF"/>
    <w:rsid w:val="007A5134"/>
    <w:rsid w:val="007B1DBF"/>
    <w:rsid w:val="007B1FED"/>
    <w:rsid w:val="007B4218"/>
    <w:rsid w:val="007B703F"/>
    <w:rsid w:val="007B777D"/>
    <w:rsid w:val="007C0355"/>
    <w:rsid w:val="007C37AC"/>
    <w:rsid w:val="007C4D1B"/>
    <w:rsid w:val="007D2CC3"/>
    <w:rsid w:val="007D350F"/>
    <w:rsid w:val="007E297D"/>
    <w:rsid w:val="007E4180"/>
    <w:rsid w:val="007E47BA"/>
    <w:rsid w:val="007E5FBC"/>
    <w:rsid w:val="007F4243"/>
    <w:rsid w:val="007F510D"/>
    <w:rsid w:val="007F6FE5"/>
    <w:rsid w:val="008020B4"/>
    <w:rsid w:val="00803637"/>
    <w:rsid w:val="0080710F"/>
    <w:rsid w:val="00824D06"/>
    <w:rsid w:val="00826415"/>
    <w:rsid w:val="00831236"/>
    <w:rsid w:val="00836B29"/>
    <w:rsid w:val="0084406A"/>
    <w:rsid w:val="008577BD"/>
    <w:rsid w:val="00857B19"/>
    <w:rsid w:val="00862017"/>
    <w:rsid w:val="008721F8"/>
    <w:rsid w:val="00873652"/>
    <w:rsid w:val="00873C76"/>
    <w:rsid w:val="008826AE"/>
    <w:rsid w:val="00882B71"/>
    <w:rsid w:val="008871C0"/>
    <w:rsid w:val="008917FE"/>
    <w:rsid w:val="008934A7"/>
    <w:rsid w:val="008B1587"/>
    <w:rsid w:val="008B3B30"/>
    <w:rsid w:val="008B43E9"/>
    <w:rsid w:val="008C448D"/>
    <w:rsid w:val="008C450A"/>
    <w:rsid w:val="008D59AB"/>
    <w:rsid w:val="008D7E29"/>
    <w:rsid w:val="008E1FA2"/>
    <w:rsid w:val="008E57E6"/>
    <w:rsid w:val="008F55A1"/>
    <w:rsid w:val="008F7251"/>
    <w:rsid w:val="0090060B"/>
    <w:rsid w:val="00902AAD"/>
    <w:rsid w:val="00904F5D"/>
    <w:rsid w:val="0091330E"/>
    <w:rsid w:val="0091588C"/>
    <w:rsid w:val="009342B6"/>
    <w:rsid w:val="0093559E"/>
    <w:rsid w:val="00935931"/>
    <w:rsid w:val="00937E67"/>
    <w:rsid w:val="00940149"/>
    <w:rsid w:val="009403DF"/>
    <w:rsid w:val="0094058D"/>
    <w:rsid w:val="00940C83"/>
    <w:rsid w:val="00943BFF"/>
    <w:rsid w:val="00944376"/>
    <w:rsid w:val="00950C60"/>
    <w:rsid w:val="0095121C"/>
    <w:rsid w:val="00953693"/>
    <w:rsid w:val="00954387"/>
    <w:rsid w:val="00961CB5"/>
    <w:rsid w:val="00963CEC"/>
    <w:rsid w:val="00974170"/>
    <w:rsid w:val="0097735C"/>
    <w:rsid w:val="0098784D"/>
    <w:rsid w:val="00990134"/>
    <w:rsid w:val="00990D58"/>
    <w:rsid w:val="00991A9E"/>
    <w:rsid w:val="0099276B"/>
    <w:rsid w:val="00995B53"/>
    <w:rsid w:val="009A0F49"/>
    <w:rsid w:val="009A3152"/>
    <w:rsid w:val="009A55C4"/>
    <w:rsid w:val="009A7375"/>
    <w:rsid w:val="009B2B44"/>
    <w:rsid w:val="009C0C7C"/>
    <w:rsid w:val="009C0FEE"/>
    <w:rsid w:val="009C4B8D"/>
    <w:rsid w:val="009D082F"/>
    <w:rsid w:val="009E6101"/>
    <w:rsid w:val="009E7ED2"/>
    <w:rsid w:val="009F2896"/>
    <w:rsid w:val="009F6669"/>
    <w:rsid w:val="009F7551"/>
    <w:rsid w:val="00A03869"/>
    <w:rsid w:val="00A10FD7"/>
    <w:rsid w:val="00A1287B"/>
    <w:rsid w:val="00A1388C"/>
    <w:rsid w:val="00A2293E"/>
    <w:rsid w:val="00A25B95"/>
    <w:rsid w:val="00A4733C"/>
    <w:rsid w:val="00A524DE"/>
    <w:rsid w:val="00A56991"/>
    <w:rsid w:val="00A5727A"/>
    <w:rsid w:val="00A638CC"/>
    <w:rsid w:val="00A65F1B"/>
    <w:rsid w:val="00A73C0C"/>
    <w:rsid w:val="00A800CD"/>
    <w:rsid w:val="00A867D5"/>
    <w:rsid w:val="00A87A2D"/>
    <w:rsid w:val="00A95A86"/>
    <w:rsid w:val="00AA62A5"/>
    <w:rsid w:val="00AB338A"/>
    <w:rsid w:val="00AB4752"/>
    <w:rsid w:val="00AB7FCA"/>
    <w:rsid w:val="00AC0A20"/>
    <w:rsid w:val="00AC0B67"/>
    <w:rsid w:val="00AC4617"/>
    <w:rsid w:val="00AD1A9D"/>
    <w:rsid w:val="00AD6A5B"/>
    <w:rsid w:val="00AD7A92"/>
    <w:rsid w:val="00AE3F8B"/>
    <w:rsid w:val="00AE5685"/>
    <w:rsid w:val="00AF6414"/>
    <w:rsid w:val="00B03A92"/>
    <w:rsid w:val="00B06D40"/>
    <w:rsid w:val="00B06EA4"/>
    <w:rsid w:val="00B15D57"/>
    <w:rsid w:val="00B160BA"/>
    <w:rsid w:val="00B21EB9"/>
    <w:rsid w:val="00B233FD"/>
    <w:rsid w:val="00B2508B"/>
    <w:rsid w:val="00B34C26"/>
    <w:rsid w:val="00B53453"/>
    <w:rsid w:val="00B6091B"/>
    <w:rsid w:val="00B72693"/>
    <w:rsid w:val="00B755BF"/>
    <w:rsid w:val="00B77250"/>
    <w:rsid w:val="00B86353"/>
    <w:rsid w:val="00B9608A"/>
    <w:rsid w:val="00B962B6"/>
    <w:rsid w:val="00BA366B"/>
    <w:rsid w:val="00BA3EF9"/>
    <w:rsid w:val="00BA447B"/>
    <w:rsid w:val="00BA4BF4"/>
    <w:rsid w:val="00BA5926"/>
    <w:rsid w:val="00BA6B09"/>
    <w:rsid w:val="00BB5BA6"/>
    <w:rsid w:val="00BB6256"/>
    <w:rsid w:val="00BC7322"/>
    <w:rsid w:val="00BD61A8"/>
    <w:rsid w:val="00BE6568"/>
    <w:rsid w:val="00BE68FC"/>
    <w:rsid w:val="00BF53A2"/>
    <w:rsid w:val="00BF6B4C"/>
    <w:rsid w:val="00BF7AED"/>
    <w:rsid w:val="00C007AD"/>
    <w:rsid w:val="00C052A4"/>
    <w:rsid w:val="00C101BA"/>
    <w:rsid w:val="00C10851"/>
    <w:rsid w:val="00C17877"/>
    <w:rsid w:val="00C204F9"/>
    <w:rsid w:val="00C24A05"/>
    <w:rsid w:val="00C273BF"/>
    <w:rsid w:val="00C31DCE"/>
    <w:rsid w:val="00C342A7"/>
    <w:rsid w:val="00C43414"/>
    <w:rsid w:val="00C5089F"/>
    <w:rsid w:val="00C53ECF"/>
    <w:rsid w:val="00C551FD"/>
    <w:rsid w:val="00C624ED"/>
    <w:rsid w:val="00C70292"/>
    <w:rsid w:val="00C71703"/>
    <w:rsid w:val="00C72A86"/>
    <w:rsid w:val="00C77783"/>
    <w:rsid w:val="00C86715"/>
    <w:rsid w:val="00C87F7A"/>
    <w:rsid w:val="00C90F33"/>
    <w:rsid w:val="00C94B98"/>
    <w:rsid w:val="00CA1776"/>
    <w:rsid w:val="00CA37BD"/>
    <w:rsid w:val="00CA605D"/>
    <w:rsid w:val="00CB065B"/>
    <w:rsid w:val="00CC0890"/>
    <w:rsid w:val="00CC11E7"/>
    <w:rsid w:val="00CC1DAB"/>
    <w:rsid w:val="00CC33E3"/>
    <w:rsid w:val="00CC48BE"/>
    <w:rsid w:val="00CC5C5C"/>
    <w:rsid w:val="00CD010D"/>
    <w:rsid w:val="00CD7A35"/>
    <w:rsid w:val="00CE110F"/>
    <w:rsid w:val="00CE348D"/>
    <w:rsid w:val="00CF1431"/>
    <w:rsid w:val="00CF15D2"/>
    <w:rsid w:val="00CF167B"/>
    <w:rsid w:val="00CF28CD"/>
    <w:rsid w:val="00CF37D2"/>
    <w:rsid w:val="00D00686"/>
    <w:rsid w:val="00D01F7D"/>
    <w:rsid w:val="00D02038"/>
    <w:rsid w:val="00D03397"/>
    <w:rsid w:val="00D03BEE"/>
    <w:rsid w:val="00D0404A"/>
    <w:rsid w:val="00D075A4"/>
    <w:rsid w:val="00D12DA3"/>
    <w:rsid w:val="00D1631B"/>
    <w:rsid w:val="00D17E07"/>
    <w:rsid w:val="00D20034"/>
    <w:rsid w:val="00D224BD"/>
    <w:rsid w:val="00D2723C"/>
    <w:rsid w:val="00D37315"/>
    <w:rsid w:val="00D427A1"/>
    <w:rsid w:val="00D464EF"/>
    <w:rsid w:val="00D46979"/>
    <w:rsid w:val="00D50DF1"/>
    <w:rsid w:val="00D52006"/>
    <w:rsid w:val="00D5478C"/>
    <w:rsid w:val="00D54DA2"/>
    <w:rsid w:val="00D61C33"/>
    <w:rsid w:val="00D63820"/>
    <w:rsid w:val="00D63BDF"/>
    <w:rsid w:val="00D64851"/>
    <w:rsid w:val="00D6588E"/>
    <w:rsid w:val="00D72C4B"/>
    <w:rsid w:val="00D80B1C"/>
    <w:rsid w:val="00D82B75"/>
    <w:rsid w:val="00D8360B"/>
    <w:rsid w:val="00D84CD9"/>
    <w:rsid w:val="00D914F6"/>
    <w:rsid w:val="00D9215B"/>
    <w:rsid w:val="00D97732"/>
    <w:rsid w:val="00DA1335"/>
    <w:rsid w:val="00DA5788"/>
    <w:rsid w:val="00DB11DE"/>
    <w:rsid w:val="00DB6012"/>
    <w:rsid w:val="00DC70C0"/>
    <w:rsid w:val="00DD60CE"/>
    <w:rsid w:val="00DE5114"/>
    <w:rsid w:val="00DE5F22"/>
    <w:rsid w:val="00DF47F1"/>
    <w:rsid w:val="00DF5015"/>
    <w:rsid w:val="00E1024A"/>
    <w:rsid w:val="00E11296"/>
    <w:rsid w:val="00E16B31"/>
    <w:rsid w:val="00E21330"/>
    <w:rsid w:val="00E22394"/>
    <w:rsid w:val="00E231F9"/>
    <w:rsid w:val="00E27C93"/>
    <w:rsid w:val="00E344DF"/>
    <w:rsid w:val="00E34ED3"/>
    <w:rsid w:val="00E356AD"/>
    <w:rsid w:val="00E35C95"/>
    <w:rsid w:val="00E37A50"/>
    <w:rsid w:val="00E40603"/>
    <w:rsid w:val="00E429D6"/>
    <w:rsid w:val="00E44AF6"/>
    <w:rsid w:val="00E474BB"/>
    <w:rsid w:val="00E5105B"/>
    <w:rsid w:val="00E516E3"/>
    <w:rsid w:val="00E544C3"/>
    <w:rsid w:val="00E6107C"/>
    <w:rsid w:val="00E66B56"/>
    <w:rsid w:val="00E710D6"/>
    <w:rsid w:val="00E7234E"/>
    <w:rsid w:val="00E80914"/>
    <w:rsid w:val="00E8182D"/>
    <w:rsid w:val="00E81C54"/>
    <w:rsid w:val="00E878C8"/>
    <w:rsid w:val="00EA13CD"/>
    <w:rsid w:val="00EB6040"/>
    <w:rsid w:val="00EB64D0"/>
    <w:rsid w:val="00EC1071"/>
    <w:rsid w:val="00EC3D7C"/>
    <w:rsid w:val="00EC3FB8"/>
    <w:rsid w:val="00EC574D"/>
    <w:rsid w:val="00ED240B"/>
    <w:rsid w:val="00EE0F4C"/>
    <w:rsid w:val="00EE2C57"/>
    <w:rsid w:val="00EE3568"/>
    <w:rsid w:val="00EE3BB5"/>
    <w:rsid w:val="00F03865"/>
    <w:rsid w:val="00F04430"/>
    <w:rsid w:val="00F06D4D"/>
    <w:rsid w:val="00F16636"/>
    <w:rsid w:val="00F17084"/>
    <w:rsid w:val="00F229D7"/>
    <w:rsid w:val="00F24943"/>
    <w:rsid w:val="00F24AAA"/>
    <w:rsid w:val="00F25EBF"/>
    <w:rsid w:val="00F26969"/>
    <w:rsid w:val="00F451DA"/>
    <w:rsid w:val="00F476CE"/>
    <w:rsid w:val="00F5147A"/>
    <w:rsid w:val="00F527FE"/>
    <w:rsid w:val="00F64A14"/>
    <w:rsid w:val="00F75ADB"/>
    <w:rsid w:val="00F80A4A"/>
    <w:rsid w:val="00F80ED4"/>
    <w:rsid w:val="00F83632"/>
    <w:rsid w:val="00F90226"/>
    <w:rsid w:val="00F92B4C"/>
    <w:rsid w:val="00F96A8B"/>
    <w:rsid w:val="00FA0141"/>
    <w:rsid w:val="00FA0742"/>
    <w:rsid w:val="00FA6FF9"/>
    <w:rsid w:val="00FB2F3D"/>
    <w:rsid w:val="00FB42F5"/>
    <w:rsid w:val="00FB6349"/>
    <w:rsid w:val="00FB74C9"/>
    <w:rsid w:val="00FC19CC"/>
    <w:rsid w:val="00FC490E"/>
    <w:rsid w:val="00FE2C54"/>
    <w:rsid w:val="00FF6D27"/>
    <w:rsid w:val="00FF7034"/>
    <w:rsid w:val="019D4A42"/>
    <w:rsid w:val="02D7B156"/>
    <w:rsid w:val="0930E214"/>
    <w:rsid w:val="115ED865"/>
    <w:rsid w:val="15367025"/>
    <w:rsid w:val="1719DE96"/>
    <w:rsid w:val="299040F3"/>
    <w:rsid w:val="2ABFE37A"/>
    <w:rsid w:val="2B06AF5C"/>
    <w:rsid w:val="2B39598E"/>
    <w:rsid w:val="2D8EF00C"/>
    <w:rsid w:val="32EEF86C"/>
    <w:rsid w:val="34720F71"/>
    <w:rsid w:val="43E9E841"/>
    <w:rsid w:val="4EB47872"/>
    <w:rsid w:val="508973F4"/>
    <w:rsid w:val="508FE49D"/>
    <w:rsid w:val="53C70139"/>
    <w:rsid w:val="54394766"/>
    <w:rsid w:val="5B5630AF"/>
    <w:rsid w:val="64D11C05"/>
    <w:rsid w:val="6673B3A7"/>
    <w:rsid w:val="667E4DF9"/>
    <w:rsid w:val="6B05E4FB"/>
    <w:rsid w:val="7217A7A7"/>
    <w:rsid w:val="72DC84A0"/>
    <w:rsid w:val="769B9143"/>
    <w:rsid w:val="777A394D"/>
    <w:rsid w:val="7C955B9A"/>
    <w:rsid w:val="7CA91C19"/>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DD74B0C4-037C-44C4-AEB6-5DCA8FA7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Header">
    <w:name w:val="header"/>
    <w:basedOn w:val="Normal"/>
    <w:link w:val="HeaderChar"/>
    <w:uiPriority w:val="99"/>
    <w:unhideWhenUsed/>
    <w:rsid w:val="00696A99"/>
    <w:pPr>
      <w:tabs>
        <w:tab w:val="center" w:pos="4680"/>
        <w:tab w:val="right" w:pos="9360"/>
      </w:tabs>
      <w:spacing w:after="0"/>
    </w:pPr>
  </w:style>
  <w:style w:type="character" w:customStyle="1" w:styleId="HeaderChar">
    <w:name w:val="Header Char"/>
    <w:basedOn w:val="DefaultParagraphFont"/>
    <w:link w:val="Header"/>
    <w:uiPriority w:val="99"/>
    <w:rsid w:val="00696A9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696A99"/>
    <w:pPr>
      <w:tabs>
        <w:tab w:val="center" w:pos="4680"/>
        <w:tab w:val="right" w:pos="9360"/>
      </w:tabs>
      <w:spacing w:after="0"/>
    </w:pPr>
  </w:style>
  <w:style w:type="character" w:customStyle="1" w:styleId="FooterChar">
    <w:name w:val="Footer Char"/>
    <w:basedOn w:val="DefaultParagraphFont"/>
    <w:link w:val="Footer"/>
    <w:uiPriority w:val="99"/>
    <w:rsid w:val="00696A99"/>
    <w:rPr>
      <w:rFonts w:ascii="Times New Roman" w:eastAsia="Malgun Gothic" w:hAnsi="Times New Roman" w:cs="Times New Roman"/>
      <w:sz w:val="20"/>
      <w:szCs w:val="20"/>
      <w:lang w:val="en-GB" w:eastAsia="en-US"/>
    </w:rPr>
  </w:style>
  <w:style w:type="paragraph" w:customStyle="1" w:styleId="TH">
    <w:name w:val="TH"/>
    <w:basedOn w:val="Normal"/>
    <w:link w:val="THChar"/>
    <w:qFormat/>
    <w:rsid w:val="00D20034"/>
    <w:pPr>
      <w:keepNext/>
      <w:keepLines/>
      <w:spacing w:before="60"/>
      <w:jc w:val="center"/>
    </w:pPr>
    <w:rPr>
      <w:rFonts w:ascii="Arial" w:eastAsia="Times New Roman" w:hAnsi="Arial"/>
      <w:b/>
    </w:rPr>
  </w:style>
  <w:style w:type="character" w:customStyle="1" w:styleId="THChar">
    <w:name w:val="TH Char"/>
    <w:link w:val="TH"/>
    <w:qFormat/>
    <w:rsid w:val="00D20034"/>
    <w:rPr>
      <w:rFonts w:ascii="Arial" w:eastAsia="Times New Roman" w:hAnsi="Arial" w:cs="Times New Roman"/>
      <w:b/>
      <w:sz w:val="20"/>
      <w:szCs w:val="20"/>
      <w:lang w:val="en-GB" w:eastAsia="en-US"/>
    </w:rPr>
  </w:style>
  <w:style w:type="table" w:styleId="TableGrid">
    <w:name w:val="Table Grid"/>
    <w:basedOn w:val="TableNormal"/>
    <w:uiPriority w:val="39"/>
    <w:rsid w:val="00D20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616717250">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5243178">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3790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951</Words>
  <Characters>5426</Characters>
  <Application>Microsoft Office Word</Application>
  <DocSecurity>0</DocSecurity>
  <Lines>45</Lines>
  <Paragraphs>12</Paragraphs>
  <ScaleCrop>false</ScaleCrop>
  <Company>Intel Corporation</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2020-10-23T04:35:00Z</dcterms:created>
  <dcterms:modified xsi:type="dcterms:W3CDTF">2020-10-23T04:35:00Z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86839425-ffe6-4181-935b-34e8b0908402</vt:lpwstr>
  </property>
  <property fmtid="{D5CDD505-2E9C-101B-9397-08002B2CF9AE}" pid="4" name="CTP_TimeStamp">
    <vt:lpwstr>2020-08-07 04:52:54Z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