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0FEA0F55"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4A7A5D">
        <w:rPr>
          <w:sz w:val="24"/>
          <w:lang w:eastAsia="zh-CN"/>
        </w:rPr>
        <w:t>2</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E1DC2" w:rsidRPr="002E1DC2">
        <w:rPr>
          <w:bCs/>
          <w:noProof w:val="0"/>
          <w:sz w:val="24"/>
        </w:rPr>
        <w:t>R2-2008978</w:t>
      </w:r>
    </w:p>
    <w:p w14:paraId="2F5EDE7D" w14:textId="77777777" w:rsidR="004811E7" w:rsidRDefault="004811E7" w:rsidP="004811E7">
      <w:pPr>
        <w:pStyle w:val="CRCoverPage"/>
        <w:spacing w:after="240"/>
        <w:jc w:val="both"/>
        <w:outlineLvl w:val="0"/>
        <w:rPr>
          <w:b/>
          <w:sz w:val="24"/>
        </w:rPr>
      </w:pPr>
      <w:r>
        <w:rPr>
          <w:b/>
          <w:sz w:val="24"/>
        </w:rPr>
        <w:t xml:space="preserve">Electronic meeting, 2nd – 13th </w:t>
      </w:r>
      <w:proofErr w:type="gramStart"/>
      <w:r>
        <w:rPr>
          <w:b/>
          <w:sz w:val="24"/>
        </w:rPr>
        <w:t>November,</w:t>
      </w:r>
      <w:proofErr w:type="gramEnd"/>
      <w:r>
        <w:rPr>
          <w:b/>
          <w:sz w:val="24"/>
        </w:rPr>
        <w:t xml:space="preserve"> 2020</w:t>
      </w:r>
    </w:p>
    <w:p w14:paraId="372F5655" w14:textId="2ADFBDCD"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B013F">
        <w:rPr>
          <w:rFonts w:cs="Arial"/>
          <w:bCs/>
          <w:sz w:val="24"/>
          <w:lang w:val="en-US"/>
        </w:rPr>
        <w:t>8.</w:t>
      </w:r>
      <w:r w:rsidR="007D06E5">
        <w:rPr>
          <w:rFonts w:cs="Arial"/>
          <w:bCs/>
          <w:sz w:val="24"/>
          <w:lang w:val="en-US"/>
        </w:rPr>
        <w:t>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3D192FC0"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C4C5C">
        <w:rPr>
          <w:rFonts w:ascii="Arial" w:hAnsi="Arial" w:cs="Arial"/>
          <w:bCs/>
          <w:sz w:val="24"/>
        </w:rPr>
        <w:t xml:space="preserve">On general </w:t>
      </w:r>
      <w:r w:rsidR="002E1DC2">
        <w:rPr>
          <w:rFonts w:ascii="Arial" w:hAnsi="Arial" w:cs="Arial"/>
          <w:bCs/>
          <w:sz w:val="24"/>
        </w:rPr>
        <w:t>sidelink</w:t>
      </w:r>
      <w:r w:rsidR="00806812">
        <w:rPr>
          <w:rFonts w:ascii="Arial" w:hAnsi="Arial" w:cs="Arial"/>
          <w:bCs/>
          <w:sz w:val="24"/>
        </w:rPr>
        <w:t xml:space="preserve"> </w:t>
      </w:r>
      <w:r w:rsidR="00117D05">
        <w:rPr>
          <w:rFonts w:ascii="Arial" w:hAnsi="Arial" w:cs="Arial"/>
          <w:bCs/>
          <w:sz w:val="24"/>
        </w:rPr>
        <w:t>DRX</w:t>
      </w:r>
      <w:r w:rsidR="007C4C5C">
        <w:rPr>
          <w:rFonts w:ascii="Arial" w:hAnsi="Arial" w:cs="Arial"/>
          <w:bCs/>
          <w:sz w:val="24"/>
        </w:rPr>
        <w:t xml:space="preserve"> design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001A8E44" w14:textId="2773CCCC" w:rsidR="00EB410E" w:rsidRDefault="003577A5" w:rsidP="00DE1023">
      <w:pPr>
        <w:spacing w:after="120"/>
        <w:jc w:val="both"/>
      </w:pPr>
      <w:bookmarkStart w:id="1" w:name="_Hlk46842767"/>
      <w:bookmarkStart w:id="2" w:name="Proposal_Pattern_Length"/>
      <w:r>
        <w:rPr>
          <w:lang w:val="en-GB"/>
        </w:rPr>
        <w:t xml:space="preserve">A new </w:t>
      </w:r>
      <w:r w:rsidR="00BA02A8">
        <w:rPr>
          <w:lang w:val="en-GB"/>
        </w:rPr>
        <w:t xml:space="preserve">work item entitled </w:t>
      </w:r>
      <w:r w:rsidR="002C45E1">
        <w:rPr>
          <w:lang w:val="en-GB"/>
        </w:rPr>
        <w:t xml:space="preserve">“New WID for NR sidelink enhancement” was approved in RAN to specify solutions </w:t>
      </w:r>
      <w:r w:rsidR="00C63AFD">
        <w:rPr>
          <w:lang w:val="en-GB"/>
        </w:rPr>
        <w:t xml:space="preserve">to enhance NR Sidelink for V2X, public safety and commercial use cases, with a </w:t>
      </w:r>
      <w:proofErr w:type="gramStart"/>
      <w:r w:rsidR="00C63AFD">
        <w:rPr>
          <w:lang w:val="en-GB"/>
        </w:rPr>
        <w:t>particular focus</w:t>
      </w:r>
      <w:proofErr w:type="gramEnd"/>
      <w:r w:rsidR="00C63AFD">
        <w:rPr>
          <w:lang w:val="en-GB"/>
        </w:rPr>
        <w:t xml:space="preserve"> on power saving and efficient operation</w:t>
      </w:r>
      <w:r w:rsidR="00D439BB">
        <w:t>.</w:t>
      </w:r>
      <w:r w:rsidR="007A06C6">
        <w:t xml:space="preserve"> </w:t>
      </w:r>
      <w:r w:rsidR="00ED53AE">
        <w:t>The detailed objectives are reproduced below:</w:t>
      </w:r>
    </w:p>
    <w:tbl>
      <w:tblPr>
        <w:tblStyle w:val="TableGrid"/>
        <w:tblW w:w="0" w:type="auto"/>
        <w:tblLook w:val="04A0" w:firstRow="1" w:lastRow="0" w:firstColumn="1" w:lastColumn="0" w:noHBand="0" w:noVBand="1"/>
      </w:tblPr>
      <w:tblGrid>
        <w:gridCol w:w="9350"/>
      </w:tblGrid>
      <w:tr w:rsidR="00796C2C" w14:paraId="7F2DFE5E" w14:textId="77777777" w:rsidTr="00796C2C">
        <w:tc>
          <w:tcPr>
            <w:tcW w:w="9350" w:type="dxa"/>
          </w:tcPr>
          <w:p w14:paraId="395CDB04" w14:textId="77777777" w:rsidR="00D11686" w:rsidRPr="00D11686" w:rsidRDefault="00D11686" w:rsidP="00D11686">
            <w:pPr>
              <w:rPr>
                <w:rFonts w:eastAsia="Malgun Gothic"/>
                <w:lang w:val="en-GB" w:eastAsia="ko-KR"/>
              </w:rPr>
            </w:pPr>
            <w:r w:rsidRPr="00D11686">
              <w:rPr>
                <w:rFonts w:eastAsia="Malgun Gothic"/>
                <w:lang w:val="en-GB" w:eastAsia="ko-KR"/>
              </w:rPr>
              <w:t>1. Sidelink evaluation methodology update: Define evaluation assumption and performance metric for power saving by reusing TR 36.843 and/or TR 38.840 (to be completed by RAN#88) [RAN1]</w:t>
            </w:r>
          </w:p>
          <w:p w14:paraId="3A4B09A3" w14:textId="77777777" w:rsidR="00D11686" w:rsidRPr="00D11686" w:rsidRDefault="00D11686" w:rsidP="006477A8">
            <w:pPr>
              <w:numPr>
                <w:ilvl w:val="0"/>
                <w:numId w:val="8"/>
              </w:numPr>
              <w:rPr>
                <w:rFonts w:eastAsia="Malgun Gothic"/>
                <w:lang w:val="en-GB" w:eastAsia="ko-KR"/>
              </w:rPr>
            </w:pPr>
            <w:r w:rsidRPr="00D11686">
              <w:rPr>
                <w:rFonts w:eastAsia="Malgun Gothic"/>
                <w:lang w:val="en-GB" w:eastAsia="ko-KR"/>
              </w:rPr>
              <w:t xml:space="preserve">Note: TR 37.885 is reused for the other evaluation assumption and performance metric. Vehicle dropping model B and antenna option 2 shall be a more realistic baseline for highway and urban grid scenarios. </w:t>
            </w:r>
          </w:p>
          <w:p w14:paraId="6BBD7C3E" w14:textId="77777777" w:rsidR="00D11686" w:rsidRPr="00D11686" w:rsidRDefault="00D11686" w:rsidP="00D11686">
            <w:pPr>
              <w:rPr>
                <w:rFonts w:eastAsia="Malgun Gothic"/>
                <w:lang w:val="en-GB" w:eastAsia="ko-KR"/>
              </w:rPr>
            </w:pPr>
            <w:r w:rsidRPr="00D11686">
              <w:rPr>
                <w:rFonts w:eastAsia="Malgun Gothic"/>
                <w:lang w:val="en-GB" w:eastAsia="ko-KR"/>
              </w:rPr>
              <w:t>2. Resource allocation enhancement:</w:t>
            </w:r>
          </w:p>
          <w:p w14:paraId="5F54420B" w14:textId="77777777" w:rsidR="00D11686" w:rsidRPr="00D11686" w:rsidRDefault="00D11686" w:rsidP="006477A8">
            <w:pPr>
              <w:numPr>
                <w:ilvl w:val="0"/>
                <w:numId w:val="8"/>
              </w:numPr>
              <w:rPr>
                <w:rFonts w:eastAsia="Malgun Gothic"/>
                <w:lang w:val="en-GB" w:eastAsia="ko-KR"/>
              </w:rPr>
            </w:pPr>
            <w:r w:rsidRPr="00D11686">
              <w:rPr>
                <w:rFonts w:eastAsia="Malgun Gothic"/>
                <w:lang w:val="en-GB" w:eastAsia="ko-KR"/>
              </w:rPr>
              <w:t>Specify resource allocation to reduce power consumption of the UEs [RAN1, RAN2]</w:t>
            </w:r>
          </w:p>
          <w:p w14:paraId="3E769303"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Baseline is to introduce the principle of Rel-14 LTE sidelink random resource selection and partial sensing to Rel-16 NR sidelink resource allocation mode 2.</w:t>
            </w:r>
          </w:p>
          <w:p w14:paraId="65F2ACF5"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Taking Rel-14 as the baseline does not preclude introducing a new solution to reduce power consumption for the cases where the baseline cannot work properly.</w:t>
            </w:r>
          </w:p>
          <w:p w14:paraId="29E22F29" w14:textId="77777777" w:rsidR="00D11686" w:rsidRPr="00D11686" w:rsidRDefault="00D11686" w:rsidP="006477A8">
            <w:pPr>
              <w:numPr>
                <w:ilvl w:val="0"/>
                <w:numId w:val="8"/>
              </w:numPr>
              <w:rPr>
                <w:rFonts w:eastAsia="Malgun Gothic"/>
                <w:lang w:val="en-GB" w:eastAsia="ko-KR"/>
              </w:rPr>
            </w:pPr>
            <w:r w:rsidRPr="00D11686">
              <w:rPr>
                <w:rFonts w:eastAsia="Malgun Gothic"/>
                <w:lang w:val="en-GB"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653810E8"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Inter-UE coordination with the following until RAN#88.</w:t>
            </w:r>
          </w:p>
          <w:p w14:paraId="32ED8C64" w14:textId="77777777" w:rsidR="00D11686" w:rsidRPr="00D11686" w:rsidRDefault="00D11686" w:rsidP="006477A8">
            <w:pPr>
              <w:numPr>
                <w:ilvl w:val="2"/>
                <w:numId w:val="8"/>
              </w:numPr>
              <w:rPr>
                <w:rFonts w:eastAsia="Malgun Gothic"/>
                <w:lang w:val="en-GB" w:eastAsia="ko-KR"/>
              </w:rPr>
            </w:pPr>
            <w:r w:rsidRPr="00D11686">
              <w:rPr>
                <w:rFonts w:eastAsia="Malgun Gothic"/>
                <w:lang w:val="en-GB" w:eastAsia="ko-KR"/>
              </w:rPr>
              <w:t>A set of resources is determined at UE-A. This set is sent to UE-B in mode 2, and UE-B takes this into account in the resource selection for its own transmission.</w:t>
            </w:r>
          </w:p>
          <w:p w14:paraId="5E2FB8AF"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The study scope after RAN#88 is to be decided in RAN#88.</w:t>
            </w:r>
          </w:p>
          <w:p w14:paraId="67CD020A"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The solution should be able to operate in-coverage, partial coverage, and out-of-coverage and to address consecutive packet loss in all coverage scenarios.</w:t>
            </w:r>
          </w:p>
          <w:p w14:paraId="3ED42C20"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RAN2 work will start after RAN#89.</w:t>
            </w:r>
          </w:p>
          <w:p w14:paraId="6CAD9014" w14:textId="77777777" w:rsidR="00D11686" w:rsidRPr="00D11686" w:rsidRDefault="00D11686" w:rsidP="00D11686">
            <w:pPr>
              <w:rPr>
                <w:rFonts w:eastAsia="Malgun Gothic"/>
                <w:highlight w:val="yellow"/>
                <w:lang w:val="en-GB" w:eastAsia="ko-KR"/>
              </w:rPr>
            </w:pPr>
            <w:r w:rsidRPr="00D11686">
              <w:rPr>
                <w:rFonts w:eastAsia="Malgun Gothic"/>
                <w:lang w:val="en-GB" w:eastAsia="ko-KR"/>
              </w:rPr>
              <w:t>3</w:t>
            </w:r>
            <w:r w:rsidRPr="00D11686">
              <w:rPr>
                <w:rFonts w:eastAsia="Malgun Gothic"/>
                <w:highlight w:val="yellow"/>
                <w:lang w:val="en-GB" w:eastAsia="ko-KR"/>
              </w:rPr>
              <w:t>. Sidelink DRX for broadcast, groupcast, and unicast [RAN2]</w:t>
            </w:r>
          </w:p>
          <w:p w14:paraId="597D41E8" w14:textId="77777777" w:rsidR="00D11686" w:rsidRPr="00D11686" w:rsidRDefault="00D11686" w:rsidP="006477A8">
            <w:pPr>
              <w:numPr>
                <w:ilvl w:val="0"/>
                <w:numId w:val="9"/>
              </w:numPr>
              <w:rPr>
                <w:rFonts w:eastAsia="Malgun Gothic"/>
                <w:highlight w:val="yellow"/>
                <w:lang w:val="en-GB" w:eastAsia="ko-KR"/>
              </w:rPr>
            </w:pPr>
            <w:r w:rsidRPr="00D11686">
              <w:rPr>
                <w:rFonts w:eastAsia="Malgun Gothic"/>
                <w:highlight w:val="yellow"/>
                <w:lang w:val="en-GB" w:eastAsia="ko-KR"/>
              </w:rPr>
              <w:t>Define on- and off-durations in sidelink and specify the corresponding UE procedure</w:t>
            </w:r>
          </w:p>
          <w:p w14:paraId="355637D3" w14:textId="77777777" w:rsidR="00D11686" w:rsidRPr="00D11686" w:rsidRDefault="00D11686" w:rsidP="006477A8">
            <w:pPr>
              <w:numPr>
                <w:ilvl w:val="0"/>
                <w:numId w:val="9"/>
              </w:numPr>
              <w:rPr>
                <w:rFonts w:eastAsia="Malgun Gothic"/>
                <w:highlight w:val="yellow"/>
                <w:lang w:val="en-GB" w:eastAsia="ko-KR"/>
              </w:rPr>
            </w:pPr>
            <w:r w:rsidRPr="00D11686">
              <w:rPr>
                <w:rFonts w:eastAsia="Malgun Gothic"/>
                <w:highlight w:val="yellow"/>
                <w:lang w:val="en-GB" w:eastAsia="ko-KR"/>
              </w:rPr>
              <w:t>Specify mechanism aiming to align sidelink DRX wake-up time among the UEs communicating with each other</w:t>
            </w:r>
          </w:p>
          <w:p w14:paraId="47A86BA0" w14:textId="77777777" w:rsidR="00D11686" w:rsidRPr="00D11686" w:rsidRDefault="00D11686" w:rsidP="006477A8">
            <w:pPr>
              <w:numPr>
                <w:ilvl w:val="0"/>
                <w:numId w:val="9"/>
              </w:numPr>
              <w:rPr>
                <w:rFonts w:eastAsia="Malgun Gothic"/>
                <w:highlight w:val="yellow"/>
                <w:lang w:val="en-GB" w:eastAsia="ko-KR"/>
              </w:rPr>
            </w:pPr>
            <w:r w:rsidRPr="00D11686">
              <w:rPr>
                <w:rFonts w:eastAsia="Malgun Gothic"/>
                <w:highlight w:val="yellow"/>
                <w:lang w:val="en-GB" w:eastAsia="ko-KR"/>
              </w:rPr>
              <w:lastRenderedPageBreak/>
              <w:t>Specify mechanism aiming to align sidelink DRX wake-up time with Uu DRX wake-up time in an in-coverage UE</w:t>
            </w:r>
          </w:p>
          <w:p w14:paraId="2335A807" w14:textId="77777777" w:rsidR="00D11686" w:rsidRPr="00D11686" w:rsidRDefault="00D11686" w:rsidP="00D11686">
            <w:pPr>
              <w:rPr>
                <w:rFonts w:eastAsia="Malgun Gothic"/>
                <w:lang w:val="en-GB" w:eastAsia="ko-KR"/>
              </w:rPr>
            </w:pPr>
            <w:r w:rsidRPr="00D11686">
              <w:rPr>
                <w:rFonts w:eastAsia="Malgun Gothic"/>
                <w:lang w:val="en-GB" w:eastAsia="ko-KR"/>
              </w:rPr>
              <w:t xml:space="preserve">4. Support of new sidelink frequency bands </w:t>
            </w:r>
            <w:r w:rsidRPr="00D11686">
              <w:rPr>
                <w:rFonts w:eastAsia="Malgun Gothic"/>
                <w:lang w:val="en-GB" w:eastAsia="en-GB"/>
              </w:rPr>
              <w:t>for single-carrier operations</w:t>
            </w:r>
            <w:r w:rsidRPr="00D11686">
              <w:rPr>
                <w:rFonts w:eastAsia="Malgun Gothic"/>
                <w:lang w:val="en-GB" w:eastAsia="ko-KR"/>
              </w:rPr>
              <w:t xml:space="preserve"> [RAN4]</w:t>
            </w:r>
          </w:p>
          <w:p w14:paraId="5C7BD248" w14:textId="77777777" w:rsidR="00D11686" w:rsidRPr="00D11686" w:rsidRDefault="00D11686" w:rsidP="006477A8">
            <w:pPr>
              <w:numPr>
                <w:ilvl w:val="0"/>
                <w:numId w:val="10"/>
              </w:numPr>
              <w:rPr>
                <w:rFonts w:eastAsia="Malgun Gothic"/>
                <w:lang w:val="en-GB" w:eastAsia="ko-KR"/>
              </w:rPr>
            </w:pPr>
            <w:r w:rsidRPr="00D11686">
              <w:rPr>
                <w:rFonts w:eastAsia="Malgun Gothic"/>
                <w:lang w:val="en-GB" w:eastAsia="ko-KR"/>
              </w:rPr>
              <w:t>Support of new sidelink frequency bands should ensure coexistence between sidelink and Uu interface in the same and adjacent channels in licensed spectrum.</w:t>
            </w:r>
          </w:p>
          <w:p w14:paraId="153F07C6" w14:textId="77777777" w:rsidR="00D11686" w:rsidRPr="00D11686" w:rsidRDefault="00D11686" w:rsidP="006477A8">
            <w:pPr>
              <w:numPr>
                <w:ilvl w:val="0"/>
                <w:numId w:val="10"/>
              </w:numPr>
              <w:rPr>
                <w:rFonts w:eastAsia="Malgun Gothic"/>
                <w:lang w:val="en-GB" w:eastAsia="ko-KR"/>
              </w:rPr>
            </w:pPr>
            <w:r w:rsidRPr="00D11686">
              <w:rPr>
                <w:rFonts w:eastAsia="Malgun Gothic"/>
                <w:lang w:val="en-GB" w:eastAsia="ko-KR"/>
              </w:rPr>
              <w:t xml:space="preserve">The exact frequency bands are to be determined based on company input during the WI, </w:t>
            </w:r>
            <w:r w:rsidRPr="00D11686">
              <w:rPr>
                <w:rFonts w:eastAsia="Malgun Gothic"/>
                <w:lang w:val="en-GB" w:eastAsia="en-GB"/>
              </w:rPr>
              <w:t>considering both licensed and ITS-dedicated spectrum in</w:t>
            </w:r>
            <w:r w:rsidRPr="00D11686">
              <w:rPr>
                <w:rFonts w:eastAsia="Malgun Gothic"/>
                <w:lang w:val="en-GB" w:eastAsia="ko-KR"/>
              </w:rPr>
              <w:t xml:space="preserve"> both FR1 and FR2.</w:t>
            </w:r>
          </w:p>
          <w:p w14:paraId="2E19F4D2" w14:textId="77777777" w:rsidR="00D11686" w:rsidRPr="00D11686" w:rsidRDefault="00D11686" w:rsidP="00D11686">
            <w:pPr>
              <w:rPr>
                <w:rFonts w:eastAsia="Malgun Gothic"/>
                <w:lang w:val="en-GB" w:eastAsia="ko-KR"/>
              </w:rPr>
            </w:pPr>
            <w:r w:rsidRPr="00D11686">
              <w:rPr>
                <w:rFonts w:eastAsia="Malgun Gothic"/>
                <w:lang w:val="en-GB" w:eastAsia="ko-KR"/>
              </w:rPr>
              <w:t>5. Define mechanism to ensure sidelink operation can be confined to a predetermined geographic area(s) for a given frequency range within non-ITS bands [RAN2].</w:t>
            </w:r>
          </w:p>
          <w:p w14:paraId="34D1F77A" w14:textId="77777777" w:rsidR="00D11686" w:rsidRPr="00D11686" w:rsidRDefault="00D11686" w:rsidP="006477A8">
            <w:pPr>
              <w:numPr>
                <w:ilvl w:val="0"/>
                <w:numId w:val="10"/>
              </w:numPr>
              <w:rPr>
                <w:rFonts w:eastAsia="Malgun Gothic"/>
                <w:lang w:val="en-GB" w:eastAsia="ko-KR"/>
              </w:rPr>
            </w:pPr>
            <w:r w:rsidRPr="00D11686">
              <w:rPr>
                <w:rFonts w:eastAsia="Malgun Gothic"/>
                <w:lang w:val="en-GB" w:eastAsia="ko-KR"/>
              </w:rPr>
              <w:t>This applies areas where there is no network coverage.</w:t>
            </w:r>
          </w:p>
          <w:p w14:paraId="760FDF54" w14:textId="77777777" w:rsidR="00D11686" w:rsidRPr="00D11686" w:rsidRDefault="00D11686" w:rsidP="00D11686">
            <w:pPr>
              <w:rPr>
                <w:rFonts w:eastAsia="Malgun Gothic"/>
                <w:lang w:val="en-GB" w:eastAsia="ko-KR"/>
              </w:rPr>
            </w:pPr>
            <w:r w:rsidRPr="00D11686">
              <w:rPr>
                <w:rFonts w:eastAsia="Malgun Gothic"/>
                <w:lang w:val="en-GB" w:eastAsia="ko-KR"/>
              </w:rPr>
              <w:t>6. UE Tx and Rx RF requirement for the new features introduced in this WI [RAN4]</w:t>
            </w:r>
          </w:p>
          <w:p w14:paraId="470AAA24" w14:textId="3E634E51" w:rsidR="00796C2C" w:rsidRPr="00DE4628" w:rsidRDefault="00D11686" w:rsidP="00DE4628">
            <w:pPr>
              <w:rPr>
                <w:rFonts w:eastAsia="Malgun Gothic"/>
                <w:lang w:val="en-GB" w:eastAsia="ko-KR"/>
              </w:rPr>
            </w:pPr>
            <w:r w:rsidRPr="00D11686">
              <w:rPr>
                <w:rFonts w:eastAsia="Malgun Gothic"/>
                <w:lang w:val="en-GB" w:eastAsia="ko-KR"/>
              </w:rPr>
              <w:t>7. UE RRM core requirement for the new features introduced in this WI [RAN4]</w:t>
            </w:r>
          </w:p>
        </w:tc>
      </w:tr>
    </w:tbl>
    <w:p w14:paraId="20847B70" w14:textId="77777777" w:rsidR="00ED53AE" w:rsidRDefault="00ED53AE" w:rsidP="00DE1023">
      <w:pPr>
        <w:spacing w:after="120"/>
        <w:jc w:val="both"/>
        <w:rPr>
          <w:lang w:val="en-GB"/>
        </w:rPr>
      </w:pPr>
    </w:p>
    <w:p w14:paraId="15D0784F" w14:textId="03EE9912" w:rsidR="00EB410E" w:rsidRPr="00787EB3" w:rsidRDefault="00D11686" w:rsidP="00DE1023">
      <w:pPr>
        <w:tabs>
          <w:tab w:val="left" w:pos="1327"/>
        </w:tabs>
        <w:jc w:val="both"/>
        <w:rPr>
          <w:lang w:val="en-GB"/>
        </w:rPr>
      </w:pPr>
      <w:r>
        <w:rPr>
          <w:lang w:val="en-GB"/>
        </w:rPr>
        <w:t xml:space="preserve">This contribution focuses on the highlighted objective, i.e. </w:t>
      </w:r>
      <w:r w:rsidR="00AA4D7E">
        <w:rPr>
          <w:lang w:val="en-GB"/>
        </w:rPr>
        <w:t xml:space="preserve">the support of sidelink DRX for unicast, groupcast and broadcast operation. We provide a brief background of Uu DRX </w:t>
      </w:r>
      <w:r w:rsidR="007C4C5C">
        <w:rPr>
          <w:lang w:val="en-GB"/>
        </w:rPr>
        <w:t>mechanism</w:t>
      </w:r>
      <w:r w:rsidR="00962D84">
        <w:rPr>
          <w:lang w:val="en-GB"/>
        </w:rPr>
        <w:t xml:space="preserve">, discuss </w:t>
      </w:r>
      <w:r w:rsidR="003E3AD2">
        <w:rPr>
          <w:lang w:val="en-GB"/>
        </w:rPr>
        <w:t xml:space="preserve">high level details for SL DRX design and </w:t>
      </w:r>
      <w:r w:rsidR="00A46FC2">
        <w:rPr>
          <w:lang w:val="en-GB"/>
        </w:rPr>
        <w:t xml:space="preserve">the </w:t>
      </w:r>
      <w:r w:rsidR="00AF5AD9">
        <w:rPr>
          <w:lang w:val="en-GB"/>
        </w:rPr>
        <w:t xml:space="preserve">exchange of </w:t>
      </w:r>
      <w:r w:rsidR="00A46FC2">
        <w:rPr>
          <w:lang w:val="en-GB"/>
        </w:rPr>
        <w:t>UE configuration and associated procedures to support DRX operation</w:t>
      </w:r>
      <w:r w:rsidR="00AF5AD9">
        <w:rPr>
          <w:lang w:val="en-GB"/>
        </w:rPr>
        <w:t>.</w:t>
      </w:r>
    </w:p>
    <w:bookmarkEnd w:id="1"/>
    <w:p w14:paraId="79A42B9D" w14:textId="54BDEA6B" w:rsidR="00EB410E" w:rsidRDefault="006A59DF" w:rsidP="00DE1023">
      <w:pPr>
        <w:pStyle w:val="Heading1"/>
        <w:numPr>
          <w:ilvl w:val="0"/>
          <w:numId w:val="2"/>
        </w:numPr>
        <w:jc w:val="both"/>
      </w:pPr>
      <w:r>
        <w:t>Discussion</w:t>
      </w:r>
    </w:p>
    <w:p w14:paraId="25FB08BA" w14:textId="638BED21" w:rsidR="00B105D3" w:rsidRPr="00B105D3" w:rsidRDefault="00AF5AD9" w:rsidP="00DE1023">
      <w:pPr>
        <w:pStyle w:val="Heading2"/>
        <w:jc w:val="both"/>
      </w:pPr>
      <w:r>
        <w:t xml:space="preserve">Background information </w:t>
      </w:r>
    </w:p>
    <w:p w14:paraId="72FA7209" w14:textId="706ED8BF" w:rsidR="00C11E08" w:rsidRDefault="00CD51CF" w:rsidP="00C11E08">
      <w:proofErr w:type="gramStart"/>
      <w:r>
        <w:t>A majority of</w:t>
      </w:r>
      <w:proofErr w:type="gramEnd"/>
      <w:r>
        <w:t xml:space="preserve"> use cases for NR Sidelink design in Rel-16 </w:t>
      </w:r>
      <w:r w:rsidR="001F586C">
        <w:t xml:space="preserve">such as platooning and advanced driving do not make any assumptions regarding the power usage </w:t>
      </w:r>
      <w:r w:rsidR="00C11E08">
        <w:t>characteristics</w:t>
      </w:r>
      <w:r w:rsidR="001F586C">
        <w:t xml:space="preserve"> of the UEs involved in SL operation. </w:t>
      </w:r>
      <w:r w:rsidR="00C11E08">
        <w:t>Most of the schemes and mechanisms defined in Rel-16 in order to meet the key set of requirements require the V-UEs to be always listening to transmissions over sidelink</w:t>
      </w:r>
      <w:r w:rsidR="007C4C5C">
        <w:t>,</w:t>
      </w:r>
      <w:r w:rsidR="00C11E08">
        <w:t xml:space="preserve"> if they are interested in a </w:t>
      </w:r>
      <w:proofErr w:type="gramStart"/>
      <w:r w:rsidR="00C11E08">
        <w:t>particular set</w:t>
      </w:r>
      <w:proofErr w:type="gramEnd"/>
      <w:r w:rsidR="00C11E08">
        <w:t xml:space="preserve"> of services. In most cases, this is a reasonable assumption to make because typically, these devices refer to automobiles like cars or trucks on the road or </w:t>
      </w:r>
      <w:proofErr w:type="gramStart"/>
      <w:r w:rsidR="00C11E08">
        <w:t>Road Side</w:t>
      </w:r>
      <w:proofErr w:type="gramEnd"/>
      <w:r w:rsidR="00C11E08">
        <w:t xml:space="preserve"> Units (RSUs) physically connected to the network. Therefore, power saving (and SL capability to some extent) is usually not a pressing concern. </w:t>
      </w:r>
      <w:r w:rsidR="00B1442F">
        <w:t>In contrast, c</w:t>
      </w:r>
      <w:r w:rsidR="004766FA">
        <w:t xml:space="preserve">onsidering </w:t>
      </w:r>
      <w:r w:rsidR="00C11E08">
        <w:t>the use cases</w:t>
      </w:r>
      <w:r w:rsidR="004766FA">
        <w:t xml:space="preserve"> in </w:t>
      </w:r>
      <w:sdt>
        <w:sdtPr>
          <w:id w:val="-1681038933"/>
          <w:citation/>
        </w:sdtPr>
        <w:sdtEndPr/>
        <w:sdtContent>
          <w:r w:rsidR="00DE1383">
            <w:fldChar w:fldCharType="begin"/>
          </w:r>
          <w:r w:rsidR="00DE1383">
            <w:instrText xml:space="preserve"> CITATION SLenhWI \l 1033 </w:instrText>
          </w:r>
          <w:r w:rsidR="00DE1383">
            <w:fldChar w:fldCharType="separate"/>
          </w:r>
          <w:r w:rsidR="00DE1383" w:rsidRPr="00DE1383">
            <w:rPr>
              <w:noProof/>
            </w:rPr>
            <w:t>[1]</w:t>
          </w:r>
          <w:r w:rsidR="00DE1383">
            <w:fldChar w:fldCharType="end"/>
          </w:r>
        </w:sdtContent>
      </w:sdt>
      <w:r w:rsidR="00C11E08">
        <w:t xml:space="preserve">, it </w:t>
      </w:r>
      <w:r w:rsidR="00B227F6">
        <w:t xml:space="preserve">is </w:t>
      </w:r>
      <w:r w:rsidR="00C11E08">
        <w:t xml:space="preserve">evident that the devices in consideration </w:t>
      </w:r>
      <w:r w:rsidR="00E16B75">
        <w:t xml:space="preserve">here </w:t>
      </w:r>
      <w:r w:rsidR="00C11E08">
        <w:t xml:space="preserve">are a far cry from the V-UEs envisioned in Rel-16 SL design. </w:t>
      </w:r>
      <w:r w:rsidR="00A64F4C">
        <w:t xml:space="preserve">The devices in </w:t>
      </w:r>
      <w:r w:rsidR="00E16B75">
        <w:t xml:space="preserve">question </w:t>
      </w:r>
      <w:r w:rsidR="00A64F4C">
        <w:t xml:space="preserve">here are </w:t>
      </w:r>
      <w:r w:rsidR="00BE2F04" w:rsidRPr="00BE2F04">
        <w:t>vulnerable road users (VRUs) in V2X use cases and UEs in public safety and commercial use cases</w:t>
      </w:r>
      <w:r w:rsidR="00E16B75">
        <w:t>,</w:t>
      </w:r>
      <w:r w:rsidR="00BE2F04" w:rsidRPr="00BE2F04">
        <w:t xml:space="preserve"> where power consumption in the UEs needs to be minimized</w:t>
      </w:r>
      <w:r w:rsidR="00C11E08">
        <w:t>.</w:t>
      </w:r>
      <w:r w:rsidR="00D23089">
        <w:t xml:space="preserve"> </w:t>
      </w:r>
    </w:p>
    <w:p w14:paraId="35A144B7" w14:textId="4C1526FF" w:rsidR="007C4C5C" w:rsidRPr="009B3CAE" w:rsidRDefault="007C4C5C" w:rsidP="009B3CA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sidRPr="0085532A">
        <w:rPr>
          <w:rFonts w:eastAsia="Times New Roman"/>
          <w:b/>
          <w:bCs/>
          <w:u w:val="single"/>
          <w:lang w:val="en-GB" w:eastAsia="zh-CN"/>
        </w:rPr>
        <w:t>:</w:t>
      </w:r>
      <w:r w:rsidRPr="0085532A">
        <w:rPr>
          <w:rFonts w:eastAsia="Times New Roman"/>
          <w:b/>
          <w:bCs/>
          <w:lang w:val="en-GB" w:eastAsia="zh-CN"/>
        </w:rPr>
        <w:tab/>
      </w:r>
      <w:r w:rsidR="009B3CAE">
        <w:rPr>
          <w:rFonts w:eastAsia="Times New Roman"/>
          <w:b/>
          <w:bCs/>
          <w:i/>
          <w:lang w:val="en-GB" w:eastAsia="zh-CN"/>
        </w:rPr>
        <w:t>Power saving is the foremost design consideration for t</w:t>
      </w:r>
      <w:r>
        <w:rPr>
          <w:rFonts w:eastAsia="Times New Roman"/>
          <w:b/>
          <w:bCs/>
          <w:i/>
          <w:lang w:val="en-GB" w:eastAsia="zh-CN"/>
        </w:rPr>
        <w:t xml:space="preserve">he target devices </w:t>
      </w:r>
      <w:r w:rsidR="00CC75AD">
        <w:rPr>
          <w:rFonts w:eastAsia="Times New Roman"/>
          <w:b/>
          <w:bCs/>
          <w:i/>
          <w:lang w:val="en-GB" w:eastAsia="zh-CN"/>
        </w:rPr>
        <w:t xml:space="preserve">for Rel-17 SL </w:t>
      </w:r>
      <w:r w:rsidR="009B3CAE">
        <w:rPr>
          <w:rFonts w:eastAsia="Times New Roman"/>
          <w:b/>
          <w:bCs/>
          <w:i/>
          <w:lang w:val="en-GB" w:eastAsia="zh-CN"/>
        </w:rPr>
        <w:t xml:space="preserve">V2X </w:t>
      </w:r>
      <w:r w:rsidR="00CC75AD">
        <w:rPr>
          <w:rFonts w:eastAsia="Times New Roman"/>
          <w:b/>
          <w:bCs/>
          <w:i/>
          <w:lang w:val="en-GB" w:eastAsia="zh-CN"/>
        </w:rPr>
        <w:t>use cases</w:t>
      </w:r>
      <w:r w:rsidRPr="0085532A">
        <w:rPr>
          <w:rFonts w:eastAsia="Times New Roman"/>
          <w:b/>
          <w:bCs/>
          <w:i/>
          <w:lang w:val="en-GB" w:eastAsia="zh-CN"/>
        </w:rPr>
        <w:t>.</w:t>
      </w:r>
    </w:p>
    <w:p w14:paraId="3A88BBDC" w14:textId="2A9BB659" w:rsidR="00362968" w:rsidRDefault="00362968" w:rsidP="00BE2F04">
      <w:pPr>
        <w:pStyle w:val="NormalNumbered"/>
        <w:numPr>
          <w:ilvl w:val="0"/>
          <w:numId w:val="0"/>
        </w:numPr>
        <w:jc w:val="both"/>
      </w:pPr>
    </w:p>
    <w:p w14:paraId="32AF3C7D" w14:textId="00BCCA04" w:rsidR="00362968" w:rsidRDefault="001D4367" w:rsidP="00BE2F04">
      <w:pPr>
        <w:pStyle w:val="NormalNumbered"/>
        <w:numPr>
          <w:ilvl w:val="0"/>
          <w:numId w:val="0"/>
        </w:numPr>
        <w:jc w:val="both"/>
      </w:pPr>
      <w:r>
        <w:t xml:space="preserve">The DRX mechanism has been adopted in cellular standards for quite some time and has evolved considerably over the years. Therefore, we think it is worthwhile to </w:t>
      </w:r>
      <w:r w:rsidR="00756C65">
        <w:t xml:space="preserve">highlight the generalized high level details and UE procedures for Uu DRX before getting into the details for SL DRX design. </w:t>
      </w:r>
      <w:r w:rsidR="00D20491">
        <w:t xml:space="preserve">Specifically, for connected mode DRX, </w:t>
      </w:r>
      <w:r w:rsidR="00F112B8">
        <w:t xml:space="preserve">when the UE is configured with DRX, it does not have to </w:t>
      </w:r>
      <w:r w:rsidR="00F15446">
        <w:t xml:space="preserve">monitor the PDCCH for </w:t>
      </w:r>
      <w:r w:rsidR="00385BF8">
        <w:t xml:space="preserve">incoming </w:t>
      </w:r>
      <w:r w:rsidR="00F15446">
        <w:t>DCI</w:t>
      </w:r>
      <w:r w:rsidR="005B4023">
        <w:t xml:space="preserve"> and can go into sleep at scheduled </w:t>
      </w:r>
      <w:r w:rsidR="009B3CAE">
        <w:t>intervals</w:t>
      </w:r>
      <w:r w:rsidR="005B4023">
        <w:t xml:space="preserve">. </w:t>
      </w:r>
      <w:r w:rsidR="00DA1C8A">
        <w:t>A</w:t>
      </w:r>
      <w:r w:rsidR="005B4023">
        <w:t xml:space="preserve"> DRX </w:t>
      </w:r>
      <w:r w:rsidR="00DA1C8A">
        <w:t xml:space="preserve">cycle is composed of </w:t>
      </w:r>
      <w:r w:rsidR="00DC2484">
        <w:t xml:space="preserve">an on-duration, which is characterized by </w:t>
      </w:r>
      <w:r w:rsidR="0059585D">
        <w:t xml:space="preserve">the inactivity timer, retransmission-timers, the cycle duration (long and short DRX) and </w:t>
      </w:r>
      <w:r w:rsidR="00715060">
        <w:t xml:space="preserve">can be generally represented as in </w:t>
      </w:r>
      <w:sdt>
        <w:sdtPr>
          <w:id w:val="1022362608"/>
          <w:citation/>
        </w:sdtPr>
        <w:sdtEndPr/>
        <w:sdtContent>
          <w:r w:rsidR="00DE1383">
            <w:fldChar w:fldCharType="begin"/>
          </w:r>
          <w:r w:rsidR="00DE1383">
            <w:instrText xml:space="preserve"> CITATION TS38300 \l 1033 </w:instrText>
          </w:r>
          <w:r w:rsidR="00DE1383">
            <w:fldChar w:fldCharType="separate"/>
          </w:r>
          <w:r w:rsidR="00DE1383" w:rsidRPr="00DE1383">
            <w:rPr>
              <w:noProof/>
            </w:rPr>
            <w:t>[2]</w:t>
          </w:r>
          <w:r w:rsidR="00DE1383">
            <w:fldChar w:fldCharType="end"/>
          </w:r>
        </w:sdtContent>
      </w:sdt>
      <w:r w:rsidR="00715060">
        <w:t>:</w:t>
      </w:r>
    </w:p>
    <w:p w14:paraId="28521358" w14:textId="6FBCE6C4" w:rsidR="00715060" w:rsidRDefault="00715060" w:rsidP="00BE2F04">
      <w:pPr>
        <w:pStyle w:val="NormalNumbered"/>
        <w:numPr>
          <w:ilvl w:val="0"/>
          <w:numId w:val="0"/>
        </w:numPr>
        <w:jc w:val="both"/>
      </w:pPr>
    </w:p>
    <w:p w14:paraId="65BBD05F" w14:textId="77777777" w:rsidR="008974A7" w:rsidRDefault="00643E7F" w:rsidP="008974A7">
      <w:pPr>
        <w:pStyle w:val="NormalNumbered"/>
        <w:keepNext/>
        <w:numPr>
          <w:ilvl w:val="0"/>
          <w:numId w:val="0"/>
        </w:numPr>
        <w:jc w:val="both"/>
      </w:pPr>
      <w:r>
        <w:object w:dxaOrig="7591" w:dyaOrig="2131" w14:anchorId="790BE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07pt" o:ole="">
            <v:imagedata r:id="rId11" o:title=""/>
          </v:shape>
          <o:OLEObject Type="Embed" ProgID="Visio.Drawing.15" ShapeID="_x0000_i1025" DrawAspect="Content" ObjectID="_1664899086" r:id="rId12"/>
        </w:object>
      </w:r>
    </w:p>
    <w:p w14:paraId="3CEDD834" w14:textId="0B03816E" w:rsidR="00715060" w:rsidRDefault="008974A7" w:rsidP="008974A7">
      <w:pPr>
        <w:pStyle w:val="Caption"/>
        <w:jc w:val="center"/>
      </w:pPr>
      <w:r>
        <w:t xml:space="preserve">Figure </w:t>
      </w:r>
      <w:r w:rsidR="00487D9B">
        <w:fldChar w:fldCharType="begin"/>
      </w:r>
      <w:r w:rsidR="00487D9B">
        <w:instrText xml:space="preserve"> SEQ Figure \* ARABIC </w:instrText>
      </w:r>
      <w:r w:rsidR="00487D9B">
        <w:fldChar w:fldCharType="separate"/>
      </w:r>
      <w:r>
        <w:rPr>
          <w:noProof/>
        </w:rPr>
        <w:t>1</w:t>
      </w:r>
      <w:r w:rsidR="00487D9B">
        <w:rPr>
          <w:noProof/>
        </w:rPr>
        <w:fldChar w:fldCharType="end"/>
      </w:r>
      <w:r>
        <w:t xml:space="preserve"> Sample</w:t>
      </w:r>
      <w:r>
        <w:rPr>
          <w:noProof/>
        </w:rPr>
        <w:t xml:space="preserve"> DRX cycle for Uu</w:t>
      </w:r>
    </w:p>
    <w:p w14:paraId="1419CB3A" w14:textId="66FCA433" w:rsidR="00362968" w:rsidRDefault="00362968" w:rsidP="00BE2F04">
      <w:pPr>
        <w:pStyle w:val="NormalNumbered"/>
        <w:numPr>
          <w:ilvl w:val="0"/>
          <w:numId w:val="0"/>
        </w:numPr>
        <w:jc w:val="both"/>
      </w:pPr>
    </w:p>
    <w:p w14:paraId="6FFFAB42" w14:textId="3D6933B6" w:rsidR="00A85A66" w:rsidRDefault="00643E7F" w:rsidP="00BE2F04">
      <w:pPr>
        <w:pStyle w:val="NormalNumbered"/>
        <w:numPr>
          <w:ilvl w:val="0"/>
          <w:numId w:val="0"/>
        </w:numPr>
        <w:jc w:val="both"/>
      </w:pPr>
      <w:r>
        <w:t>T</w:t>
      </w:r>
      <w:r w:rsidR="002A1B1B">
        <w:t xml:space="preserve">he network can configure the necessary parameters to the UE via RRC signaling, such that both the UE and the gNB </w:t>
      </w:r>
      <w:proofErr w:type="gramStart"/>
      <w:r w:rsidR="002A1B1B">
        <w:t>are in agreement</w:t>
      </w:r>
      <w:proofErr w:type="gramEnd"/>
      <w:r w:rsidR="002A1B1B">
        <w:t xml:space="preserve"> </w:t>
      </w:r>
      <w:r w:rsidR="00125F07">
        <w:t>as to when the UE is not expected to receive any DCI over PDCCH</w:t>
      </w:r>
      <w:r w:rsidR="003A18F7">
        <w:t xml:space="preserve">. This allows for </w:t>
      </w:r>
      <w:r w:rsidR="00A85A66">
        <w:t xml:space="preserve">power </w:t>
      </w:r>
      <w:r w:rsidR="003A18F7">
        <w:t xml:space="preserve">efficient operation </w:t>
      </w:r>
      <w:r w:rsidR="00A85A66">
        <w:t>at the UE and can serve as the basis for SL DRX design foundation as well.</w:t>
      </w:r>
    </w:p>
    <w:p w14:paraId="2A875537" w14:textId="18CE1BC9" w:rsidR="00D279B2" w:rsidRPr="00532719" w:rsidRDefault="008974A7" w:rsidP="0053271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w:t>
      </w:r>
      <w:r w:rsidR="00532719">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sidRPr="008974A7">
        <w:rPr>
          <w:rFonts w:eastAsia="Times New Roman"/>
          <w:b/>
          <w:bCs/>
          <w:i/>
          <w:lang w:val="en-GB" w:eastAsia="zh-CN"/>
        </w:rPr>
        <w:t>Uu DRX cycle relies on NW configuration of DRX parameters to allow the UE to go into DRX sleep rather than monitor PDCCH continuously, allowing for power efficient operation</w:t>
      </w:r>
      <w:r w:rsidRPr="0085532A">
        <w:rPr>
          <w:rFonts w:eastAsia="Times New Roman"/>
          <w:b/>
          <w:bCs/>
          <w:i/>
          <w:lang w:val="en-GB" w:eastAsia="zh-CN"/>
        </w:rPr>
        <w:t>.</w:t>
      </w:r>
    </w:p>
    <w:p w14:paraId="6ADFBD8C" w14:textId="77777777" w:rsidR="008974A7" w:rsidRDefault="008974A7" w:rsidP="00BE2F04">
      <w:pPr>
        <w:pStyle w:val="NormalNumbered"/>
        <w:numPr>
          <w:ilvl w:val="0"/>
          <w:numId w:val="0"/>
        </w:numPr>
        <w:jc w:val="both"/>
      </w:pPr>
    </w:p>
    <w:p w14:paraId="49850184" w14:textId="34D2507F" w:rsidR="00D279B2" w:rsidRDefault="00D279B2" w:rsidP="00BE2F04">
      <w:pPr>
        <w:pStyle w:val="NormalNumbered"/>
        <w:numPr>
          <w:ilvl w:val="0"/>
          <w:numId w:val="0"/>
        </w:numPr>
        <w:jc w:val="both"/>
      </w:pPr>
      <w:r>
        <w:t xml:space="preserve">In general, </w:t>
      </w:r>
      <w:r w:rsidR="008974A7">
        <w:t xml:space="preserve">when considering sidelink DRX operation, </w:t>
      </w:r>
      <w:r>
        <w:t xml:space="preserve">the </w:t>
      </w:r>
      <w:r w:rsidR="005E163C">
        <w:t xml:space="preserve">following set of sidelink </w:t>
      </w:r>
      <w:r w:rsidR="00ED6868">
        <w:t>DRX related parameters can be configured to the UE in order to perform SL DRX operation:</w:t>
      </w:r>
    </w:p>
    <w:p w14:paraId="175D98B1" w14:textId="75BFB86E" w:rsidR="00ED6868" w:rsidRDefault="00ED6868" w:rsidP="00BE2F04">
      <w:pPr>
        <w:pStyle w:val="NormalNumbered"/>
        <w:numPr>
          <w:ilvl w:val="0"/>
          <w:numId w:val="0"/>
        </w:numPr>
        <w:jc w:val="both"/>
      </w:pPr>
    </w:p>
    <w:p w14:paraId="57135BF4" w14:textId="024D70DE" w:rsidR="00C620FD" w:rsidRPr="00C620FD" w:rsidRDefault="00C620FD" w:rsidP="00C620FD">
      <w:pPr>
        <w:pStyle w:val="NormalNumbered"/>
        <w:numPr>
          <w:ilvl w:val="0"/>
          <w:numId w:val="10"/>
        </w:numPr>
        <w:jc w:val="both"/>
        <w:rPr>
          <w:b/>
          <w:bCs/>
        </w:rPr>
      </w:pPr>
      <w:r w:rsidRPr="00C620FD">
        <w:rPr>
          <w:b/>
          <w:bCs/>
        </w:rPr>
        <w:t>SL-</w:t>
      </w:r>
      <w:proofErr w:type="spellStart"/>
      <w:r w:rsidRPr="00C620FD">
        <w:rPr>
          <w:b/>
          <w:bCs/>
        </w:rPr>
        <w:t>OnDurationTimer</w:t>
      </w:r>
      <w:proofErr w:type="spellEnd"/>
      <w:r w:rsidRPr="00C620FD">
        <w:rPr>
          <w:b/>
          <w:bCs/>
        </w:rPr>
        <w:t>:</w:t>
      </w:r>
      <w:r>
        <w:rPr>
          <w:b/>
          <w:bCs/>
        </w:rPr>
        <w:t xml:space="preserve"> </w:t>
      </w:r>
      <w:r w:rsidRPr="00C620FD">
        <w:t>The duration that the UE waits for, after waking up, to monitor PSCCH (sidelink control channel). If the UE successfully decodes a PSCCH, decodes the SCI (Sidelink Control Information) (and determines that it is interested in receiving the corresponding transmission over PSSCH), the UE stays awake and starts the inactivity timer</w:t>
      </w:r>
      <w:r>
        <w:t>.</w:t>
      </w:r>
    </w:p>
    <w:p w14:paraId="36DD29EA" w14:textId="1F8C456B" w:rsidR="00C620FD" w:rsidRPr="004A4C7A" w:rsidRDefault="00C620FD" w:rsidP="004A4C7A">
      <w:pPr>
        <w:pStyle w:val="NormalNumbered"/>
        <w:numPr>
          <w:ilvl w:val="0"/>
          <w:numId w:val="10"/>
        </w:numPr>
        <w:jc w:val="both"/>
      </w:pPr>
      <w:r w:rsidRPr="004A4C7A">
        <w:rPr>
          <w:b/>
          <w:bCs/>
        </w:rPr>
        <w:t>SL-</w:t>
      </w:r>
      <w:proofErr w:type="spellStart"/>
      <w:r w:rsidRPr="004A4C7A">
        <w:rPr>
          <w:b/>
          <w:bCs/>
        </w:rPr>
        <w:t>InactivityTimer</w:t>
      </w:r>
      <w:proofErr w:type="spellEnd"/>
      <w:r w:rsidRPr="004A4C7A">
        <w:rPr>
          <w:b/>
          <w:bCs/>
        </w:rPr>
        <w:t>:</w:t>
      </w:r>
      <w:r w:rsidR="004A4C7A" w:rsidRPr="004A4C7A">
        <w:rPr>
          <w:b/>
          <w:bCs/>
        </w:rPr>
        <w:t xml:space="preserve"> </w:t>
      </w:r>
      <w:r w:rsidR="004A4C7A" w:rsidRPr="004A4C7A">
        <w:t>The duration that the UE waits to successfully decode a PSCCH, from the last successful decoding of PSCCH, failing which it can go back to sleep. The UE restarts the inactivity timer following a single successful decoding of a PSCCH (and determining to decode the PSSCH based on the SCI). This can be applicable for</w:t>
      </w:r>
      <w:r w:rsidR="004A4C7A">
        <w:t xml:space="preserve"> e</w:t>
      </w:r>
      <w:r w:rsidR="004A4C7A" w:rsidRPr="004A4C7A">
        <w:t xml:space="preserve">ither just the first/initial transmission only </w:t>
      </w:r>
      <w:r w:rsidR="004A4C7A">
        <w:t>o</w:t>
      </w:r>
      <w:r w:rsidR="004A4C7A" w:rsidRPr="004A4C7A">
        <w:t>r for both first transmission and any subsequent retransmissions</w:t>
      </w:r>
      <w:r w:rsidR="00DB1231">
        <w:t>.</w:t>
      </w:r>
    </w:p>
    <w:p w14:paraId="6A9B2A61" w14:textId="2D57BF4F" w:rsidR="00C620FD" w:rsidRPr="00C620FD" w:rsidRDefault="00C620FD" w:rsidP="00C620FD">
      <w:pPr>
        <w:pStyle w:val="NormalNumbered"/>
        <w:numPr>
          <w:ilvl w:val="0"/>
          <w:numId w:val="10"/>
        </w:numPr>
        <w:jc w:val="both"/>
        <w:rPr>
          <w:b/>
          <w:bCs/>
        </w:rPr>
      </w:pPr>
      <w:r w:rsidRPr="00C620FD">
        <w:rPr>
          <w:b/>
          <w:bCs/>
        </w:rPr>
        <w:t>SL-HARQ-RTT-TIMER:</w:t>
      </w:r>
      <w:r w:rsidR="00DB1231">
        <w:rPr>
          <w:b/>
          <w:bCs/>
        </w:rPr>
        <w:t xml:space="preserve"> </w:t>
      </w:r>
      <w:r w:rsidR="00DB1231" w:rsidRPr="00DB1231">
        <w:t>The timer to account for HARQ RTT duration for the SL HARQ process (</w:t>
      </w:r>
      <w:proofErr w:type="gramStart"/>
      <w:r w:rsidR="00DB1231" w:rsidRPr="00DB1231">
        <w:t>similar to</w:t>
      </w:r>
      <w:proofErr w:type="gramEnd"/>
      <w:r w:rsidR="00DB1231" w:rsidRPr="00DB1231">
        <w:t xml:space="preserve"> the UL/DL case), if HARQ feedback is configured</w:t>
      </w:r>
    </w:p>
    <w:p w14:paraId="5DB5B3C3" w14:textId="3C381C97" w:rsidR="00C620FD" w:rsidRPr="00C620FD" w:rsidRDefault="00C620FD" w:rsidP="00C620FD">
      <w:pPr>
        <w:pStyle w:val="NormalNumbered"/>
        <w:numPr>
          <w:ilvl w:val="0"/>
          <w:numId w:val="10"/>
        </w:numPr>
        <w:jc w:val="both"/>
        <w:rPr>
          <w:b/>
          <w:bCs/>
        </w:rPr>
      </w:pPr>
      <w:r w:rsidRPr="00C620FD">
        <w:rPr>
          <w:b/>
          <w:bCs/>
        </w:rPr>
        <w:t>SL-RETRANSMISSION-TIMER-SL:</w:t>
      </w:r>
      <w:r w:rsidR="00DB1231">
        <w:rPr>
          <w:b/>
          <w:bCs/>
        </w:rPr>
        <w:t xml:space="preserve"> </w:t>
      </w:r>
      <w:r w:rsidR="00DB1231" w:rsidRPr="00DB1231">
        <w:t>The maximum duration in slots until a retransmission is expected to be sent/received over PSSCH, if HARQ retransmissions are configured</w:t>
      </w:r>
    </w:p>
    <w:p w14:paraId="1EBE2898" w14:textId="127015A4" w:rsidR="00C620FD" w:rsidRPr="00C620FD" w:rsidRDefault="00C620FD" w:rsidP="00C620FD">
      <w:pPr>
        <w:pStyle w:val="NormalNumbered"/>
        <w:numPr>
          <w:ilvl w:val="0"/>
          <w:numId w:val="10"/>
        </w:numPr>
        <w:jc w:val="both"/>
        <w:rPr>
          <w:b/>
          <w:bCs/>
        </w:rPr>
      </w:pPr>
      <w:r w:rsidRPr="00C620FD">
        <w:rPr>
          <w:b/>
          <w:bCs/>
        </w:rPr>
        <w:t>SL-DRX-CYCLE (and START OFFSET):</w:t>
      </w:r>
      <w:r w:rsidR="00DB1231">
        <w:rPr>
          <w:b/>
          <w:bCs/>
        </w:rPr>
        <w:t xml:space="preserve"> </w:t>
      </w:r>
      <w:r w:rsidR="00DB1231">
        <w:t>To s</w:t>
      </w:r>
      <w:r w:rsidR="00DB1231" w:rsidRPr="00DB1231">
        <w:t>pecif</w:t>
      </w:r>
      <w:r w:rsidR="00DB1231">
        <w:t>y</w:t>
      </w:r>
      <w:r w:rsidR="00DB1231" w:rsidRPr="00DB1231">
        <w:t xml:space="preserve"> the start offset and periodic repetition of the on-duration followed by a possible period of inactivity, i.e. the entire DRX cycle duration and offset. Both short and long DRX cycles can be considered</w:t>
      </w:r>
      <w:r w:rsidR="007274A2">
        <w:t xml:space="preserve"> for SL</w:t>
      </w:r>
      <w:r w:rsidR="00DB1231" w:rsidRPr="00DB1231">
        <w:t>.</w:t>
      </w:r>
    </w:p>
    <w:p w14:paraId="324C0941" w14:textId="5DADD396" w:rsidR="00C620FD" w:rsidRDefault="00C620FD" w:rsidP="00C620FD">
      <w:pPr>
        <w:pStyle w:val="NormalNumbered"/>
        <w:numPr>
          <w:ilvl w:val="0"/>
          <w:numId w:val="0"/>
        </w:numPr>
        <w:jc w:val="both"/>
        <w:rPr>
          <w:b/>
          <w:bCs/>
        </w:rPr>
      </w:pPr>
    </w:p>
    <w:p w14:paraId="246E3BCE" w14:textId="720BD79F" w:rsidR="00C620FD" w:rsidRPr="007274A2" w:rsidRDefault="007274A2" w:rsidP="007274A2">
      <w:r>
        <w:t xml:space="preserve">Similarly, the following can be determined by the UE based on the above configuration, </w:t>
      </w:r>
      <w:proofErr w:type="gramStart"/>
      <w:r>
        <w:t>similar to</w:t>
      </w:r>
      <w:proofErr w:type="gramEnd"/>
      <w:r>
        <w:t xml:space="preserve"> Uu case:</w:t>
      </w:r>
    </w:p>
    <w:p w14:paraId="00280027" w14:textId="14461FFD" w:rsidR="00C620FD" w:rsidRPr="00DC2C60" w:rsidRDefault="00C620FD" w:rsidP="00DC2C60">
      <w:pPr>
        <w:pStyle w:val="ListParagraph"/>
        <w:numPr>
          <w:ilvl w:val="0"/>
          <w:numId w:val="10"/>
        </w:numPr>
        <w:rPr>
          <w:rFonts w:ascii="Times New Roman" w:hAnsi="Times New Roman" w:cs="Times New Roman"/>
          <w:b/>
          <w:bCs/>
          <w:sz w:val="20"/>
          <w:szCs w:val="20"/>
        </w:rPr>
      </w:pPr>
      <w:r w:rsidRPr="00C22337">
        <w:rPr>
          <w:rFonts w:ascii="Times New Roman" w:hAnsi="Times New Roman" w:cs="Times New Roman"/>
          <w:b/>
          <w:bCs/>
          <w:sz w:val="20"/>
          <w:szCs w:val="20"/>
        </w:rPr>
        <w:t>SL-ACTIVE-TIME:</w:t>
      </w:r>
      <w:r w:rsidR="00DC2C60" w:rsidRPr="00C22337">
        <w:rPr>
          <w:b/>
          <w:bCs/>
          <w:sz w:val="20"/>
          <w:szCs w:val="20"/>
        </w:rPr>
        <w:t xml:space="preserve"> </w:t>
      </w:r>
      <w:r w:rsidR="00DC2C60" w:rsidRPr="00DC2C60">
        <w:rPr>
          <w:rFonts w:ascii="Times New Roman" w:hAnsi="Times New Roman" w:cs="Times New Roman"/>
          <w:sz w:val="20"/>
          <w:szCs w:val="20"/>
        </w:rPr>
        <w:t>The time duration that the UE is expected to continuously monitor PSCCH. This includes the "on-duration" of the DRX cycle, the time UE is performing continuous reception while the inactivity timer has not expired, and the time when the UE is performing continuous reception while waiting for a retransmission to be sent/received.</w:t>
      </w:r>
    </w:p>
    <w:p w14:paraId="25053CD9" w14:textId="7F16C0D8" w:rsidR="00C620FD" w:rsidRPr="00C620FD" w:rsidRDefault="00C620FD" w:rsidP="00C620FD">
      <w:pPr>
        <w:pStyle w:val="NormalNumbered"/>
        <w:numPr>
          <w:ilvl w:val="0"/>
          <w:numId w:val="10"/>
        </w:numPr>
        <w:jc w:val="both"/>
        <w:rPr>
          <w:b/>
          <w:bCs/>
        </w:rPr>
      </w:pPr>
      <w:r w:rsidRPr="00C620FD">
        <w:rPr>
          <w:b/>
          <w:bCs/>
        </w:rPr>
        <w:t>SL- INACTIVE TIME:</w:t>
      </w:r>
      <w:r w:rsidR="00C22337">
        <w:rPr>
          <w:b/>
          <w:bCs/>
        </w:rPr>
        <w:t xml:space="preserve"> </w:t>
      </w:r>
      <w:r w:rsidR="00C22337" w:rsidRPr="00C22337">
        <w:t>The time duration that the UE can skip monitoring PSCCH and turn off the radio. Effectively the complement of the active-time.</w:t>
      </w:r>
    </w:p>
    <w:p w14:paraId="5E288425" w14:textId="77777777" w:rsidR="00C620FD" w:rsidRDefault="00C620FD" w:rsidP="00BE2F04">
      <w:pPr>
        <w:pStyle w:val="NormalNumbered"/>
        <w:numPr>
          <w:ilvl w:val="0"/>
          <w:numId w:val="0"/>
        </w:numPr>
        <w:jc w:val="both"/>
      </w:pPr>
    </w:p>
    <w:p w14:paraId="32C24E7B" w14:textId="40EEC95B" w:rsidR="00C22337" w:rsidRDefault="009A4119" w:rsidP="00C2233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Proposal1a</w:t>
      </w:r>
      <w:r w:rsidR="00C22337" w:rsidRPr="0085532A">
        <w:rPr>
          <w:rFonts w:eastAsia="Times New Roman"/>
          <w:b/>
          <w:bCs/>
          <w:u w:val="single"/>
          <w:lang w:val="en-GB" w:eastAsia="zh-CN"/>
        </w:rPr>
        <w:t>:</w:t>
      </w:r>
      <w:r w:rsidR="00C22337" w:rsidRPr="0085532A">
        <w:rPr>
          <w:rFonts w:eastAsia="Times New Roman"/>
          <w:b/>
          <w:bCs/>
          <w:lang w:val="en-GB" w:eastAsia="zh-CN"/>
        </w:rPr>
        <w:tab/>
      </w:r>
      <w:r w:rsidR="00C22337">
        <w:rPr>
          <w:rFonts w:eastAsia="Times New Roman"/>
          <w:b/>
          <w:bCs/>
          <w:i/>
          <w:lang w:val="en-GB" w:eastAsia="zh-CN"/>
        </w:rPr>
        <w:t>RAN2 is proposed to use Uu DRX as a baseline for SL DRX design</w:t>
      </w:r>
      <w:r w:rsidR="00C22337" w:rsidRPr="0085532A">
        <w:rPr>
          <w:rFonts w:eastAsia="Times New Roman"/>
          <w:b/>
          <w:bCs/>
          <w:i/>
          <w:lang w:val="en-GB" w:eastAsia="zh-CN"/>
        </w:rPr>
        <w:t>.</w:t>
      </w:r>
    </w:p>
    <w:p w14:paraId="3DA11904" w14:textId="4FDC6B52" w:rsidR="00DC3EE6" w:rsidRPr="009A4119" w:rsidRDefault="009A4119" w:rsidP="009A411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Proposal1b</w:t>
      </w:r>
      <w:r w:rsidR="006A61BA" w:rsidRPr="0085532A">
        <w:rPr>
          <w:rFonts w:eastAsia="Times New Roman"/>
          <w:b/>
          <w:bCs/>
          <w:u w:val="single"/>
          <w:lang w:val="en-GB" w:eastAsia="zh-CN"/>
        </w:rPr>
        <w:t>:</w:t>
      </w:r>
      <w:r w:rsidR="006A61BA" w:rsidRPr="0085532A">
        <w:rPr>
          <w:rFonts w:eastAsia="Times New Roman"/>
          <w:b/>
          <w:bCs/>
          <w:lang w:val="en-GB" w:eastAsia="zh-CN"/>
        </w:rPr>
        <w:tab/>
      </w:r>
      <w:r w:rsidR="006A61BA">
        <w:rPr>
          <w:rFonts w:eastAsia="Times New Roman"/>
          <w:b/>
          <w:bCs/>
          <w:i/>
          <w:lang w:val="en-GB" w:eastAsia="zh-CN"/>
        </w:rPr>
        <w:t xml:space="preserve">At least </w:t>
      </w:r>
      <w:r w:rsidR="00DD3893">
        <w:rPr>
          <w:rFonts w:eastAsia="Times New Roman"/>
          <w:b/>
          <w:bCs/>
          <w:i/>
          <w:lang w:val="en-GB" w:eastAsia="zh-CN"/>
        </w:rPr>
        <w:t xml:space="preserve">the on-duration timer, inactivity timer and DRX cycle duration and offset can be </w:t>
      </w:r>
      <w:r w:rsidR="00532719">
        <w:rPr>
          <w:rFonts w:eastAsia="Times New Roman"/>
          <w:b/>
          <w:bCs/>
          <w:i/>
          <w:lang w:val="en-GB" w:eastAsia="zh-CN"/>
        </w:rPr>
        <w:t>configured</w:t>
      </w:r>
      <w:r>
        <w:rPr>
          <w:rFonts w:eastAsia="Times New Roman"/>
          <w:b/>
          <w:bCs/>
          <w:i/>
          <w:lang w:val="en-GB" w:eastAsia="zh-CN"/>
        </w:rPr>
        <w:t xml:space="preserve"> </w:t>
      </w:r>
      <w:r w:rsidR="00985502">
        <w:rPr>
          <w:rFonts w:eastAsia="Times New Roman"/>
          <w:b/>
          <w:bCs/>
          <w:i/>
          <w:lang w:val="en-GB" w:eastAsia="zh-CN"/>
        </w:rPr>
        <w:t xml:space="preserve">to the UE </w:t>
      </w:r>
      <w:r>
        <w:rPr>
          <w:rFonts w:eastAsia="Times New Roman"/>
          <w:b/>
          <w:bCs/>
          <w:i/>
          <w:lang w:val="en-GB" w:eastAsia="zh-CN"/>
        </w:rPr>
        <w:t>for SL DRX via RRC.</w:t>
      </w:r>
      <w:r w:rsidR="009F285D">
        <w:rPr>
          <w:rFonts w:eastAsia="Times New Roman"/>
          <w:b/>
          <w:bCs/>
          <w:i/>
          <w:lang w:val="en-GB" w:eastAsia="zh-CN"/>
        </w:rPr>
        <w:t xml:space="preserve"> Any additional enhancements compared to Uu design </w:t>
      </w:r>
      <w:r w:rsidR="002026B9">
        <w:rPr>
          <w:rFonts w:eastAsia="Times New Roman"/>
          <w:b/>
          <w:bCs/>
          <w:i/>
          <w:lang w:val="en-GB" w:eastAsia="zh-CN"/>
        </w:rPr>
        <w:t>can be FFS.</w:t>
      </w:r>
    </w:p>
    <w:p w14:paraId="656954A9" w14:textId="77777777" w:rsidR="00DC3EE6" w:rsidRDefault="00DC3EE6" w:rsidP="001A25D3">
      <w:pPr>
        <w:pStyle w:val="NormalNumbered"/>
        <w:numPr>
          <w:ilvl w:val="0"/>
          <w:numId w:val="0"/>
        </w:numPr>
        <w:ind w:left="360" w:hanging="360"/>
        <w:jc w:val="both"/>
        <w:rPr>
          <w:b/>
          <w:bCs/>
          <w:i/>
          <w:iCs/>
        </w:rPr>
      </w:pPr>
    </w:p>
    <w:p w14:paraId="1F4EE1C1" w14:textId="61D3914C" w:rsidR="00DC0700" w:rsidRPr="00B105D3" w:rsidRDefault="00DC3EE6" w:rsidP="00DC0700">
      <w:pPr>
        <w:pStyle w:val="Heading2"/>
        <w:jc w:val="both"/>
      </w:pPr>
      <w:r>
        <w:t>Consideration of SL specific aspects</w:t>
      </w:r>
    </w:p>
    <w:p w14:paraId="54A440FE" w14:textId="3AC01F77" w:rsidR="006D6F58" w:rsidRDefault="006D6F58" w:rsidP="006D6F58">
      <w:r>
        <w:t>While it seems straightforward to simply extend the same functionality</w:t>
      </w:r>
      <w:r w:rsidR="00554E09">
        <w:t xml:space="preserve"> of Uu DRX</w:t>
      </w:r>
      <w:r>
        <w:t xml:space="preserve"> to sidelink as well, there are </w:t>
      </w:r>
      <w:proofErr w:type="gramStart"/>
      <w:r>
        <w:t>a number of</w:t>
      </w:r>
      <w:proofErr w:type="gramEnd"/>
      <w:r>
        <w:t xml:space="preserve"> different aspects to consider</w:t>
      </w:r>
      <w:r w:rsidR="009A4119">
        <w:t xml:space="preserve"> which are discussed in detail below</w:t>
      </w:r>
      <w:r>
        <w:t>:</w:t>
      </w:r>
    </w:p>
    <w:p w14:paraId="7D6DE9EA" w14:textId="49576654" w:rsidR="005D11B0" w:rsidRDefault="005D11B0" w:rsidP="005D11B0">
      <w:pPr>
        <w:pStyle w:val="Heading3"/>
      </w:pPr>
      <w:r>
        <w:t>Provision of SL DRX configuration</w:t>
      </w:r>
    </w:p>
    <w:p w14:paraId="661AE209" w14:textId="77777777" w:rsidR="00D43B3B" w:rsidRDefault="00D43B3B" w:rsidP="00D43B3B">
      <w:r>
        <w:t>While Uu has a well-defined concept of directionality, i.e. UL and DL and a “primary-secondary” like architecture, it is not so clear when it comes to sidelink. For instance, considering unicast mode of operation, a UE can act as both the initiating and the recipient UE when it comes to providing AS layer configuration to the peer UE (as well as data transmission). For groupcast and broadcast, the situation is also different since there is no well-defined notion of a primary node at the AS layer.</w:t>
      </w:r>
    </w:p>
    <w:p w14:paraId="305E61DD" w14:textId="601B50D9" w:rsidR="00D43B3B" w:rsidRDefault="00D43B3B" w:rsidP="00D43B3B">
      <w:pPr>
        <w:pStyle w:val="NormalNumbered"/>
        <w:numPr>
          <w:ilvl w:val="0"/>
          <w:numId w:val="0"/>
        </w:numPr>
        <w:jc w:val="both"/>
      </w:pPr>
      <w:r>
        <w:t xml:space="preserve">For the first aspect, </w:t>
      </w:r>
      <w:r w:rsidR="009A4119">
        <w:t>we need to discuss</w:t>
      </w:r>
      <w:r>
        <w:t xml:space="preserve"> how the necessary SL DRX related parameters are configured to the UE</w:t>
      </w:r>
      <w:r w:rsidR="009A4119">
        <w:t xml:space="preserve"> for the different cast types</w:t>
      </w:r>
      <w:r>
        <w:t>. Specifically:</w:t>
      </w:r>
    </w:p>
    <w:p w14:paraId="2FDD3906" w14:textId="68AC1F88" w:rsidR="00D43B3B" w:rsidRDefault="00D43B3B" w:rsidP="006477A8">
      <w:pPr>
        <w:pStyle w:val="NormalNumbered"/>
        <w:numPr>
          <w:ilvl w:val="0"/>
          <w:numId w:val="10"/>
        </w:numPr>
        <w:jc w:val="both"/>
      </w:pPr>
      <w:r>
        <w:t xml:space="preserve">In case of unicast operation, the peer UEs can exchange relevant AS configuration via the PC5 RRC reconfiguration procedure and SL DRX can naturally be included within this configuration exchange. This allows for the two UEs to be aligned in terms of the DRX cycle, offset and other timer durations, etc. </w:t>
      </w:r>
      <w:r w:rsidR="0050698A">
        <w:t>Alternatively</w:t>
      </w:r>
      <w:r w:rsidR="00BB1E47">
        <w:t xml:space="preserve">, the UE can </w:t>
      </w:r>
      <w:r w:rsidR="00D54130">
        <w:t xml:space="preserve">look at the resource reservation interval indicated in the SCI </w:t>
      </w:r>
      <w:r w:rsidR="0050698A">
        <w:t xml:space="preserve">by the peer UE </w:t>
      </w:r>
      <w:r w:rsidR="00D54130">
        <w:t xml:space="preserve">and determine the corresponding DRX cycle configuration </w:t>
      </w:r>
      <w:r w:rsidR="0050698A">
        <w:t xml:space="preserve">accordingly without the need for explicitly </w:t>
      </w:r>
      <w:r w:rsidR="00061301">
        <w:t>exchanging the DRX configuration</w:t>
      </w:r>
      <w:r w:rsidR="0050698A">
        <w:t xml:space="preserve">. </w:t>
      </w:r>
    </w:p>
    <w:p w14:paraId="54E15792" w14:textId="18934535" w:rsidR="00D43B3B" w:rsidRDefault="00D43B3B" w:rsidP="006477A8">
      <w:pPr>
        <w:pStyle w:val="NormalNumbered"/>
        <w:numPr>
          <w:ilvl w:val="0"/>
          <w:numId w:val="10"/>
        </w:numPr>
        <w:jc w:val="both"/>
      </w:pPr>
      <w:r>
        <w:t xml:space="preserve">For groupcast operation, </w:t>
      </w:r>
      <w:r w:rsidRPr="00E1512F">
        <w:t xml:space="preserve">Rel-16 </w:t>
      </w:r>
      <w:r>
        <w:t>sidelink design</w:t>
      </w:r>
      <w:r w:rsidRPr="00E1512F">
        <w:t xml:space="preserve"> assumes that the group creation and management is performed by the upper layers (i.e. above the AS layer) and so, the AS layer can only be aware of the group members identity if it is provided by the upper layers. </w:t>
      </w:r>
      <w:r>
        <w:t>Then</w:t>
      </w:r>
      <w:r w:rsidRPr="00E1512F">
        <w:t xml:space="preserve">, the SL DRX configuration can </w:t>
      </w:r>
      <w:r>
        <w:t xml:space="preserve">either </w:t>
      </w:r>
      <w:r w:rsidRPr="00E1512F">
        <w:t>be shared among the group members</w:t>
      </w:r>
      <w:r>
        <w:t xml:space="preserve"> by the group leader UE or it can be </w:t>
      </w:r>
      <w:r w:rsidR="00E84DAF">
        <w:t xml:space="preserve">left to </w:t>
      </w:r>
      <w:r w:rsidR="005F73CA">
        <w:t xml:space="preserve">the </w:t>
      </w:r>
      <w:r w:rsidR="00E84DAF">
        <w:t>network</w:t>
      </w:r>
      <w:r w:rsidR="005F73CA">
        <w:t xml:space="preserve"> to configure to each group member UE individually</w:t>
      </w:r>
      <w:r w:rsidR="00E84DAF">
        <w:t>.</w:t>
      </w:r>
    </w:p>
    <w:p w14:paraId="63E96550" w14:textId="2CF6B5B8" w:rsidR="00D43B3B" w:rsidRDefault="00D43B3B" w:rsidP="006477A8">
      <w:pPr>
        <w:pStyle w:val="NormalNumbered"/>
        <w:numPr>
          <w:ilvl w:val="0"/>
          <w:numId w:val="10"/>
        </w:numPr>
        <w:jc w:val="both"/>
      </w:pPr>
      <w:r>
        <w:t>For broadcast, since connectionless operation is assumed, the SL DRX configuration can be flexible based on configuration provided by the network and/or pre</w:t>
      </w:r>
      <w:r w:rsidR="00532719">
        <w:t>-</w:t>
      </w:r>
      <w:r>
        <w:t>configuration.</w:t>
      </w:r>
    </w:p>
    <w:p w14:paraId="0BE08FC6" w14:textId="77777777" w:rsidR="00D43B3B" w:rsidRDefault="00D43B3B" w:rsidP="00D43B3B">
      <w:pPr>
        <w:pStyle w:val="NormalNumbered"/>
        <w:numPr>
          <w:ilvl w:val="0"/>
          <w:numId w:val="0"/>
        </w:numPr>
        <w:jc w:val="both"/>
      </w:pPr>
    </w:p>
    <w:p w14:paraId="593C693A" w14:textId="1E0871DF" w:rsidR="00D43B3B" w:rsidRDefault="00D43B3B" w:rsidP="00D43B3B">
      <w:pPr>
        <w:pStyle w:val="NormalNumbered"/>
        <w:numPr>
          <w:ilvl w:val="0"/>
          <w:numId w:val="0"/>
        </w:numPr>
        <w:jc w:val="both"/>
      </w:pPr>
      <w:r>
        <w:t xml:space="preserve">In </w:t>
      </w:r>
      <w:proofErr w:type="gramStart"/>
      <w:r>
        <w:t>all of</w:t>
      </w:r>
      <w:proofErr w:type="gramEnd"/>
      <w:r>
        <w:t xml:space="preserve"> the above cases, we note that there can be significant interaction with the network in order to mediate the SL DRX configuration/parameters among the UEs in order to ensure DRX active time alignment. This is discussed in more detail in our companion contribution </w:t>
      </w:r>
      <w:sdt>
        <w:sdtPr>
          <w:id w:val="931777764"/>
          <w:citation/>
        </w:sdtPr>
        <w:sdtEndPr/>
        <w:sdtContent>
          <w:r w:rsidR="00DE1383">
            <w:fldChar w:fldCharType="begin"/>
          </w:r>
          <w:r w:rsidR="00DE1383">
            <w:instrText xml:space="preserve"> CITATION SLDRXalignment \l 1033 </w:instrText>
          </w:r>
          <w:r w:rsidR="00DE1383">
            <w:fldChar w:fldCharType="separate"/>
          </w:r>
          <w:r w:rsidR="00DE1383" w:rsidRPr="00DE1383">
            <w:rPr>
              <w:noProof/>
            </w:rPr>
            <w:t>[3]</w:t>
          </w:r>
          <w:r w:rsidR="00DE1383">
            <w:fldChar w:fldCharType="end"/>
          </w:r>
        </w:sdtContent>
      </w:sdt>
      <w:r>
        <w:t>.</w:t>
      </w:r>
    </w:p>
    <w:p w14:paraId="05922619" w14:textId="078E4B43" w:rsidR="00E90F77" w:rsidRDefault="005F73CA" w:rsidP="00E90F77">
      <w:pPr>
        <w:tabs>
          <w:tab w:val="left" w:pos="1701"/>
        </w:tabs>
        <w:spacing w:after="120"/>
        <w:ind w:left="1304" w:hanging="1304"/>
        <w:jc w:val="both"/>
        <w:rPr>
          <w:rFonts w:eastAsia="Times New Roman"/>
          <w:b/>
          <w:bCs/>
          <w:i/>
          <w:lang w:val="en-GB" w:eastAsia="zh-CN"/>
        </w:rPr>
      </w:pPr>
      <w:bookmarkStart w:id="3" w:name="_Hlk54001233"/>
      <w:r>
        <w:rPr>
          <w:rFonts w:eastAsia="Times New Roman"/>
          <w:b/>
          <w:bCs/>
          <w:u w:val="single"/>
          <w:lang w:val="en-GB" w:eastAsia="zh-CN"/>
        </w:rPr>
        <w:t>Proposal</w:t>
      </w:r>
      <w:r w:rsidR="00E90F77">
        <w:rPr>
          <w:rFonts w:eastAsia="Times New Roman"/>
          <w:b/>
          <w:bCs/>
          <w:u w:val="single"/>
          <w:lang w:val="en-GB" w:eastAsia="zh-CN"/>
        </w:rPr>
        <w:t xml:space="preserve"> 2</w:t>
      </w:r>
      <w:r w:rsidRPr="0085532A">
        <w:rPr>
          <w:rFonts w:eastAsia="Times New Roman"/>
          <w:b/>
          <w:bCs/>
          <w:u w:val="single"/>
          <w:lang w:val="en-GB" w:eastAsia="zh-CN"/>
        </w:rPr>
        <w:t>:</w:t>
      </w:r>
      <w:r w:rsidRPr="0085532A">
        <w:rPr>
          <w:rFonts w:eastAsia="Times New Roman"/>
          <w:b/>
          <w:bCs/>
          <w:lang w:val="en-GB" w:eastAsia="zh-CN"/>
        </w:rPr>
        <w:tab/>
      </w:r>
      <w:r w:rsidR="009C07ED">
        <w:rPr>
          <w:rFonts w:eastAsia="Times New Roman"/>
          <w:b/>
          <w:bCs/>
          <w:i/>
          <w:lang w:val="en-GB" w:eastAsia="zh-CN"/>
        </w:rPr>
        <w:t xml:space="preserve">In case of unicast operation, PC5-RRC </w:t>
      </w:r>
      <w:r w:rsidR="00E90F77">
        <w:rPr>
          <w:rFonts w:eastAsia="Times New Roman"/>
          <w:b/>
          <w:bCs/>
          <w:i/>
          <w:lang w:val="en-GB" w:eastAsia="zh-CN"/>
        </w:rPr>
        <w:t>reconfiguration procedure can be used to exchange SL DRX related configuration among the peer UEs</w:t>
      </w:r>
      <w:r w:rsidRPr="0085532A">
        <w:rPr>
          <w:rFonts w:eastAsia="Times New Roman"/>
          <w:b/>
          <w:bCs/>
          <w:i/>
          <w:lang w:val="en-GB" w:eastAsia="zh-CN"/>
        </w:rPr>
        <w:t>.</w:t>
      </w:r>
      <w:bookmarkEnd w:id="3"/>
      <w:r w:rsidR="005022ED">
        <w:rPr>
          <w:rFonts w:eastAsia="Times New Roman"/>
          <w:b/>
          <w:bCs/>
          <w:i/>
          <w:lang w:val="en-GB" w:eastAsia="zh-CN"/>
        </w:rPr>
        <w:t xml:space="preserve"> For groupcast/broadcast operation, it can be left to the gNB to configure </w:t>
      </w:r>
      <w:r w:rsidR="00B41654">
        <w:rPr>
          <w:rFonts w:eastAsia="Times New Roman"/>
          <w:b/>
          <w:bCs/>
          <w:i/>
          <w:lang w:val="en-GB" w:eastAsia="zh-CN"/>
        </w:rPr>
        <w:t>the individual UEs.</w:t>
      </w:r>
    </w:p>
    <w:p w14:paraId="00B3012D" w14:textId="77777777" w:rsidR="00E90F77" w:rsidRDefault="00E90F77" w:rsidP="00B5338D">
      <w:pPr>
        <w:tabs>
          <w:tab w:val="left" w:pos="1701"/>
        </w:tabs>
        <w:spacing w:after="120"/>
        <w:jc w:val="both"/>
        <w:rPr>
          <w:rFonts w:eastAsia="Times New Roman"/>
          <w:b/>
          <w:bCs/>
          <w:i/>
          <w:lang w:val="en-GB" w:eastAsia="zh-CN"/>
        </w:rPr>
      </w:pPr>
    </w:p>
    <w:p w14:paraId="053B4063" w14:textId="10FDC3C1" w:rsidR="005D11B0" w:rsidRDefault="0081370C" w:rsidP="0081370C">
      <w:pPr>
        <w:pStyle w:val="Heading3"/>
      </w:pPr>
      <w:r>
        <w:t>Impact of UE coverage state</w:t>
      </w:r>
    </w:p>
    <w:p w14:paraId="53CF3380" w14:textId="61A088AE" w:rsidR="00D43B3B" w:rsidRDefault="00D43B3B" w:rsidP="00D43B3B">
      <w:r>
        <w:t xml:space="preserve">For Uu, different procedures exist for CONNECTED vs IDLE/INACTIVE states. </w:t>
      </w:r>
      <w:r w:rsidR="00BC5E79">
        <w:t xml:space="preserve">Specifically, </w:t>
      </w:r>
      <w:r w:rsidR="00432BA2">
        <w:t xml:space="preserve">both IDLE mode DRX </w:t>
      </w:r>
      <w:r w:rsidR="009A4366">
        <w:t>(</w:t>
      </w:r>
      <w:r w:rsidR="002444E0">
        <w:t>referring to</w:t>
      </w:r>
      <w:r w:rsidR="00432BA2">
        <w:t xml:space="preserve"> paging </w:t>
      </w:r>
      <w:r w:rsidR="009A4366">
        <w:t xml:space="preserve">operation) </w:t>
      </w:r>
      <w:r w:rsidR="00432BA2">
        <w:t>and CONNECTED mode DRX</w:t>
      </w:r>
      <w:r w:rsidR="00646DAC">
        <w:t xml:space="preserve"> are specified for Uu. </w:t>
      </w:r>
      <w:r>
        <w:t>However, for sidelink,</w:t>
      </w:r>
      <w:r w:rsidR="00646DAC">
        <w:t xml:space="preserve"> there is no clear notion of a connection state</w:t>
      </w:r>
      <w:r>
        <w:t xml:space="preserve"> </w:t>
      </w:r>
      <w:r w:rsidR="00E274ED">
        <w:t>and most sidelink operations are possible in all coverage states. Moreover, there is no notion of paging over sidelink anyway</w:t>
      </w:r>
      <w:r w:rsidR="006A3688">
        <w:t>.</w:t>
      </w:r>
      <w:r w:rsidR="00CF072C">
        <w:t xml:space="preserve"> Therefore, </w:t>
      </w:r>
      <w:r w:rsidR="006A3688">
        <w:t xml:space="preserve">a </w:t>
      </w:r>
      <w:r w:rsidR="00D462D8">
        <w:t xml:space="preserve">single </w:t>
      </w:r>
      <w:r w:rsidR="006A3688">
        <w:t xml:space="preserve">and robust DRX mechanism might be needed, keeping in mind both the coverage and the mobility of typical UEs </w:t>
      </w:r>
      <w:r w:rsidR="00D462D8">
        <w:t xml:space="preserve">and so </w:t>
      </w:r>
      <w:r w:rsidR="00CF072C">
        <w:t xml:space="preserve">it makes sense to consider a single SL DRX design, which is applicable </w:t>
      </w:r>
      <w:r w:rsidR="000F2DC0">
        <w:t xml:space="preserve">for RRC_CONNECTED, RRC_IDLE/RRC_INACTIVE as well as </w:t>
      </w:r>
      <w:proofErr w:type="spellStart"/>
      <w:r w:rsidR="000F2DC0">
        <w:t>out</w:t>
      </w:r>
      <w:proofErr w:type="spellEnd"/>
      <w:r w:rsidR="000F2DC0">
        <w:t xml:space="preserve"> coverage</w:t>
      </w:r>
      <w:r w:rsidR="00D462D8">
        <w:t xml:space="preserve"> scenarios</w:t>
      </w:r>
      <w:r w:rsidR="000F2DC0">
        <w:t xml:space="preserve">. Of course, the </w:t>
      </w:r>
      <w:r w:rsidR="00BC5E79">
        <w:t>configuration of SL DRX related parameters and UE behaviors can be different for each coverage state</w:t>
      </w:r>
      <w:r w:rsidR="003168C0">
        <w:t xml:space="preserve"> and can</w:t>
      </w:r>
      <w:r w:rsidR="00CE7C6D">
        <w:t xml:space="preserve"> </w:t>
      </w:r>
      <w:r w:rsidR="003168C0">
        <w:t xml:space="preserve">follow </w:t>
      </w:r>
      <w:r w:rsidR="00CE7C6D">
        <w:t xml:space="preserve">the general principle of </w:t>
      </w:r>
      <w:r w:rsidR="00BA28DB">
        <w:t xml:space="preserve">other </w:t>
      </w:r>
      <w:r w:rsidR="00CE7C6D">
        <w:t>AS layer related configuration</w:t>
      </w:r>
      <w:r w:rsidR="00BA28DB">
        <w:t>s</w:t>
      </w:r>
      <w:r w:rsidR="00BC5E79">
        <w:t>.</w:t>
      </w:r>
    </w:p>
    <w:p w14:paraId="778062F8" w14:textId="36DD9D99" w:rsidR="00B41654" w:rsidRDefault="00B41654" w:rsidP="00B4165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 single DRX mode</w:t>
      </w:r>
      <w:r w:rsidR="009A4366">
        <w:rPr>
          <w:rFonts w:eastAsia="Times New Roman"/>
          <w:b/>
          <w:bCs/>
          <w:i/>
          <w:lang w:val="en-GB" w:eastAsia="zh-CN"/>
        </w:rPr>
        <w:t>/mechanism is defined/applicable</w:t>
      </w:r>
      <w:r w:rsidR="008553B7">
        <w:rPr>
          <w:rFonts w:eastAsia="Times New Roman"/>
          <w:b/>
          <w:bCs/>
          <w:i/>
          <w:lang w:val="en-GB" w:eastAsia="zh-CN"/>
        </w:rPr>
        <w:t xml:space="preserve"> for </w:t>
      </w:r>
      <w:r w:rsidR="006E73FC">
        <w:rPr>
          <w:rFonts w:eastAsia="Times New Roman"/>
          <w:b/>
          <w:bCs/>
          <w:i/>
          <w:lang w:val="en-GB" w:eastAsia="zh-CN"/>
        </w:rPr>
        <w:t>s</w:t>
      </w:r>
      <w:r w:rsidR="008553B7">
        <w:rPr>
          <w:rFonts w:eastAsia="Times New Roman"/>
          <w:b/>
          <w:bCs/>
          <w:i/>
          <w:lang w:val="en-GB" w:eastAsia="zh-CN"/>
        </w:rPr>
        <w:t>idelink</w:t>
      </w:r>
      <w:r w:rsidR="009A4366">
        <w:rPr>
          <w:rFonts w:eastAsia="Times New Roman"/>
          <w:b/>
          <w:bCs/>
          <w:i/>
          <w:lang w:val="en-GB" w:eastAsia="zh-CN"/>
        </w:rPr>
        <w:t xml:space="preserve"> regardless of the UE’s Uu coverage state</w:t>
      </w:r>
      <w:r>
        <w:rPr>
          <w:rFonts w:eastAsia="Times New Roman"/>
          <w:b/>
          <w:bCs/>
          <w:i/>
          <w:lang w:val="en-GB" w:eastAsia="zh-CN"/>
        </w:rPr>
        <w:t>.</w:t>
      </w:r>
    </w:p>
    <w:p w14:paraId="0DC2E0D0" w14:textId="67745E71" w:rsidR="00D43B3B" w:rsidRDefault="00D43B3B" w:rsidP="00D43B3B">
      <w:pPr>
        <w:rPr>
          <w:lang w:val="en-GB" w:eastAsia="x-none"/>
        </w:rPr>
      </w:pPr>
    </w:p>
    <w:p w14:paraId="7CECD130" w14:textId="6C06EECD" w:rsidR="00E85BB7" w:rsidRPr="0081370C" w:rsidRDefault="00E85BB7" w:rsidP="00E85BB7">
      <w:pPr>
        <w:pStyle w:val="Heading3"/>
      </w:pPr>
      <w:r>
        <w:t>Short and long DRX</w:t>
      </w:r>
      <w:r w:rsidR="00BD360F">
        <w:t xml:space="preserve"> cycle</w:t>
      </w:r>
    </w:p>
    <w:p w14:paraId="76581301" w14:textId="3F7A7B02" w:rsidR="00E85BB7" w:rsidRDefault="00D90343" w:rsidP="00D43B3B">
      <w:pPr>
        <w:rPr>
          <w:lang w:val="en-GB"/>
        </w:rPr>
      </w:pPr>
      <w:r>
        <w:t xml:space="preserve">Another salient aspect where SL DRX design might differ from </w:t>
      </w:r>
      <w:r w:rsidR="002E5AF0">
        <w:t xml:space="preserve">Uu </w:t>
      </w:r>
      <w:r w:rsidR="00F2509B">
        <w:t xml:space="preserve">pertains to the </w:t>
      </w:r>
      <w:r w:rsidR="002E5AF0" w:rsidRPr="6C3859D6">
        <w:t xml:space="preserve">concept of long and short DRX cycles, which can be </w:t>
      </w:r>
      <w:r w:rsidR="00F2509B">
        <w:t>configured</w:t>
      </w:r>
      <w:r w:rsidR="002E5AF0" w:rsidRPr="6C3859D6">
        <w:t xml:space="preserve"> individually </w:t>
      </w:r>
      <w:r w:rsidR="00F2509B">
        <w:t xml:space="preserve">to the UE </w:t>
      </w:r>
      <w:r w:rsidR="002E5AF0" w:rsidRPr="6C3859D6">
        <w:t xml:space="preserve">via RRC configuration. The </w:t>
      </w:r>
      <w:r w:rsidR="00224882">
        <w:t xml:space="preserve">benefit </w:t>
      </w:r>
      <w:r w:rsidR="002E5AF0" w:rsidRPr="6C3859D6">
        <w:t>of having both options is to allow for more network flexibility when configuring the UE with different QoS requirements</w:t>
      </w:r>
      <w:r w:rsidR="00224882">
        <w:t>. Then, for SL DRX</w:t>
      </w:r>
      <w:r w:rsidR="00B14D66">
        <w:t xml:space="preserve">, the natural question to ask is whether we need to follow the same route and whether there is any motivation to have the same functionality as well. </w:t>
      </w:r>
      <w:r w:rsidR="00726CBD">
        <w:t xml:space="preserve">Since there can be a wide variety of </w:t>
      </w:r>
      <w:r w:rsidR="00B216D2">
        <w:t>services</w:t>
      </w:r>
      <w:r w:rsidR="00726CBD">
        <w:t xml:space="preserve"> and associated traffic types for </w:t>
      </w:r>
      <w:r w:rsidR="00EA61F9">
        <w:t xml:space="preserve">sidelink operation, such flexibility of having both options </w:t>
      </w:r>
      <w:proofErr w:type="gramStart"/>
      <w:r w:rsidR="00EA61F9">
        <w:t>seems</w:t>
      </w:r>
      <w:proofErr w:type="gramEnd"/>
      <w:r w:rsidR="00EA61F9">
        <w:t xml:space="preserve"> useful. </w:t>
      </w:r>
      <w:r w:rsidR="00843F6C">
        <w:t>On the other hand, especially for out of coverage scenarios, it is expected that the UE</w:t>
      </w:r>
      <w:r w:rsidR="00FA54A3">
        <w:t>s involved in sidelink communication with each other are already aware of the traffic pattern</w:t>
      </w:r>
      <w:r w:rsidR="00987C04">
        <w:t xml:space="preserve">s and so having configuration for both might be overkill. </w:t>
      </w:r>
      <w:r w:rsidR="00432EF3">
        <w:t>So, RAN2 is proposed to discuss the need for both short and long DRX cycles for SL operation.</w:t>
      </w:r>
    </w:p>
    <w:p w14:paraId="106266C2" w14:textId="658E25F7" w:rsidR="006C6D1A" w:rsidRDefault="006C6D1A" w:rsidP="006C6D1A">
      <w:pPr>
        <w:tabs>
          <w:tab w:val="left" w:pos="1701"/>
        </w:tabs>
        <w:spacing w:after="120"/>
        <w:ind w:left="1304" w:hanging="1304"/>
        <w:jc w:val="both"/>
        <w:rPr>
          <w:rFonts w:eastAsia="Times New Roman"/>
          <w:b/>
          <w:bCs/>
          <w:i/>
          <w:lang w:val="en-GB" w:eastAsia="zh-CN"/>
        </w:rPr>
      </w:pPr>
      <w:bookmarkStart w:id="4" w:name="_Hlk54001945"/>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6C6D1A">
        <w:rPr>
          <w:rFonts w:eastAsia="Times New Roman"/>
          <w:b/>
          <w:bCs/>
          <w:i/>
          <w:lang w:val="en-GB" w:eastAsia="zh-CN"/>
        </w:rPr>
        <w:t xml:space="preserve">RAN2 is proposed to discuss </w:t>
      </w:r>
      <w:r w:rsidR="00F00EB7">
        <w:rPr>
          <w:rFonts w:eastAsia="Times New Roman"/>
          <w:b/>
          <w:bCs/>
          <w:i/>
          <w:lang w:val="en-GB" w:eastAsia="zh-CN"/>
        </w:rPr>
        <w:t>if</w:t>
      </w:r>
      <w:r w:rsidRPr="006C6D1A">
        <w:rPr>
          <w:rFonts w:eastAsia="Times New Roman"/>
          <w:b/>
          <w:bCs/>
          <w:i/>
          <w:lang w:val="en-GB" w:eastAsia="zh-CN"/>
        </w:rPr>
        <w:t xml:space="preserve"> both short and long DRX cycles </w:t>
      </w:r>
      <w:r w:rsidR="00F00EB7">
        <w:rPr>
          <w:rFonts w:eastAsia="Times New Roman"/>
          <w:b/>
          <w:bCs/>
          <w:i/>
          <w:lang w:val="en-GB" w:eastAsia="zh-CN"/>
        </w:rPr>
        <w:t>need to</w:t>
      </w:r>
      <w:r w:rsidR="00F00EB7">
        <w:rPr>
          <w:rFonts w:eastAsia="Times New Roman"/>
          <w:b/>
          <w:bCs/>
          <w:i/>
          <w:lang w:val="en-GB" w:eastAsia="zh-CN"/>
        </w:rPr>
        <w:t xml:space="preserve"> </w:t>
      </w:r>
      <w:r w:rsidR="00C106F7">
        <w:rPr>
          <w:rFonts w:eastAsia="Times New Roman"/>
          <w:b/>
          <w:bCs/>
          <w:i/>
          <w:lang w:val="en-GB" w:eastAsia="zh-CN"/>
        </w:rPr>
        <w:t xml:space="preserve">be supported </w:t>
      </w:r>
      <w:r w:rsidRPr="006C6D1A">
        <w:rPr>
          <w:rFonts w:eastAsia="Times New Roman"/>
          <w:b/>
          <w:bCs/>
          <w:i/>
          <w:lang w:val="en-GB" w:eastAsia="zh-CN"/>
        </w:rPr>
        <w:t>for SL operation</w:t>
      </w:r>
      <w:r>
        <w:rPr>
          <w:rFonts w:eastAsia="Times New Roman"/>
          <w:b/>
          <w:bCs/>
          <w:i/>
          <w:lang w:val="en-GB" w:eastAsia="zh-CN"/>
        </w:rPr>
        <w:t>.</w:t>
      </w:r>
    </w:p>
    <w:bookmarkEnd w:id="4"/>
    <w:p w14:paraId="0E951A22" w14:textId="77777777" w:rsidR="006C6D1A" w:rsidRPr="006C6D1A" w:rsidRDefault="006C6D1A" w:rsidP="006C6D1A">
      <w:pPr>
        <w:tabs>
          <w:tab w:val="left" w:pos="1701"/>
        </w:tabs>
        <w:spacing w:after="120"/>
        <w:ind w:left="1304" w:hanging="1304"/>
        <w:jc w:val="both"/>
        <w:rPr>
          <w:rFonts w:eastAsia="Times New Roman"/>
          <w:b/>
          <w:bCs/>
          <w:i/>
          <w:lang w:val="en-GB" w:eastAsia="zh-CN"/>
        </w:rPr>
      </w:pPr>
    </w:p>
    <w:p w14:paraId="7F589260" w14:textId="3768C4EC" w:rsidR="00683449" w:rsidRPr="0081370C" w:rsidRDefault="00683449" w:rsidP="00683449">
      <w:pPr>
        <w:pStyle w:val="Heading3"/>
      </w:pPr>
      <w:r>
        <w:t>Handling of the Inactivity timer</w:t>
      </w:r>
    </w:p>
    <w:p w14:paraId="51B97DA6" w14:textId="5BE51295" w:rsidR="000C4D83" w:rsidRDefault="00FB4BA9" w:rsidP="00D43B3B">
      <w:r>
        <w:t xml:space="preserve">In contrast to the Uu case, </w:t>
      </w:r>
      <w:r w:rsidR="00D43C04">
        <w:t xml:space="preserve">due to the inherent shared nature of PSSCH and the 2 stage SCI design in NR, </w:t>
      </w:r>
      <w:r>
        <w:t xml:space="preserve">the UE might receive </w:t>
      </w:r>
      <w:r w:rsidR="00D43C04">
        <w:t xml:space="preserve">and decode several SCIs </w:t>
      </w:r>
      <w:r w:rsidR="008637C3">
        <w:t xml:space="preserve">from other UEs scheduling transmissions over sidelink. </w:t>
      </w:r>
      <w:r w:rsidR="00966F7B">
        <w:t xml:space="preserve">Therefore, it needs to be discussed </w:t>
      </w:r>
      <w:r w:rsidR="00DD350D">
        <w:t xml:space="preserve">whether </w:t>
      </w:r>
      <w:r w:rsidR="00592FE2">
        <w:t xml:space="preserve">there is any different UE behavior expected </w:t>
      </w:r>
      <w:proofErr w:type="gramStart"/>
      <w:r w:rsidR="00592FE2">
        <w:t>with regard to</w:t>
      </w:r>
      <w:proofErr w:type="gramEnd"/>
      <w:r w:rsidR="00592FE2">
        <w:t xml:space="preserve"> the 2 stage SCI design over PSSCH and the inactivity timer running/expiry.</w:t>
      </w:r>
      <w:r w:rsidR="00AF6B50">
        <w:t xml:space="preserve"> </w:t>
      </w:r>
      <w:r w:rsidR="00B578DE" w:rsidRPr="00B578DE">
        <w:t>Note that unlike the Uu case, there is a very likely possibility that the UE</w:t>
      </w:r>
      <w:r w:rsidR="006C6D1A">
        <w:t>,</w:t>
      </w:r>
      <w:r w:rsidR="00B578DE" w:rsidRPr="00B578DE">
        <w:t xml:space="preserve"> even upon successfully decoding a</w:t>
      </w:r>
      <w:r w:rsidR="00B578DE">
        <w:t>n</w:t>
      </w:r>
      <w:r w:rsidR="00B578DE" w:rsidRPr="00B578DE">
        <w:t xml:space="preserve"> SCI from another UE is not interested in decoding the PSSCH or further monitoring of the PSCCH (for example </w:t>
      </w:r>
      <w:r w:rsidR="007A5164">
        <w:t xml:space="preserve">to </w:t>
      </w:r>
      <w:r w:rsidR="00D91108">
        <w:t xml:space="preserve">monitor other </w:t>
      </w:r>
      <w:r w:rsidR="00B578DE" w:rsidRPr="00B578DE">
        <w:t xml:space="preserve">broadcast transmissions). In this case, it </w:t>
      </w:r>
      <w:r w:rsidR="00B578DE">
        <w:t>might be</w:t>
      </w:r>
      <w:r w:rsidR="00B578DE" w:rsidRPr="00B578DE">
        <w:t xml:space="preserve"> prudent to let the UE run the inactivity timer rather than resetting it</w:t>
      </w:r>
      <w:r w:rsidR="006C6D1A">
        <w:t xml:space="preserve"> (as in the Uu case)</w:t>
      </w:r>
      <w:r w:rsidR="00B578DE">
        <w:t xml:space="preserve">. </w:t>
      </w:r>
      <w:r w:rsidR="00AF6B50">
        <w:t>In our view, at least the following options can be considered:</w:t>
      </w:r>
    </w:p>
    <w:p w14:paraId="04590972" w14:textId="315338B2" w:rsidR="00AF6B50" w:rsidRDefault="006E634E" w:rsidP="00904B8E">
      <w:pPr>
        <w:pStyle w:val="NormalNumbered"/>
      </w:pPr>
      <w:r>
        <w:t xml:space="preserve">While the SL DRX inactivity timer is running, </w:t>
      </w:r>
      <w:r w:rsidR="00723378">
        <w:t xml:space="preserve">the UE restarts the timer whenever any PSCCH is received </w:t>
      </w:r>
      <w:r w:rsidR="00665D6B">
        <w:t>indicating a new transmission over sidelink</w:t>
      </w:r>
    </w:p>
    <w:p w14:paraId="60B2DBE1" w14:textId="5A234408" w:rsidR="00665D6B" w:rsidRDefault="00665D6B" w:rsidP="00904B8E">
      <w:pPr>
        <w:pStyle w:val="NormalNumbered"/>
      </w:pPr>
      <w:r>
        <w:t>The UE only restarts the timer</w:t>
      </w:r>
      <w:r w:rsidR="00844FED">
        <w:t xml:space="preserve"> only after it determines </w:t>
      </w:r>
      <w:r w:rsidR="00B0262F">
        <w:t>if it wants to receive the incoming scheduled transmission via SCI</w:t>
      </w:r>
      <w:r w:rsidR="00111B0D">
        <w:t>. This can be based on, for example, the priority indication within the scheduling SCI</w:t>
      </w:r>
    </w:p>
    <w:p w14:paraId="53AC4BAC" w14:textId="26D69A3F" w:rsidR="00D84905" w:rsidRDefault="00D84905" w:rsidP="00D8490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It is proposed to discuss if the UE </w:t>
      </w:r>
      <w:r w:rsidR="00A23452">
        <w:rPr>
          <w:rFonts w:eastAsia="Times New Roman"/>
          <w:b/>
          <w:bCs/>
          <w:i/>
          <w:lang w:val="en-GB" w:eastAsia="zh-CN"/>
        </w:rPr>
        <w:t>behaviour regarding the handling of the inactivity timer needs to be distinguished from Uu design due to the 2-stage SCI design for SL</w:t>
      </w:r>
      <w:r>
        <w:rPr>
          <w:rFonts w:eastAsia="Times New Roman"/>
          <w:b/>
          <w:bCs/>
          <w:i/>
          <w:lang w:val="en-GB" w:eastAsia="zh-CN"/>
        </w:rPr>
        <w:t>.</w:t>
      </w:r>
    </w:p>
    <w:p w14:paraId="11E82055" w14:textId="77777777" w:rsidR="00A23452" w:rsidRDefault="00A23452" w:rsidP="00D84905">
      <w:pPr>
        <w:tabs>
          <w:tab w:val="left" w:pos="1701"/>
        </w:tabs>
        <w:spacing w:after="120"/>
        <w:ind w:left="1304" w:hanging="1304"/>
        <w:jc w:val="both"/>
        <w:rPr>
          <w:rFonts w:eastAsia="Times New Roman"/>
          <w:b/>
          <w:bCs/>
          <w:i/>
          <w:lang w:val="en-GB" w:eastAsia="zh-CN"/>
        </w:rPr>
      </w:pPr>
    </w:p>
    <w:p w14:paraId="1303F977" w14:textId="05E8DF69" w:rsidR="00D91108" w:rsidRPr="0081370C" w:rsidRDefault="00D91108" w:rsidP="00D91108">
      <w:pPr>
        <w:pStyle w:val="Heading3"/>
      </w:pPr>
      <w:r>
        <w:t>Need of a SL DRX Command MAC CE</w:t>
      </w:r>
    </w:p>
    <w:p w14:paraId="7C9695C2" w14:textId="09A8A17B" w:rsidR="0012589C" w:rsidRDefault="00870A43" w:rsidP="00DE1023">
      <w:pPr>
        <w:jc w:val="both"/>
      </w:pPr>
      <w:r>
        <w:t xml:space="preserve">For Uu, </w:t>
      </w:r>
      <w:r w:rsidR="000343BA">
        <w:t>the gNB can send a</w:t>
      </w:r>
      <w:r w:rsidR="00E85BB7">
        <w:t xml:space="preserve"> </w:t>
      </w:r>
      <w:r w:rsidR="000343BA">
        <w:t xml:space="preserve">DRX Command MAC CE </w:t>
      </w:r>
      <w:r w:rsidR="00A85BF3">
        <w:t xml:space="preserve">or a Long DRX Command MAC CE </w:t>
      </w:r>
      <w:r w:rsidR="000343BA">
        <w:t xml:space="preserve">to the UE at any time and the UE is expected to immediately </w:t>
      </w:r>
      <w:r w:rsidR="0087080B">
        <w:t xml:space="preserve">stop the On-Duration Timer and the Inactivity timer and go into DRX sleep. </w:t>
      </w:r>
      <w:r w:rsidR="009F3B6F">
        <w:t xml:space="preserve">For sidelink, a similar MAC CE might need to be defined to allow the </w:t>
      </w:r>
      <w:r w:rsidR="006477A8">
        <w:t xml:space="preserve">peer </w:t>
      </w:r>
      <w:r w:rsidR="009F3B6F">
        <w:t xml:space="preserve">UE </w:t>
      </w:r>
      <w:r w:rsidR="00DC0017">
        <w:t xml:space="preserve">the opportunity </w:t>
      </w:r>
      <w:r w:rsidR="009F3B6F">
        <w:t xml:space="preserve">to </w:t>
      </w:r>
      <w:r w:rsidR="00DC0017">
        <w:t xml:space="preserve">potentially </w:t>
      </w:r>
      <w:r w:rsidR="009F3B6F">
        <w:t xml:space="preserve">stop monitoring PSCCH and </w:t>
      </w:r>
      <w:r w:rsidR="00676C7A">
        <w:t xml:space="preserve">go into DRX sleep as well. </w:t>
      </w:r>
      <w:r w:rsidR="00F24C93">
        <w:t xml:space="preserve">The UE may still have other sidelink connections to monitor, but this can serve as an explicit indication that </w:t>
      </w:r>
      <w:r w:rsidR="004A1DBF">
        <w:t xml:space="preserve">it does not need to monitor transmissions from this </w:t>
      </w:r>
      <w:proofErr w:type="gramStart"/>
      <w:r w:rsidR="004A1DBF">
        <w:t>particular peer</w:t>
      </w:r>
      <w:proofErr w:type="gramEnd"/>
      <w:r w:rsidR="004A1DBF">
        <w:t xml:space="preserve"> UE.</w:t>
      </w:r>
    </w:p>
    <w:p w14:paraId="2C0F320B" w14:textId="19537084" w:rsidR="00BA28DB" w:rsidRDefault="00BA28DB" w:rsidP="00BA28D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A6FFF">
        <w:rPr>
          <w:rFonts w:eastAsia="Times New Roman"/>
          <w:b/>
          <w:bCs/>
          <w:u w:val="single"/>
          <w:lang w:val="en-GB" w:eastAsia="zh-CN"/>
        </w:rPr>
        <w:t>6</w:t>
      </w:r>
      <w:r w:rsidRPr="0085532A">
        <w:rPr>
          <w:rFonts w:eastAsia="Times New Roman"/>
          <w:b/>
          <w:bCs/>
          <w:u w:val="single"/>
          <w:lang w:val="en-GB" w:eastAsia="zh-CN"/>
        </w:rPr>
        <w:t>:</w:t>
      </w:r>
      <w:r w:rsidRPr="0085532A">
        <w:rPr>
          <w:rFonts w:eastAsia="Times New Roman"/>
          <w:b/>
          <w:bCs/>
          <w:lang w:val="en-GB" w:eastAsia="zh-CN"/>
        </w:rPr>
        <w:tab/>
      </w:r>
      <w:r w:rsidR="002E1DC2">
        <w:rPr>
          <w:rFonts w:eastAsia="Times New Roman"/>
          <w:b/>
          <w:bCs/>
          <w:i/>
          <w:lang w:val="en-GB" w:eastAsia="zh-CN"/>
        </w:rPr>
        <w:t>A S</w:t>
      </w:r>
      <w:r>
        <w:rPr>
          <w:rFonts w:eastAsia="Times New Roman"/>
          <w:b/>
          <w:bCs/>
          <w:i/>
          <w:lang w:val="en-GB" w:eastAsia="zh-CN"/>
        </w:rPr>
        <w:t>L DRX Command MAC CE (</w:t>
      </w:r>
      <w:r w:rsidR="00DD7E6A">
        <w:rPr>
          <w:rFonts w:eastAsia="Times New Roman"/>
          <w:b/>
          <w:bCs/>
          <w:i/>
          <w:lang w:val="en-GB" w:eastAsia="zh-CN"/>
        </w:rPr>
        <w:t>with size zero bits) can be defined</w:t>
      </w:r>
      <w:r w:rsidR="0061053F">
        <w:rPr>
          <w:rFonts w:eastAsia="Times New Roman"/>
          <w:b/>
          <w:bCs/>
          <w:i/>
          <w:lang w:val="en-GB" w:eastAsia="zh-CN"/>
        </w:rPr>
        <w:t xml:space="preserve"> and RAN2 is proposed to discuss the UE behaviour upon reception of the SL DRX Command MAC CE</w:t>
      </w:r>
      <w:r>
        <w:rPr>
          <w:rFonts w:eastAsia="Times New Roman"/>
          <w:b/>
          <w:bCs/>
          <w:i/>
          <w:lang w:val="en-GB" w:eastAsia="zh-CN"/>
        </w:rPr>
        <w:t>.</w:t>
      </w:r>
    </w:p>
    <w:p w14:paraId="36B9AE30" w14:textId="15F88836" w:rsidR="006477A8" w:rsidRDefault="006477A8" w:rsidP="00DE1023">
      <w:pPr>
        <w:jc w:val="both"/>
      </w:pPr>
    </w:p>
    <w:p w14:paraId="5AB4BABA" w14:textId="77777777" w:rsidR="00EB410E" w:rsidRDefault="00EB410E" w:rsidP="00DE1023">
      <w:pPr>
        <w:pStyle w:val="Heading1"/>
        <w:numPr>
          <w:ilvl w:val="0"/>
          <w:numId w:val="2"/>
        </w:numPr>
        <w:jc w:val="both"/>
      </w:pPr>
      <w:bookmarkStart w:id="5" w:name="_Toc465993148"/>
      <w:bookmarkEnd w:id="5"/>
      <w:r>
        <w:lastRenderedPageBreak/>
        <w:t>Conclusion</w:t>
      </w:r>
    </w:p>
    <w:p w14:paraId="0580D4BA" w14:textId="1ECF99FC"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D36CFE">
        <w:rPr>
          <w:lang w:eastAsia="zh-CN"/>
        </w:rPr>
        <w:t xml:space="preserve">defining Sidelink DRX mechanism to enable power saving and </w:t>
      </w:r>
      <w:r w:rsidR="00C0788E">
        <w:rPr>
          <w:lang w:eastAsia="zh-CN"/>
        </w:rPr>
        <w:t>makes the following observations and proposals:</w:t>
      </w:r>
    </w:p>
    <w:p w14:paraId="1793D85E" w14:textId="77777777" w:rsidR="00487D9B" w:rsidRPr="009B3CAE"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Power saving is the foremost design consideration for the target devices for Rel-17 SL V2X use cases</w:t>
      </w:r>
      <w:r w:rsidRPr="0085532A">
        <w:rPr>
          <w:rFonts w:eastAsia="Times New Roman"/>
          <w:b/>
          <w:bCs/>
          <w:i/>
          <w:lang w:val="en-GB" w:eastAsia="zh-CN"/>
        </w:rPr>
        <w:t>.</w:t>
      </w:r>
    </w:p>
    <w:p w14:paraId="151CE736" w14:textId="77777777" w:rsidR="00487D9B" w:rsidRPr="00532719"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Observation2</w:t>
      </w:r>
      <w:r w:rsidRPr="0085532A">
        <w:rPr>
          <w:rFonts w:eastAsia="Times New Roman"/>
          <w:b/>
          <w:bCs/>
          <w:u w:val="single"/>
          <w:lang w:val="en-GB" w:eastAsia="zh-CN"/>
        </w:rPr>
        <w:t>:</w:t>
      </w:r>
      <w:r w:rsidRPr="0085532A">
        <w:rPr>
          <w:rFonts w:eastAsia="Times New Roman"/>
          <w:b/>
          <w:bCs/>
          <w:lang w:val="en-GB" w:eastAsia="zh-CN"/>
        </w:rPr>
        <w:tab/>
      </w:r>
      <w:r w:rsidRPr="008974A7">
        <w:rPr>
          <w:rFonts w:eastAsia="Times New Roman"/>
          <w:b/>
          <w:bCs/>
          <w:i/>
          <w:lang w:val="en-GB" w:eastAsia="zh-CN"/>
        </w:rPr>
        <w:t>Uu DRX cycle relies on NW configuration of DRX parameters to allow the UE to go into DRX sleep rather than monitor PDCCH continuously, allowing for power efficient operation</w:t>
      </w:r>
      <w:r w:rsidRPr="0085532A">
        <w:rPr>
          <w:rFonts w:eastAsia="Times New Roman"/>
          <w:b/>
          <w:bCs/>
          <w:i/>
          <w:lang w:val="en-GB" w:eastAsia="zh-CN"/>
        </w:rPr>
        <w:t>.</w:t>
      </w:r>
    </w:p>
    <w:p w14:paraId="10DEBA5E" w14:textId="77777777" w:rsidR="00487D9B"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Proposal1a</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use Uu DRX as a baseline for SL DRX design</w:t>
      </w:r>
      <w:r w:rsidRPr="0085532A">
        <w:rPr>
          <w:rFonts w:eastAsia="Times New Roman"/>
          <w:b/>
          <w:bCs/>
          <w:i/>
          <w:lang w:val="en-GB" w:eastAsia="zh-CN"/>
        </w:rPr>
        <w:t>.</w:t>
      </w:r>
    </w:p>
    <w:p w14:paraId="4BA06105" w14:textId="77777777" w:rsidR="00487D9B" w:rsidRPr="009A4119"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Proposal1b</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At least the on-duration timer, inactivity timer and DRX cycle duration and offset can be configured to the UE for SL DRX via RRC. Any additional enhancements compared to Uu design can be FFS.</w:t>
      </w:r>
    </w:p>
    <w:p w14:paraId="52AF1FAD" w14:textId="77777777" w:rsidR="00487D9B"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In case of unicast operation, PC5-RRC reconfiguration procedure can be used to exchange SL DRX related config</w:t>
      </w:r>
      <w:bookmarkStart w:id="6" w:name="_GoBack"/>
      <w:bookmarkEnd w:id="6"/>
      <w:r>
        <w:rPr>
          <w:rFonts w:eastAsia="Times New Roman"/>
          <w:b/>
          <w:bCs/>
          <w:i/>
          <w:lang w:val="en-GB" w:eastAsia="zh-CN"/>
        </w:rPr>
        <w:t>uration among the peer UEs</w:t>
      </w:r>
      <w:r w:rsidRPr="0085532A">
        <w:rPr>
          <w:rFonts w:eastAsia="Times New Roman"/>
          <w:b/>
          <w:bCs/>
          <w:i/>
          <w:lang w:val="en-GB" w:eastAsia="zh-CN"/>
        </w:rPr>
        <w:t>.</w:t>
      </w:r>
      <w:r>
        <w:rPr>
          <w:rFonts w:eastAsia="Times New Roman"/>
          <w:b/>
          <w:bCs/>
          <w:i/>
          <w:lang w:val="en-GB" w:eastAsia="zh-CN"/>
        </w:rPr>
        <w:t xml:space="preserve"> For groupcast/broadcast operation, it can be left to the gNB to configure the individual UEs.</w:t>
      </w:r>
    </w:p>
    <w:p w14:paraId="235F0199" w14:textId="77777777" w:rsidR="00487D9B"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 single DRX mode/mechanism is defined/applicable for sidelink regardless of the UE’s Uu coverage state.</w:t>
      </w:r>
    </w:p>
    <w:p w14:paraId="0ECD0494" w14:textId="77777777" w:rsidR="00487D9B"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6C6D1A">
        <w:rPr>
          <w:rFonts w:eastAsia="Times New Roman"/>
          <w:b/>
          <w:bCs/>
          <w:i/>
          <w:lang w:val="en-GB" w:eastAsia="zh-CN"/>
        </w:rPr>
        <w:t xml:space="preserve">RAN2 is proposed to discuss </w:t>
      </w:r>
      <w:r>
        <w:rPr>
          <w:rFonts w:eastAsia="Times New Roman"/>
          <w:b/>
          <w:bCs/>
          <w:i/>
          <w:lang w:val="en-GB" w:eastAsia="zh-CN"/>
        </w:rPr>
        <w:t>if</w:t>
      </w:r>
      <w:r w:rsidRPr="006C6D1A">
        <w:rPr>
          <w:rFonts w:eastAsia="Times New Roman"/>
          <w:b/>
          <w:bCs/>
          <w:i/>
          <w:lang w:val="en-GB" w:eastAsia="zh-CN"/>
        </w:rPr>
        <w:t xml:space="preserve"> both short and long DRX cycles </w:t>
      </w:r>
      <w:r>
        <w:rPr>
          <w:rFonts w:eastAsia="Times New Roman"/>
          <w:b/>
          <w:bCs/>
          <w:i/>
          <w:lang w:val="en-GB" w:eastAsia="zh-CN"/>
        </w:rPr>
        <w:t>need to</w:t>
      </w:r>
      <w:r>
        <w:rPr>
          <w:rFonts w:eastAsia="Times New Roman"/>
          <w:b/>
          <w:bCs/>
          <w:i/>
          <w:lang w:val="en-GB" w:eastAsia="zh-CN"/>
        </w:rPr>
        <w:t xml:space="preserve"> </w:t>
      </w:r>
      <w:r>
        <w:rPr>
          <w:rFonts w:eastAsia="Times New Roman"/>
          <w:b/>
          <w:bCs/>
          <w:i/>
          <w:lang w:val="en-GB" w:eastAsia="zh-CN"/>
        </w:rPr>
        <w:t xml:space="preserve">be supported </w:t>
      </w:r>
      <w:r w:rsidRPr="006C6D1A">
        <w:rPr>
          <w:rFonts w:eastAsia="Times New Roman"/>
          <w:b/>
          <w:bCs/>
          <w:i/>
          <w:lang w:val="en-GB" w:eastAsia="zh-CN"/>
        </w:rPr>
        <w:t>for SL operation</w:t>
      </w:r>
      <w:r>
        <w:rPr>
          <w:rFonts w:eastAsia="Times New Roman"/>
          <w:b/>
          <w:bCs/>
          <w:i/>
          <w:lang w:val="en-GB" w:eastAsia="zh-CN"/>
        </w:rPr>
        <w:t>.</w:t>
      </w:r>
    </w:p>
    <w:p w14:paraId="6A356BDE" w14:textId="77777777" w:rsidR="00487D9B"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It is proposed to discuss if the UE behaviour regarding the handling of the inactivity timer needs to be distinguished from Uu design due to the 2-stage SCI design for SL.</w:t>
      </w:r>
    </w:p>
    <w:p w14:paraId="1E781624" w14:textId="77777777" w:rsidR="00487D9B" w:rsidRDefault="00487D9B" w:rsidP="00487D9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 SL DRX Command MAC CE (with size zero bits) can be defined and RAN2 is proposed to discuss the UE behaviour upon reception of the SL DRX Command MAC CE.</w:t>
      </w:r>
    </w:p>
    <w:p w14:paraId="5B182433" w14:textId="77777777" w:rsidR="001D136B" w:rsidRDefault="001D136B" w:rsidP="00DE1023">
      <w:pPr>
        <w:jc w:val="both"/>
        <w:rPr>
          <w:lang w:eastAsia="zh-CN"/>
        </w:rPr>
      </w:pPr>
    </w:p>
    <w:p w14:paraId="79A443B9" w14:textId="7B15754F" w:rsidR="00DE1383" w:rsidRDefault="00EB410E" w:rsidP="00487D9B">
      <w:pPr>
        <w:pStyle w:val="Heading1"/>
        <w:rPr>
          <w:rFonts w:ascii="Calibri" w:eastAsia="Calibri" w:hAnsi="Calibri"/>
        </w:rPr>
      </w:pPr>
      <w:bookmarkStart w:id="7" w:name="_Ref434066290"/>
      <w:r>
        <w:t>Reference</w:t>
      </w:r>
      <w:bookmarkEnd w:id="7"/>
      <w:r w:rsidR="00DE1383">
        <w:t>s</w:t>
      </w:r>
      <w:bookmarkEnd w:id="2"/>
      <w:r w:rsidR="00DE1383">
        <w:fldChar w:fldCharType="begin"/>
      </w:r>
      <w:r w:rsidR="00DE1383">
        <w:instrText xml:space="preserve"> BIBLIOGRAPHY  \l 1033 </w:instrText>
      </w:r>
      <w:r w:rsidR="00DE1383">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E1383" w14:paraId="1C53DA94" w14:textId="77777777">
        <w:trPr>
          <w:divId w:val="1566455109"/>
          <w:tblCellSpacing w:w="15" w:type="dxa"/>
        </w:trPr>
        <w:tc>
          <w:tcPr>
            <w:tcW w:w="50" w:type="pct"/>
            <w:hideMark/>
          </w:tcPr>
          <w:p w14:paraId="2CDD849D" w14:textId="6F6B1227" w:rsidR="00DE1383" w:rsidRDefault="00DE1383">
            <w:pPr>
              <w:pStyle w:val="Bibliography"/>
              <w:rPr>
                <w:noProof/>
                <w:sz w:val="24"/>
                <w:szCs w:val="24"/>
              </w:rPr>
            </w:pPr>
            <w:r>
              <w:rPr>
                <w:noProof/>
              </w:rPr>
              <w:t xml:space="preserve">[1] </w:t>
            </w:r>
          </w:p>
        </w:tc>
        <w:tc>
          <w:tcPr>
            <w:tcW w:w="0" w:type="auto"/>
            <w:hideMark/>
          </w:tcPr>
          <w:p w14:paraId="4935498F" w14:textId="77777777" w:rsidR="00DE1383" w:rsidRDefault="00DE1383">
            <w:pPr>
              <w:pStyle w:val="Bibliography"/>
              <w:rPr>
                <w:noProof/>
              </w:rPr>
            </w:pPr>
            <w:r>
              <w:rPr>
                <w:noProof/>
              </w:rPr>
              <w:t xml:space="preserve">"RP-193257, New WID on NR sidelink enhancement, LGE". </w:t>
            </w:r>
          </w:p>
        </w:tc>
      </w:tr>
      <w:tr w:rsidR="00DE1383" w14:paraId="7D25B0DA" w14:textId="77777777">
        <w:trPr>
          <w:divId w:val="1566455109"/>
          <w:tblCellSpacing w:w="15" w:type="dxa"/>
        </w:trPr>
        <w:tc>
          <w:tcPr>
            <w:tcW w:w="50" w:type="pct"/>
            <w:hideMark/>
          </w:tcPr>
          <w:p w14:paraId="57F51B42" w14:textId="77777777" w:rsidR="00DE1383" w:rsidRDefault="00DE1383">
            <w:pPr>
              <w:pStyle w:val="Bibliography"/>
              <w:rPr>
                <w:noProof/>
              </w:rPr>
            </w:pPr>
            <w:r>
              <w:rPr>
                <w:noProof/>
              </w:rPr>
              <w:t xml:space="preserve">[2] </w:t>
            </w:r>
          </w:p>
        </w:tc>
        <w:tc>
          <w:tcPr>
            <w:tcW w:w="0" w:type="auto"/>
            <w:hideMark/>
          </w:tcPr>
          <w:p w14:paraId="7123955B" w14:textId="77777777" w:rsidR="00DE1383" w:rsidRDefault="00DE1383">
            <w:pPr>
              <w:pStyle w:val="Bibliography"/>
              <w:rPr>
                <w:noProof/>
              </w:rPr>
            </w:pPr>
            <w:r>
              <w:rPr>
                <w:noProof/>
              </w:rPr>
              <w:t xml:space="preserve">"TS 38.300, NR; Overall description; Stage-2". </w:t>
            </w:r>
          </w:p>
        </w:tc>
      </w:tr>
      <w:tr w:rsidR="00DE1383" w14:paraId="5A452443" w14:textId="77777777">
        <w:trPr>
          <w:divId w:val="1566455109"/>
          <w:tblCellSpacing w:w="15" w:type="dxa"/>
        </w:trPr>
        <w:tc>
          <w:tcPr>
            <w:tcW w:w="50" w:type="pct"/>
            <w:hideMark/>
          </w:tcPr>
          <w:p w14:paraId="29FE9182" w14:textId="77777777" w:rsidR="00DE1383" w:rsidRDefault="00DE1383">
            <w:pPr>
              <w:pStyle w:val="Bibliography"/>
              <w:rPr>
                <w:noProof/>
              </w:rPr>
            </w:pPr>
            <w:r>
              <w:rPr>
                <w:noProof/>
              </w:rPr>
              <w:t xml:space="preserve">[3] </w:t>
            </w:r>
          </w:p>
        </w:tc>
        <w:tc>
          <w:tcPr>
            <w:tcW w:w="0" w:type="auto"/>
            <w:hideMark/>
          </w:tcPr>
          <w:p w14:paraId="2620FAE0" w14:textId="77777777" w:rsidR="00DE1383" w:rsidRDefault="00DE1383">
            <w:pPr>
              <w:pStyle w:val="Bibliography"/>
              <w:rPr>
                <w:noProof/>
              </w:rPr>
            </w:pPr>
            <w:r>
              <w:rPr>
                <w:noProof/>
              </w:rPr>
              <w:t xml:space="preserve">"R2-2008988, Alignment of DRX wake up times, Intel Corporation". </w:t>
            </w:r>
          </w:p>
        </w:tc>
      </w:tr>
    </w:tbl>
    <w:p w14:paraId="298D03B8" w14:textId="77777777" w:rsidR="00DE1383" w:rsidRDefault="00DE1383">
      <w:pPr>
        <w:divId w:val="1566455109"/>
        <w:rPr>
          <w:rFonts w:eastAsia="Times New Roman"/>
          <w:noProof/>
        </w:rPr>
      </w:pPr>
    </w:p>
    <w:p w14:paraId="24A83A4B" w14:textId="21D47A78" w:rsidR="00C00EA7" w:rsidRPr="00C00EA7" w:rsidRDefault="00DE1383" w:rsidP="00DE1383">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07A254" w16cex:dateUtc="2020-10-22T2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41CBD" w14:textId="77777777" w:rsidR="004811E7" w:rsidRDefault="004811E7" w:rsidP="003306BB">
      <w:pPr>
        <w:spacing w:after="0"/>
      </w:pPr>
      <w:r>
        <w:separator/>
      </w:r>
    </w:p>
  </w:endnote>
  <w:endnote w:type="continuationSeparator" w:id="0">
    <w:p w14:paraId="7A7C4A12" w14:textId="77777777" w:rsidR="004811E7" w:rsidRDefault="004811E7" w:rsidP="003306BB">
      <w:pPr>
        <w:spacing w:after="0"/>
      </w:pPr>
      <w:r>
        <w:continuationSeparator/>
      </w:r>
    </w:p>
  </w:endnote>
  <w:endnote w:type="continuationNotice" w:id="1">
    <w:p w14:paraId="6A1C1C59" w14:textId="77777777" w:rsidR="007933BA" w:rsidRDefault="0079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28974" w14:textId="77777777" w:rsidR="004811E7" w:rsidRDefault="004811E7" w:rsidP="003306BB">
      <w:pPr>
        <w:spacing w:after="0"/>
      </w:pPr>
      <w:r>
        <w:separator/>
      </w:r>
    </w:p>
  </w:footnote>
  <w:footnote w:type="continuationSeparator" w:id="0">
    <w:p w14:paraId="0A4A818A" w14:textId="77777777" w:rsidR="004811E7" w:rsidRDefault="004811E7" w:rsidP="003306BB">
      <w:pPr>
        <w:spacing w:after="0"/>
      </w:pPr>
      <w:r>
        <w:continuationSeparator/>
      </w:r>
    </w:p>
  </w:footnote>
  <w:footnote w:type="continuationNotice" w:id="1">
    <w:p w14:paraId="3EF69D63" w14:textId="77777777" w:rsidR="007933BA" w:rsidRDefault="0079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5"/>
  </w:num>
  <w:num w:numId="9">
    <w:abstractNumId w:val="0"/>
  </w:num>
  <w:num w:numId="10">
    <w:abstractNumId w:val="2"/>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643"/>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79"/>
    <w:rsid w:val="00040190"/>
    <w:rsid w:val="000402F4"/>
    <w:rsid w:val="00042A07"/>
    <w:rsid w:val="00045F1C"/>
    <w:rsid w:val="00050A08"/>
    <w:rsid w:val="00056F6A"/>
    <w:rsid w:val="00060413"/>
    <w:rsid w:val="00061301"/>
    <w:rsid w:val="00061B35"/>
    <w:rsid w:val="00061BFD"/>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77641"/>
    <w:rsid w:val="00080952"/>
    <w:rsid w:val="00080D43"/>
    <w:rsid w:val="00081B0D"/>
    <w:rsid w:val="00082E46"/>
    <w:rsid w:val="00083974"/>
    <w:rsid w:val="00091340"/>
    <w:rsid w:val="00091887"/>
    <w:rsid w:val="00091DE0"/>
    <w:rsid w:val="000939AC"/>
    <w:rsid w:val="00096FAB"/>
    <w:rsid w:val="000971A9"/>
    <w:rsid w:val="00097A65"/>
    <w:rsid w:val="00097CF1"/>
    <w:rsid w:val="000A0C69"/>
    <w:rsid w:val="000A3791"/>
    <w:rsid w:val="000A40D3"/>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20B9"/>
    <w:rsid w:val="000D25E4"/>
    <w:rsid w:val="000D2AC3"/>
    <w:rsid w:val="000D3961"/>
    <w:rsid w:val="000D4379"/>
    <w:rsid w:val="000D7B92"/>
    <w:rsid w:val="000E0653"/>
    <w:rsid w:val="000E246B"/>
    <w:rsid w:val="000E68B5"/>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416B"/>
    <w:rsid w:val="00134632"/>
    <w:rsid w:val="001358B1"/>
    <w:rsid w:val="00137B5B"/>
    <w:rsid w:val="00137DD6"/>
    <w:rsid w:val="00140061"/>
    <w:rsid w:val="00142E10"/>
    <w:rsid w:val="00144136"/>
    <w:rsid w:val="001514AE"/>
    <w:rsid w:val="001538A6"/>
    <w:rsid w:val="001547CC"/>
    <w:rsid w:val="00156621"/>
    <w:rsid w:val="0016349A"/>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1D20"/>
    <w:rsid w:val="001F3A24"/>
    <w:rsid w:val="001F3DE7"/>
    <w:rsid w:val="001F586C"/>
    <w:rsid w:val="001F6415"/>
    <w:rsid w:val="002003F4"/>
    <w:rsid w:val="00200BC5"/>
    <w:rsid w:val="002026B9"/>
    <w:rsid w:val="002026D9"/>
    <w:rsid w:val="0020323B"/>
    <w:rsid w:val="00205982"/>
    <w:rsid w:val="002107D8"/>
    <w:rsid w:val="0021138C"/>
    <w:rsid w:val="00211496"/>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7D3"/>
    <w:rsid w:val="00231703"/>
    <w:rsid w:val="0023192F"/>
    <w:rsid w:val="002332B3"/>
    <w:rsid w:val="00234006"/>
    <w:rsid w:val="0023470A"/>
    <w:rsid w:val="00234FD3"/>
    <w:rsid w:val="00235C71"/>
    <w:rsid w:val="00237E80"/>
    <w:rsid w:val="00240434"/>
    <w:rsid w:val="002427DF"/>
    <w:rsid w:val="00243D99"/>
    <w:rsid w:val="002444E0"/>
    <w:rsid w:val="00244664"/>
    <w:rsid w:val="002475F7"/>
    <w:rsid w:val="00251709"/>
    <w:rsid w:val="00252F06"/>
    <w:rsid w:val="00253544"/>
    <w:rsid w:val="002538FC"/>
    <w:rsid w:val="00253F2F"/>
    <w:rsid w:val="00257398"/>
    <w:rsid w:val="00257C47"/>
    <w:rsid w:val="0026423A"/>
    <w:rsid w:val="00264862"/>
    <w:rsid w:val="00266461"/>
    <w:rsid w:val="00266EA1"/>
    <w:rsid w:val="002704D1"/>
    <w:rsid w:val="00277E65"/>
    <w:rsid w:val="002808F4"/>
    <w:rsid w:val="00282139"/>
    <w:rsid w:val="00282937"/>
    <w:rsid w:val="00283A56"/>
    <w:rsid w:val="00286807"/>
    <w:rsid w:val="00287CE1"/>
    <w:rsid w:val="00290168"/>
    <w:rsid w:val="002920BA"/>
    <w:rsid w:val="00292585"/>
    <w:rsid w:val="002930A2"/>
    <w:rsid w:val="002932A9"/>
    <w:rsid w:val="0029479B"/>
    <w:rsid w:val="00295279"/>
    <w:rsid w:val="002963C2"/>
    <w:rsid w:val="002A0E41"/>
    <w:rsid w:val="002A107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1DC2"/>
    <w:rsid w:val="002E226E"/>
    <w:rsid w:val="002E3E2A"/>
    <w:rsid w:val="002E418C"/>
    <w:rsid w:val="002E570E"/>
    <w:rsid w:val="002E5AF0"/>
    <w:rsid w:val="002F1BE4"/>
    <w:rsid w:val="002F1C7B"/>
    <w:rsid w:val="002F2B7F"/>
    <w:rsid w:val="002F3BAE"/>
    <w:rsid w:val="002F4CC8"/>
    <w:rsid w:val="002F5B1A"/>
    <w:rsid w:val="002F62DB"/>
    <w:rsid w:val="002F641E"/>
    <w:rsid w:val="00300E91"/>
    <w:rsid w:val="00301981"/>
    <w:rsid w:val="00302624"/>
    <w:rsid w:val="003028FF"/>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7355"/>
    <w:rsid w:val="00330640"/>
    <w:rsid w:val="003306BB"/>
    <w:rsid w:val="003348E9"/>
    <w:rsid w:val="00334ED5"/>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0F4E"/>
    <w:rsid w:val="003A18F7"/>
    <w:rsid w:val="003A2933"/>
    <w:rsid w:val="003A4929"/>
    <w:rsid w:val="003A6682"/>
    <w:rsid w:val="003A6AE5"/>
    <w:rsid w:val="003A7C4E"/>
    <w:rsid w:val="003B0A5C"/>
    <w:rsid w:val="003B1CC6"/>
    <w:rsid w:val="003B1E01"/>
    <w:rsid w:val="003B1E35"/>
    <w:rsid w:val="003B25DB"/>
    <w:rsid w:val="003B3193"/>
    <w:rsid w:val="003B3785"/>
    <w:rsid w:val="003B38FB"/>
    <w:rsid w:val="003C022D"/>
    <w:rsid w:val="003C02D6"/>
    <w:rsid w:val="003C1537"/>
    <w:rsid w:val="003C26A1"/>
    <w:rsid w:val="003C418E"/>
    <w:rsid w:val="003C51E8"/>
    <w:rsid w:val="003C5C47"/>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175AF"/>
    <w:rsid w:val="0042149C"/>
    <w:rsid w:val="00421FC8"/>
    <w:rsid w:val="0042215A"/>
    <w:rsid w:val="00422852"/>
    <w:rsid w:val="00422BF3"/>
    <w:rsid w:val="00423D3B"/>
    <w:rsid w:val="00425C54"/>
    <w:rsid w:val="00425CA0"/>
    <w:rsid w:val="004272D1"/>
    <w:rsid w:val="004328FA"/>
    <w:rsid w:val="00432BA2"/>
    <w:rsid w:val="00432EF3"/>
    <w:rsid w:val="0043498B"/>
    <w:rsid w:val="00435088"/>
    <w:rsid w:val="004402BD"/>
    <w:rsid w:val="00441780"/>
    <w:rsid w:val="00442179"/>
    <w:rsid w:val="004431EF"/>
    <w:rsid w:val="00443D3E"/>
    <w:rsid w:val="00444136"/>
    <w:rsid w:val="00445236"/>
    <w:rsid w:val="00446B90"/>
    <w:rsid w:val="00447B16"/>
    <w:rsid w:val="00447FAF"/>
    <w:rsid w:val="004504D8"/>
    <w:rsid w:val="00450C85"/>
    <w:rsid w:val="00453092"/>
    <w:rsid w:val="0045541B"/>
    <w:rsid w:val="004565BE"/>
    <w:rsid w:val="0046002D"/>
    <w:rsid w:val="004631F7"/>
    <w:rsid w:val="004648B1"/>
    <w:rsid w:val="00466831"/>
    <w:rsid w:val="00467FD9"/>
    <w:rsid w:val="00471374"/>
    <w:rsid w:val="00473175"/>
    <w:rsid w:val="00474686"/>
    <w:rsid w:val="004749CE"/>
    <w:rsid w:val="004766FA"/>
    <w:rsid w:val="00480117"/>
    <w:rsid w:val="00480722"/>
    <w:rsid w:val="004811E7"/>
    <w:rsid w:val="0048577D"/>
    <w:rsid w:val="00487948"/>
    <w:rsid w:val="00487D9B"/>
    <w:rsid w:val="0049117D"/>
    <w:rsid w:val="00492FBA"/>
    <w:rsid w:val="00496259"/>
    <w:rsid w:val="00496417"/>
    <w:rsid w:val="004A1B82"/>
    <w:rsid w:val="004A1DBF"/>
    <w:rsid w:val="004A3351"/>
    <w:rsid w:val="004A3F42"/>
    <w:rsid w:val="004A427D"/>
    <w:rsid w:val="004A4C7A"/>
    <w:rsid w:val="004A7A5D"/>
    <w:rsid w:val="004B1FC0"/>
    <w:rsid w:val="004B228C"/>
    <w:rsid w:val="004B2F40"/>
    <w:rsid w:val="004B64A6"/>
    <w:rsid w:val="004C4725"/>
    <w:rsid w:val="004C4EBC"/>
    <w:rsid w:val="004C55B3"/>
    <w:rsid w:val="004C6014"/>
    <w:rsid w:val="004C738A"/>
    <w:rsid w:val="004C7B7B"/>
    <w:rsid w:val="004D2040"/>
    <w:rsid w:val="004D22DB"/>
    <w:rsid w:val="004D26FA"/>
    <w:rsid w:val="004D2AF4"/>
    <w:rsid w:val="004D4BFC"/>
    <w:rsid w:val="004E107B"/>
    <w:rsid w:val="004E3477"/>
    <w:rsid w:val="004E6EFB"/>
    <w:rsid w:val="004F1BE5"/>
    <w:rsid w:val="004F2FB8"/>
    <w:rsid w:val="004F424F"/>
    <w:rsid w:val="004F612F"/>
    <w:rsid w:val="004F62BD"/>
    <w:rsid w:val="004F6B82"/>
    <w:rsid w:val="005022ED"/>
    <w:rsid w:val="0050293A"/>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0D36"/>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3881"/>
    <w:rsid w:val="00554124"/>
    <w:rsid w:val="00554E09"/>
    <w:rsid w:val="00557B35"/>
    <w:rsid w:val="0056088A"/>
    <w:rsid w:val="00561CD8"/>
    <w:rsid w:val="00563DD0"/>
    <w:rsid w:val="00563DEC"/>
    <w:rsid w:val="0056745E"/>
    <w:rsid w:val="005707EE"/>
    <w:rsid w:val="00571EE7"/>
    <w:rsid w:val="00575CEB"/>
    <w:rsid w:val="00576582"/>
    <w:rsid w:val="00576836"/>
    <w:rsid w:val="00576A01"/>
    <w:rsid w:val="0057705A"/>
    <w:rsid w:val="00577372"/>
    <w:rsid w:val="005773B6"/>
    <w:rsid w:val="00577713"/>
    <w:rsid w:val="00577B03"/>
    <w:rsid w:val="0058085F"/>
    <w:rsid w:val="005816CF"/>
    <w:rsid w:val="005831D0"/>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4023"/>
    <w:rsid w:val="005B6D07"/>
    <w:rsid w:val="005B75E6"/>
    <w:rsid w:val="005C035E"/>
    <w:rsid w:val="005C0A31"/>
    <w:rsid w:val="005C195E"/>
    <w:rsid w:val="005C1C91"/>
    <w:rsid w:val="005C1F77"/>
    <w:rsid w:val="005C5815"/>
    <w:rsid w:val="005C77AA"/>
    <w:rsid w:val="005C7EB8"/>
    <w:rsid w:val="005D11B0"/>
    <w:rsid w:val="005D11BF"/>
    <w:rsid w:val="005D335E"/>
    <w:rsid w:val="005D4551"/>
    <w:rsid w:val="005D7BDF"/>
    <w:rsid w:val="005E163C"/>
    <w:rsid w:val="005E5A46"/>
    <w:rsid w:val="005E5E8D"/>
    <w:rsid w:val="005E5F63"/>
    <w:rsid w:val="005E70CC"/>
    <w:rsid w:val="005F161F"/>
    <w:rsid w:val="005F17E3"/>
    <w:rsid w:val="005F238D"/>
    <w:rsid w:val="005F3183"/>
    <w:rsid w:val="005F4134"/>
    <w:rsid w:val="005F53E2"/>
    <w:rsid w:val="005F6BBD"/>
    <w:rsid w:val="005F70A0"/>
    <w:rsid w:val="005F73CA"/>
    <w:rsid w:val="005F7AB5"/>
    <w:rsid w:val="00600FAC"/>
    <w:rsid w:val="0060199D"/>
    <w:rsid w:val="00602304"/>
    <w:rsid w:val="00603522"/>
    <w:rsid w:val="006062B3"/>
    <w:rsid w:val="00606986"/>
    <w:rsid w:val="00606B41"/>
    <w:rsid w:val="0061053F"/>
    <w:rsid w:val="00610670"/>
    <w:rsid w:val="00611ED7"/>
    <w:rsid w:val="006125DB"/>
    <w:rsid w:val="00612E62"/>
    <w:rsid w:val="00614BAB"/>
    <w:rsid w:val="00617147"/>
    <w:rsid w:val="00624BB8"/>
    <w:rsid w:val="00626F98"/>
    <w:rsid w:val="00630697"/>
    <w:rsid w:val="00633D9E"/>
    <w:rsid w:val="00634EDF"/>
    <w:rsid w:val="0063531B"/>
    <w:rsid w:val="0063697B"/>
    <w:rsid w:val="006439B5"/>
    <w:rsid w:val="00643E7F"/>
    <w:rsid w:val="0064471E"/>
    <w:rsid w:val="00646DAC"/>
    <w:rsid w:val="006477A8"/>
    <w:rsid w:val="006501EE"/>
    <w:rsid w:val="006502E5"/>
    <w:rsid w:val="006510F4"/>
    <w:rsid w:val="00652322"/>
    <w:rsid w:val="00653CE8"/>
    <w:rsid w:val="0065516A"/>
    <w:rsid w:val="006626FC"/>
    <w:rsid w:val="0066570A"/>
    <w:rsid w:val="00665AFE"/>
    <w:rsid w:val="00665D6B"/>
    <w:rsid w:val="0066722D"/>
    <w:rsid w:val="00667379"/>
    <w:rsid w:val="006715D4"/>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3FC"/>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207EA"/>
    <w:rsid w:val="00722699"/>
    <w:rsid w:val="00723378"/>
    <w:rsid w:val="007237B7"/>
    <w:rsid w:val="00723E79"/>
    <w:rsid w:val="00723F24"/>
    <w:rsid w:val="007252C4"/>
    <w:rsid w:val="00726067"/>
    <w:rsid w:val="007264A3"/>
    <w:rsid w:val="00726CBD"/>
    <w:rsid w:val="00727412"/>
    <w:rsid w:val="007274A2"/>
    <w:rsid w:val="00727698"/>
    <w:rsid w:val="00730F51"/>
    <w:rsid w:val="00732E2B"/>
    <w:rsid w:val="00733CD1"/>
    <w:rsid w:val="007342AA"/>
    <w:rsid w:val="00736C96"/>
    <w:rsid w:val="00743459"/>
    <w:rsid w:val="0074584A"/>
    <w:rsid w:val="00745B04"/>
    <w:rsid w:val="00751D84"/>
    <w:rsid w:val="007549AA"/>
    <w:rsid w:val="00756C65"/>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33BA"/>
    <w:rsid w:val="007951A3"/>
    <w:rsid w:val="007965C8"/>
    <w:rsid w:val="007968EE"/>
    <w:rsid w:val="00796C2C"/>
    <w:rsid w:val="007A013B"/>
    <w:rsid w:val="007A06C6"/>
    <w:rsid w:val="007A09C4"/>
    <w:rsid w:val="007A26E3"/>
    <w:rsid w:val="007A2C2B"/>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1842"/>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747"/>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15E5"/>
    <w:rsid w:val="008316A6"/>
    <w:rsid w:val="00831D18"/>
    <w:rsid w:val="00832DD6"/>
    <w:rsid w:val="00833007"/>
    <w:rsid w:val="0083443C"/>
    <w:rsid w:val="00834707"/>
    <w:rsid w:val="008359E9"/>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3B7"/>
    <w:rsid w:val="00855924"/>
    <w:rsid w:val="00856177"/>
    <w:rsid w:val="008574BC"/>
    <w:rsid w:val="00857F74"/>
    <w:rsid w:val="008603F8"/>
    <w:rsid w:val="00860861"/>
    <w:rsid w:val="0086157E"/>
    <w:rsid w:val="008616B8"/>
    <w:rsid w:val="0086181A"/>
    <w:rsid w:val="008627A0"/>
    <w:rsid w:val="008637C3"/>
    <w:rsid w:val="00864719"/>
    <w:rsid w:val="00865B96"/>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2"/>
    <w:rsid w:val="00883BA7"/>
    <w:rsid w:val="00884AC1"/>
    <w:rsid w:val="008865A3"/>
    <w:rsid w:val="008874D5"/>
    <w:rsid w:val="00890440"/>
    <w:rsid w:val="0089076F"/>
    <w:rsid w:val="0089558E"/>
    <w:rsid w:val="0089649D"/>
    <w:rsid w:val="008974A7"/>
    <w:rsid w:val="008A0450"/>
    <w:rsid w:val="008A128C"/>
    <w:rsid w:val="008A1A35"/>
    <w:rsid w:val="008A3A46"/>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176F"/>
    <w:rsid w:val="00933381"/>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554F"/>
    <w:rsid w:val="00960852"/>
    <w:rsid w:val="00961280"/>
    <w:rsid w:val="0096153B"/>
    <w:rsid w:val="00962D84"/>
    <w:rsid w:val="00965CCC"/>
    <w:rsid w:val="00966429"/>
    <w:rsid w:val="00966F7B"/>
    <w:rsid w:val="00966FDC"/>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83"/>
    <w:rsid w:val="00995376"/>
    <w:rsid w:val="00996B03"/>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D0AD3"/>
    <w:rsid w:val="009D250C"/>
    <w:rsid w:val="009D3883"/>
    <w:rsid w:val="009D4AE6"/>
    <w:rsid w:val="009D6F8C"/>
    <w:rsid w:val="009D71EF"/>
    <w:rsid w:val="009E0821"/>
    <w:rsid w:val="009E0825"/>
    <w:rsid w:val="009E5310"/>
    <w:rsid w:val="009E53DC"/>
    <w:rsid w:val="009E7299"/>
    <w:rsid w:val="009F0696"/>
    <w:rsid w:val="009F099B"/>
    <w:rsid w:val="009F18F5"/>
    <w:rsid w:val="009F1C9F"/>
    <w:rsid w:val="009F285D"/>
    <w:rsid w:val="009F2B83"/>
    <w:rsid w:val="009F3B6F"/>
    <w:rsid w:val="009F3CFA"/>
    <w:rsid w:val="009F5DB1"/>
    <w:rsid w:val="009F6A30"/>
    <w:rsid w:val="009F6E4A"/>
    <w:rsid w:val="00A02B3A"/>
    <w:rsid w:val="00A04118"/>
    <w:rsid w:val="00A05690"/>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5E2F"/>
    <w:rsid w:val="00A46FC2"/>
    <w:rsid w:val="00A5354E"/>
    <w:rsid w:val="00A547AC"/>
    <w:rsid w:val="00A5545B"/>
    <w:rsid w:val="00A55667"/>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7EEA"/>
    <w:rsid w:val="00A82596"/>
    <w:rsid w:val="00A8271F"/>
    <w:rsid w:val="00A839CE"/>
    <w:rsid w:val="00A84D2F"/>
    <w:rsid w:val="00A852AF"/>
    <w:rsid w:val="00A85A4E"/>
    <w:rsid w:val="00A85A66"/>
    <w:rsid w:val="00A85BF3"/>
    <w:rsid w:val="00A867BB"/>
    <w:rsid w:val="00A87DB1"/>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4DCA"/>
    <w:rsid w:val="00AB5367"/>
    <w:rsid w:val="00AB74A3"/>
    <w:rsid w:val="00AC053F"/>
    <w:rsid w:val="00AC0603"/>
    <w:rsid w:val="00AC1DBC"/>
    <w:rsid w:val="00AC4054"/>
    <w:rsid w:val="00AC45A8"/>
    <w:rsid w:val="00AD0208"/>
    <w:rsid w:val="00AD08E4"/>
    <w:rsid w:val="00AD09AB"/>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7C"/>
    <w:rsid w:val="00B216D2"/>
    <w:rsid w:val="00B22390"/>
    <w:rsid w:val="00B227F6"/>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25EE"/>
    <w:rsid w:val="00B5338D"/>
    <w:rsid w:val="00B5357B"/>
    <w:rsid w:val="00B53F23"/>
    <w:rsid w:val="00B54D8E"/>
    <w:rsid w:val="00B56812"/>
    <w:rsid w:val="00B572E3"/>
    <w:rsid w:val="00B578DE"/>
    <w:rsid w:val="00B57E5D"/>
    <w:rsid w:val="00B601A6"/>
    <w:rsid w:val="00B603F0"/>
    <w:rsid w:val="00B61132"/>
    <w:rsid w:val="00B6162D"/>
    <w:rsid w:val="00B61D43"/>
    <w:rsid w:val="00B644BC"/>
    <w:rsid w:val="00B664AB"/>
    <w:rsid w:val="00B71FAD"/>
    <w:rsid w:val="00B72B51"/>
    <w:rsid w:val="00B7326A"/>
    <w:rsid w:val="00B7475A"/>
    <w:rsid w:val="00B76194"/>
    <w:rsid w:val="00B77A38"/>
    <w:rsid w:val="00B815CA"/>
    <w:rsid w:val="00B87017"/>
    <w:rsid w:val="00B943E6"/>
    <w:rsid w:val="00B95221"/>
    <w:rsid w:val="00B95483"/>
    <w:rsid w:val="00B968C7"/>
    <w:rsid w:val="00B97E94"/>
    <w:rsid w:val="00BA02A8"/>
    <w:rsid w:val="00BA0C40"/>
    <w:rsid w:val="00BA28DB"/>
    <w:rsid w:val="00BA2BBB"/>
    <w:rsid w:val="00BA3AC7"/>
    <w:rsid w:val="00BA68C9"/>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360F"/>
    <w:rsid w:val="00BD3B77"/>
    <w:rsid w:val="00BD54A3"/>
    <w:rsid w:val="00BD7044"/>
    <w:rsid w:val="00BD71C8"/>
    <w:rsid w:val="00BE0044"/>
    <w:rsid w:val="00BE158F"/>
    <w:rsid w:val="00BE2B27"/>
    <w:rsid w:val="00BE2F04"/>
    <w:rsid w:val="00BE3B23"/>
    <w:rsid w:val="00BE4571"/>
    <w:rsid w:val="00BE4589"/>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EF2"/>
    <w:rsid w:val="00C17BDE"/>
    <w:rsid w:val="00C200EC"/>
    <w:rsid w:val="00C20C4F"/>
    <w:rsid w:val="00C20E87"/>
    <w:rsid w:val="00C22337"/>
    <w:rsid w:val="00C25659"/>
    <w:rsid w:val="00C26E8A"/>
    <w:rsid w:val="00C304CF"/>
    <w:rsid w:val="00C3110F"/>
    <w:rsid w:val="00C33303"/>
    <w:rsid w:val="00C33566"/>
    <w:rsid w:val="00C35341"/>
    <w:rsid w:val="00C363B3"/>
    <w:rsid w:val="00C364F0"/>
    <w:rsid w:val="00C40113"/>
    <w:rsid w:val="00C41BB8"/>
    <w:rsid w:val="00C426C6"/>
    <w:rsid w:val="00C45DA1"/>
    <w:rsid w:val="00C45ED3"/>
    <w:rsid w:val="00C4784B"/>
    <w:rsid w:val="00C47D3C"/>
    <w:rsid w:val="00C50E2E"/>
    <w:rsid w:val="00C5163F"/>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5CF8"/>
    <w:rsid w:val="00C67049"/>
    <w:rsid w:val="00C7037F"/>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D1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6DAC"/>
    <w:rsid w:val="00CE7C6D"/>
    <w:rsid w:val="00CF072C"/>
    <w:rsid w:val="00CF3C84"/>
    <w:rsid w:val="00CF53AE"/>
    <w:rsid w:val="00D02B41"/>
    <w:rsid w:val="00D06657"/>
    <w:rsid w:val="00D10966"/>
    <w:rsid w:val="00D11686"/>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63A7"/>
    <w:rsid w:val="00D279B2"/>
    <w:rsid w:val="00D31F5D"/>
    <w:rsid w:val="00D32A33"/>
    <w:rsid w:val="00D32BD7"/>
    <w:rsid w:val="00D34CA8"/>
    <w:rsid w:val="00D36CFE"/>
    <w:rsid w:val="00D439BB"/>
    <w:rsid w:val="00D43B3B"/>
    <w:rsid w:val="00D43C04"/>
    <w:rsid w:val="00D43F8E"/>
    <w:rsid w:val="00D451C6"/>
    <w:rsid w:val="00D45B51"/>
    <w:rsid w:val="00D462D8"/>
    <w:rsid w:val="00D504E5"/>
    <w:rsid w:val="00D54130"/>
    <w:rsid w:val="00D5545F"/>
    <w:rsid w:val="00D57D24"/>
    <w:rsid w:val="00D601B7"/>
    <w:rsid w:val="00D60528"/>
    <w:rsid w:val="00D61CD7"/>
    <w:rsid w:val="00D62302"/>
    <w:rsid w:val="00D64176"/>
    <w:rsid w:val="00D66507"/>
    <w:rsid w:val="00D66F4C"/>
    <w:rsid w:val="00D71280"/>
    <w:rsid w:val="00D72F44"/>
    <w:rsid w:val="00D74441"/>
    <w:rsid w:val="00D74F4D"/>
    <w:rsid w:val="00D754D1"/>
    <w:rsid w:val="00D75DFF"/>
    <w:rsid w:val="00D75F8E"/>
    <w:rsid w:val="00D7713E"/>
    <w:rsid w:val="00D77FC2"/>
    <w:rsid w:val="00D828C1"/>
    <w:rsid w:val="00D83DFA"/>
    <w:rsid w:val="00D8425E"/>
    <w:rsid w:val="00D84905"/>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017"/>
    <w:rsid w:val="00DC0700"/>
    <w:rsid w:val="00DC2484"/>
    <w:rsid w:val="00DC278D"/>
    <w:rsid w:val="00DC2C60"/>
    <w:rsid w:val="00DC3EE6"/>
    <w:rsid w:val="00DC75CE"/>
    <w:rsid w:val="00DD2798"/>
    <w:rsid w:val="00DD350D"/>
    <w:rsid w:val="00DD3893"/>
    <w:rsid w:val="00DD38BD"/>
    <w:rsid w:val="00DD3EE6"/>
    <w:rsid w:val="00DD73A2"/>
    <w:rsid w:val="00DD7E6A"/>
    <w:rsid w:val="00DE008D"/>
    <w:rsid w:val="00DE1023"/>
    <w:rsid w:val="00DE12EF"/>
    <w:rsid w:val="00DE1383"/>
    <w:rsid w:val="00DE1526"/>
    <w:rsid w:val="00DE2569"/>
    <w:rsid w:val="00DE413E"/>
    <w:rsid w:val="00DE4628"/>
    <w:rsid w:val="00DE4DB0"/>
    <w:rsid w:val="00DE72BB"/>
    <w:rsid w:val="00DF0868"/>
    <w:rsid w:val="00DF0A93"/>
    <w:rsid w:val="00DF0EA3"/>
    <w:rsid w:val="00DF1773"/>
    <w:rsid w:val="00DF1F47"/>
    <w:rsid w:val="00DF25FC"/>
    <w:rsid w:val="00DF46FF"/>
    <w:rsid w:val="00DF522F"/>
    <w:rsid w:val="00DF551D"/>
    <w:rsid w:val="00DF718E"/>
    <w:rsid w:val="00DF77AC"/>
    <w:rsid w:val="00DF7E0D"/>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83860"/>
    <w:rsid w:val="00E84DAF"/>
    <w:rsid w:val="00E85BB7"/>
    <w:rsid w:val="00E86ECA"/>
    <w:rsid w:val="00E86FBE"/>
    <w:rsid w:val="00E87F92"/>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1955"/>
    <w:rsid w:val="00ED2019"/>
    <w:rsid w:val="00ED23C9"/>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4C4E"/>
    <w:rsid w:val="00F00A03"/>
    <w:rsid w:val="00F00C77"/>
    <w:rsid w:val="00F00EB7"/>
    <w:rsid w:val="00F040F6"/>
    <w:rsid w:val="00F04DDB"/>
    <w:rsid w:val="00F05616"/>
    <w:rsid w:val="00F06F04"/>
    <w:rsid w:val="00F10551"/>
    <w:rsid w:val="00F112B8"/>
    <w:rsid w:val="00F12070"/>
    <w:rsid w:val="00F136BC"/>
    <w:rsid w:val="00F15349"/>
    <w:rsid w:val="00F15446"/>
    <w:rsid w:val="00F15F7A"/>
    <w:rsid w:val="00F16945"/>
    <w:rsid w:val="00F16D8B"/>
    <w:rsid w:val="00F22E70"/>
    <w:rsid w:val="00F24C93"/>
    <w:rsid w:val="00F2509B"/>
    <w:rsid w:val="00F2541C"/>
    <w:rsid w:val="00F2688E"/>
    <w:rsid w:val="00F27D45"/>
    <w:rsid w:val="00F32412"/>
    <w:rsid w:val="00F328EF"/>
    <w:rsid w:val="00F331E1"/>
    <w:rsid w:val="00F3375A"/>
    <w:rsid w:val="00F33E5B"/>
    <w:rsid w:val="00F34D79"/>
    <w:rsid w:val="00F3574B"/>
    <w:rsid w:val="00F357EB"/>
    <w:rsid w:val="00F37154"/>
    <w:rsid w:val="00F4420D"/>
    <w:rsid w:val="00F45823"/>
    <w:rsid w:val="00F45AE4"/>
    <w:rsid w:val="00F50D63"/>
    <w:rsid w:val="00F556BD"/>
    <w:rsid w:val="00F557BD"/>
    <w:rsid w:val="00F55D6F"/>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2661"/>
    <w:rsid w:val="00F82F35"/>
    <w:rsid w:val="00F83473"/>
    <w:rsid w:val="00F84281"/>
    <w:rsid w:val="00F864D3"/>
    <w:rsid w:val="00F871D4"/>
    <w:rsid w:val="00F871FE"/>
    <w:rsid w:val="00F929EB"/>
    <w:rsid w:val="00F9591B"/>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543D"/>
    <w:rsid w:val="00FF03A3"/>
    <w:rsid w:val="00FF13FA"/>
    <w:rsid w:val="00FF1601"/>
    <w:rsid w:val="00FF2E41"/>
    <w:rsid w:val="00FF34E7"/>
    <w:rsid w:val="00FF4CD1"/>
    <w:rsid w:val="00FF6577"/>
    <w:rsid w:val="00FF6ED5"/>
    <w:rsid w:val="705FF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Bibliography">
    <w:name w:val="Bibliography"/>
    <w:basedOn w:val="Normal"/>
    <w:next w:val="Normal"/>
    <w:uiPriority w:val="37"/>
    <w:unhideWhenUsed/>
    <w:rsid w:val="00DE1383"/>
  </w:style>
  <w:style w:type="paragraph" w:styleId="Footer">
    <w:name w:val="footer"/>
    <w:basedOn w:val="Normal"/>
    <w:link w:val="FooterChar"/>
    <w:uiPriority w:val="99"/>
    <w:unhideWhenUsed/>
    <w:rsid w:val="007933BA"/>
    <w:pPr>
      <w:tabs>
        <w:tab w:val="center" w:pos="4680"/>
        <w:tab w:val="right" w:pos="9360"/>
      </w:tabs>
      <w:spacing w:after="0"/>
    </w:pPr>
  </w:style>
  <w:style w:type="character" w:customStyle="1" w:styleId="FooterChar">
    <w:name w:val="Footer Char"/>
    <w:basedOn w:val="DefaultParagraphFont"/>
    <w:link w:val="Footer"/>
    <w:uiPriority w:val="99"/>
    <w:rsid w:val="007933BA"/>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5160526">
      <w:bodyDiv w:val="1"/>
      <w:marLeft w:val="0"/>
      <w:marRight w:val="0"/>
      <w:marTop w:val="0"/>
      <w:marBottom w:val="0"/>
      <w:divBdr>
        <w:top w:val="none" w:sz="0" w:space="0" w:color="auto"/>
        <w:left w:val="none" w:sz="0" w:space="0" w:color="auto"/>
        <w:bottom w:val="none" w:sz="0" w:space="0" w:color="auto"/>
        <w:right w:val="none" w:sz="0" w:space="0" w:color="auto"/>
      </w:divBdr>
    </w:div>
    <w:div w:id="665593081">
      <w:bodyDiv w:val="1"/>
      <w:marLeft w:val="0"/>
      <w:marRight w:val="0"/>
      <w:marTop w:val="0"/>
      <w:marBottom w:val="0"/>
      <w:divBdr>
        <w:top w:val="none" w:sz="0" w:space="0" w:color="auto"/>
        <w:left w:val="none" w:sz="0" w:space="0" w:color="auto"/>
        <w:bottom w:val="none" w:sz="0" w:space="0" w:color="auto"/>
        <w:right w:val="none" w:sz="0" w:space="0" w:color="auto"/>
      </w:divBdr>
    </w:div>
    <w:div w:id="731004862">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03930249">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63578262">
      <w:bodyDiv w:val="1"/>
      <w:marLeft w:val="0"/>
      <w:marRight w:val="0"/>
      <w:marTop w:val="0"/>
      <w:marBottom w:val="0"/>
      <w:divBdr>
        <w:top w:val="none" w:sz="0" w:space="0" w:color="auto"/>
        <w:left w:val="none" w:sz="0" w:space="0" w:color="auto"/>
        <w:bottom w:val="none" w:sz="0" w:space="0" w:color="auto"/>
        <w:right w:val="none" w:sz="0" w:space="0" w:color="auto"/>
      </w:divBdr>
    </w:div>
    <w:div w:id="965354975">
      <w:bodyDiv w:val="1"/>
      <w:marLeft w:val="0"/>
      <w:marRight w:val="0"/>
      <w:marTop w:val="0"/>
      <w:marBottom w:val="0"/>
      <w:divBdr>
        <w:top w:val="none" w:sz="0" w:space="0" w:color="auto"/>
        <w:left w:val="none" w:sz="0" w:space="0" w:color="auto"/>
        <w:bottom w:val="none" w:sz="0" w:space="0" w:color="auto"/>
        <w:right w:val="none" w:sz="0" w:space="0" w:color="auto"/>
      </w:divBdr>
    </w:div>
    <w:div w:id="971709074">
      <w:bodyDiv w:val="1"/>
      <w:marLeft w:val="0"/>
      <w:marRight w:val="0"/>
      <w:marTop w:val="0"/>
      <w:marBottom w:val="0"/>
      <w:divBdr>
        <w:top w:val="none" w:sz="0" w:space="0" w:color="auto"/>
        <w:left w:val="none" w:sz="0" w:space="0" w:color="auto"/>
        <w:bottom w:val="none" w:sz="0" w:space="0" w:color="auto"/>
        <w:right w:val="none" w:sz="0" w:space="0" w:color="auto"/>
      </w:divBdr>
    </w:div>
    <w:div w:id="1040859266">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54352246">
      <w:bodyDiv w:val="1"/>
      <w:marLeft w:val="0"/>
      <w:marRight w:val="0"/>
      <w:marTop w:val="0"/>
      <w:marBottom w:val="0"/>
      <w:divBdr>
        <w:top w:val="none" w:sz="0" w:space="0" w:color="auto"/>
        <w:left w:val="none" w:sz="0" w:space="0" w:color="auto"/>
        <w:bottom w:val="none" w:sz="0" w:space="0" w:color="auto"/>
        <w:right w:val="none" w:sz="0" w:space="0" w:color="auto"/>
      </w:divBdr>
    </w:div>
    <w:div w:id="1096756866">
      <w:bodyDiv w:val="1"/>
      <w:marLeft w:val="0"/>
      <w:marRight w:val="0"/>
      <w:marTop w:val="0"/>
      <w:marBottom w:val="0"/>
      <w:divBdr>
        <w:top w:val="none" w:sz="0" w:space="0" w:color="auto"/>
        <w:left w:val="none" w:sz="0" w:space="0" w:color="auto"/>
        <w:bottom w:val="none" w:sz="0" w:space="0" w:color="auto"/>
        <w:right w:val="none" w:sz="0" w:space="0" w:color="auto"/>
      </w:divBdr>
    </w:div>
    <w:div w:id="1158765781">
      <w:bodyDiv w:val="1"/>
      <w:marLeft w:val="0"/>
      <w:marRight w:val="0"/>
      <w:marTop w:val="0"/>
      <w:marBottom w:val="0"/>
      <w:divBdr>
        <w:top w:val="none" w:sz="0" w:space="0" w:color="auto"/>
        <w:left w:val="none" w:sz="0" w:space="0" w:color="auto"/>
        <w:bottom w:val="none" w:sz="0" w:space="0" w:color="auto"/>
        <w:right w:val="none" w:sz="0" w:space="0" w:color="auto"/>
      </w:divBdr>
    </w:div>
    <w:div w:id="1192572863">
      <w:bodyDiv w:val="1"/>
      <w:marLeft w:val="0"/>
      <w:marRight w:val="0"/>
      <w:marTop w:val="0"/>
      <w:marBottom w:val="0"/>
      <w:divBdr>
        <w:top w:val="none" w:sz="0" w:space="0" w:color="auto"/>
        <w:left w:val="none" w:sz="0" w:space="0" w:color="auto"/>
        <w:bottom w:val="none" w:sz="0" w:space="0" w:color="auto"/>
        <w:right w:val="none" w:sz="0" w:space="0" w:color="auto"/>
      </w:divBdr>
    </w:div>
    <w:div w:id="121746727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56645510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871212877">
      <w:bodyDiv w:val="1"/>
      <w:marLeft w:val="0"/>
      <w:marRight w:val="0"/>
      <w:marTop w:val="0"/>
      <w:marBottom w:val="0"/>
      <w:divBdr>
        <w:top w:val="none" w:sz="0" w:space="0" w:color="auto"/>
        <w:left w:val="none" w:sz="0" w:space="0" w:color="auto"/>
        <w:bottom w:val="none" w:sz="0" w:space="0" w:color="auto"/>
        <w:right w:val="none" w:sz="0" w:space="0" w:color="auto"/>
      </w:divBdr>
    </w:div>
    <w:div w:id="212318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SLenhWI</b:Tag>
    <b:SourceType>ConferenceProceedings</b:SourceType>
    <b:Guid>{B3AEB6F7-3EF1-4A3C-BBD8-F1B74C4E0A67}</b:Guid>
    <b:Title>RP-193257, New WID on NR sidelink enhancement, LGE</b:Title>
    <b:RefOrder>1</b:RefOrder>
  </b:Source>
  <b:Source>
    <b:Tag>TS38300</b:Tag>
    <b:SourceType>ConferenceProceedings</b:SourceType>
    <b:Guid>{23C54C5F-BE1C-4F73-9792-D3ED8D5FEDB4}</b:Guid>
    <b:Title>TS 38.300, NR; Overall description; Stage-2</b:Title>
    <b:RefOrder>2</b:RefOrder>
  </b:Source>
  <b:Source>
    <b:Tag>SLDRXalignment</b:Tag>
    <b:SourceType>ConferenceProceedings</b:SourceType>
    <b:Guid>{F34BAE7D-9A36-4935-B83E-AD462153A94A}</b:Guid>
    <b:Title>R2-2008988, Alignment of DRX wake up times, Intel Corporation</b:Title>
    <b:RefOrder>3</b:RefOrder>
  </b:Source>
</b:Sources>
</file>

<file path=customXml/itemProps1.xml><?xml version="1.0" encoding="utf-8"?>
<ds:datastoreItem xmlns:ds="http://schemas.openxmlformats.org/officeDocument/2006/customXml" ds:itemID="{EFD23346-0E0D-4271-A1A2-2D8F0F6FEB82}">
  <ds:schemaRefs>
    <ds:schemaRef ds:uri="23d77754-4ccc-4c57-9291-cab09e81894a"/>
    <ds:schemaRef ds:uri="http://purl.org/dc/elements/1.1/"/>
    <ds:schemaRef ds:uri="http://schemas.microsoft.com/office/infopath/2007/PartnerControls"/>
    <ds:schemaRef ds:uri="http://purl.org/dc/dcmitype/"/>
    <ds:schemaRef ds:uri="http://purl.org/dc/terms/"/>
    <ds:schemaRef ds:uri="a915fe38-2618-47b6-8303-829fb71466d5"/>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CCC67E7E-949B-4EAE-B7BA-52E52FB1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301C0-6C29-40F7-A38D-17194E65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5</cp:revision>
  <dcterms:created xsi:type="dcterms:W3CDTF">2020-10-23T02:07:00Z</dcterms:created>
  <dcterms:modified xsi:type="dcterms:W3CDTF">2020-10-23T02:11:00Z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