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6C3F34AE" w:rsidR="006D3016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 xml:space="preserve"> 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12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200</w:t>
      </w:r>
      <w:r w:rsidR="008D7F35">
        <w:rPr>
          <w:rFonts w:eastAsia="Times New Roman"/>
          <w:b/>
          <w:bCs/>
          <w:sz w:val="24"/>
          <w:szCs w:val="24"/>
        </w:rPr>
        <w:t>89</w:t>
      </w:r>
      <w:r w:rsidR="00822BD5">
        <w:rPr>
          <w:rFonts w:eastAsia="Times New Roman"/>
          <w:b/>
          <w:bCs/>
          <w:sz w:val="24"/>
          <w:szCs w:val="24"/>
        </w:rPr>
        <w:t>3</w:t>
      </w:r>
      <w:r w:rsidR="00CD3C36">
        <w:rPr>
          <w:rFonts w:eastAsia="Times New Roman"/>
          <w:b/>
          <w:bCs/>
          <w:sz w:val="24"/>
          <w:szCs w:val="24"/>
        </w:rPr>
        <w:t>4</w:t>
      </w:r>
    </w:p>
    <w:p w14:paraId="338512CF" w14:textId="3ECF39DB" w:rsidR="00F54DA5" w:rsidRPr="00B019D5" w:rsidRDefault="00B14610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>
        <w:rPr>
          <w:rFonts w:cs="Arial"/>
          <w:b/>
          <w:sz w:val="24"/>
          <w:szCs w:val="24"/>
          <w:lang w:eastAsia="en-US"/>
        </w:rPr>
        <w:t>Nov. 2</w:t>
      </w:r>
      <w:r w:rsidRPr="009804B2">
        <w:rPr>
          <w:rFonts w:cs="Arial"/>
          <w:b/>
          <w:sz w:val="24"/>
          <w:szCs w:val="24"/>
          <w:vertAlign w:val="superscript"/>
          <w:lang w:eastAsia="en-US"/>
        </w:rPr>
        <w:t>nd</w:t>
      </w:r>
      <w:r>
        <w:rPr>
          <w:rFonts w:cs="Arial"/>
          <w:b/>
          <w:sz w:val="24"/>
          <w:szCs w:val="24"/>
          <w:lang w:eastAsia="en-US"/>
        </w:rPr>
        <w:t xml:space="preserve"> – Nov. 13</w:t>
      </w:r>
      <w:r w:rsidRPr="009804B2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2020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A66B07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7FBF0A65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CD3C36">
        <w:rPr>
          <w:rFonts w:eastAsia="MS Mincho" w:cs="Arial"/>
          <w:bCs/>
          <w:sz w:val="24"/>
          <w:szCs w:val="24"/>
          <w:lang w:eastAsia="en-US"/>
        </w:rPr>
        <w:t>2.4</w:t>
      </w:r>
    </w:p>
    <w:p w14:paraId="341E9F0C" w14:textId="0F855372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43F0382A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D3C36" w:rsidRPr="00CD3C36">
        <w:rPr>
          <w:rFonts w:eastAsia="Times New Roman" w:cs="Arial"/>
          <w:bCs/>
          <w:sz w:val="24"/>
          <w:szCs w:val="24"/>
          <w:lang w:eastAsia="en-US"/>
        </w:rPr>
        <w:t>RAN2 related aspects for NR MBS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04EDC4D4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B46C9B">
        <w:t xml:space="preserve"> </w:t>
      </w:r>
      <w:r w:rsidR="003C57DE">
        <w:t xml:space="preserve">In the contribution, </w:t>
      </w:r>
      <w:r w:rsidR="00633460">
        <w:t xml:space="preserve">how to support </w:t>
      </w:r>
      <w:r w:rsidR="003C57DE">
        <w:t xml:space="preserve">the </w:t>
      </w:r>
      <w:r w:rsidR="00633460">
        <w:t>unitary</w:t>
      </w:r>
      <w:r w:rsidR="000A6B52">
        <w:t xml:space="preserve"> (same)</w:t>
      </w:r>
      <w:r w:rsidR="00633460">
        <w:t xml:space="preserve"> configuration across the different </w:t>
      </w:r>
      <w:proofErr w:type="spellStart"/>
      <w:r w:rsidR="00633460">
        <w:t>gNBs</w:t>
      </w:r>
      <w:proofErr w:type="spellEnd"/>
      <w:r w:rsidR="00633460">
        <w:t xml:space="preserve"> is discussed and the </w:t>
      </w:r>
      <w:r w:rsidR="000A6B52">
        <w:t>related proposal is made</w:t>
      </w:r>
      <w:r w:rsidR="00582B18">
        <w:t>.</w:t>
      </w:r>
    </w:p>
    <w:p w14:paraId="7F646130" w14:textId="77777777" w:rsidR="001665F2" w:rsidRDefault="001665F2" w:rsidP="00A31AC0"/>
    <w:p w14:paraId="27F063AA" w14:textId="177B69FA" w:rsidR="003C57DE" w:rsidRDefault="00633460" w:rsidP="00891B72">
      <w:pPr>
        <w:pStyle w:val="1"/>
        <w:numPr>
          <w:ilvl w:val="0"/>
          <w:numId w:val="18"/>
        </w:numPr>
      </w:pPr>
      <w:bookmarkStart w:id="2" w:name="OLE_LINK1"/>
      <w:bookmarkStart w:id="3" w:name="OLE_LINK2"/>
      <w:bookmarkStart w:id="4" w:name="_Ref40865202"/>
      <w:r>
        <w:t>How to support unitary configuration</w:t>
      </w:r>
    </w:p>
    <w:p w14:paraId="2092F4C8" w14:textId="3F5718ED" w:rsidR="00596C0F" w:rsidRDefault="00633460" w:rsidP="00C123D7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described in [2], there are some scenarios for the unitary configuration to be executed across the different </w:t>
      </w:r>
      <w:proofErr w:type="spellStart"/>
      <w:r>
        <w:rPr>
          <w:rFonts w:eastAsiaTheme="minorEastAsia"/>
        </w:rPr>
        <w:t>gNBs</w:t>
      </w:r>
      <w:proofErr w:type="spellEnd"/>
      <w:r>
        <w:rPr>
          <w:rFonts w:eastAsiaTheme="minorEastAsia"/>
        </w:rPr>
        <w:t xml:space="preserve">. </w:t>
      </w:r>
      <w:r w:rsidR="001F3E52">
        <w:rPr>
          <w:rFonts w:eastAsiaTheme="minorEastAsia"/>
        </w:rPr>
        <w:t>For example, the unitary (same</w:t>
      </w:r>
      <w:r w:rsidR="001F3E52">
        <w:rPr>
          <w:rFonts w:eastAsiaTheme="minorEastAsia" w:hint="eastAsia"/>
        </w:rPr>
        <w:t xml:space="preserve">) </w:t>
      </w:r>
      <w:r w:rsidR="001F3E52">
        <w:rPr>
          <w:rFonts w:eastAsiaTheme="minorEastAsia"/>
        </w:rPr>
        <w:t xml:space="preserve">SDAP and PDCP configuration of an MBS across the different </w:t>
      </w:r>
      <w:proofErr w:type="spellStart"/>
      <w:r w:rsidR="001F3E52">
        <w:rPr>
          <w:rFonts w:eastAsiaTheme="minorEastAsia"/>
        </w:rPr>
        <w:t>gNBs</w:t>
      </w:r>
      <w:proofErr w:type="spellEnd"/>
      <w:r w:rsidR="001F3E52">
        <w:rPr>
          <w:rFonts w:eastAsiaTheme="minorEastAsia"/>
        </w:rPr>
        <w:t xml:space="preserve"> can benefit the MBS service continuity. The </w:t>
      </w:r>
      <w:r w:rsidR="007A0605">
        <w:rPr>
          <w:rFonts w:eastAsiaTheme="minorEastAsia"/>
        </w:rPr>
        <w:t>unitary (same) SD</w:t>
      </w:r>
      <w:r w:rsidR="00B82187">
        <w:rPr>
          <w:rFonts w:eastAsiaTheme="minorEastAsia"/>
        </w:rPr>
        <w:t>A</w:t>
      </w:r>
      <w:r w:rsidR="007A0605">
        <w:rPr>
          <w:rFonts w:eastAsiaTheme="minorEastAsia"/>
        </w:rPr>
        <w:t xml:space="preserve">P/PDCP/RLC/PDSCH/PDCCH configuration of each PTM bearer of an MBS </w:t>
      </w:r>
      <w:r w:rsidR="00454A47">
        <w:rPr>
          <w:rFonts w:eastAsiaTheme="minorEastAsia"/>
        </w:rPr>
        <w:t xml:space="preserve">in the different cells across the different </w:t>
      </w:r>
      <w:proofErr w:type="spellStart"/>
      <w:r w:rsidR="00454A47">
        <w:rPr>
          <w:rFonts w:eastAsiaTheme="minorEastAsia"/>
        </w:rPr>
        <w:t>gNBs</w:t>
      </w:r>
      <w:proofErr w:type="spellEnd"/>
      <w:r w:rsidR="00454A47">
        <w:rPr>
          <w:rFonts w:eastAsiaTheme="minorEastAsia"/>
        </w:rPr>
        <w:t xml:space="preserve"> </w:t>
      </w:r>
      <w:r w:rsidR="007A0605">
        <w:rPr>
          <w:rFonts w:eastAsiaTheme="minorEastAsia"/>
        </w:rPr>
        <w:t xml:space="preserve">can </w:t>
      </w:r>
      <w:r w:rsidR="00B82187">
        <w:rPr>
          <w:rFonts w:eastAsiaTheme="minorEastAsia"/>
        </w:rPr>
        <w:t xml:space="preserve">simplify the handover procedure. </w:t>
      </w:r>
    </w:p>
    <w:p w14:paraId="0B641245" w14:textId="4846E730" w:rsidR="00454A47" w:rsidRDefault="00454A47" w:rsidP="00C123D7">
      <w:pPr>
        <w:rPr>
          <w:rFonts w:eastAsiaTheme="minorEastAsia"/>
        </w:rPr>
      </w:pPr>
      <w:r>
        <w:rPr>
          <w:rFonts w:eastAsiaTheme="minorEastAsia"/>
        </w:rPr>
        <w:t xml:space="preserve">If no extra entity is used to execute the unitary configuration across the different </w:t>
      </w:r>
      <w:proofErr w:type="spellStart"/>
      <w:r>
        <w:rPr>
          <w:rFonts w:eastAsiaTheme="minorEastAsia"/>
        </w:rPr>
        <w:t>gNBs</w:t>
      </w:r>
      <w:proofErr w:type="spellEnd"/>
      <w:r>
        <w:rPr>
          <w:rFonts w:eastAsiaTheme="minorEastAsia"/>
        </w:rPr>
        <w:t xml:space="preserve">, the master </w:t>
      </w:r>
      <w:proofErr w:type="spellStart"/>
      <w:r w:rsidR="0046497C">
        <w:rPr>
          <w:rFonts w:eastAsiaTheme="minorEastAsia"/>
        </w:rPr>
        <w:t>gNB</w:t>
      </w:r>
      <w:proofErr w:type="spellEnd"/>
      <w:r w:rsidR="0046497C">
        <w:rPr>
          <w:rFonts w:eastAsiaTheme="minorEastAsia"/>
        </w:rPr>
        <w:t xml:space="preserve"> can be defined to execute the unitary configuration. The master </w:t>
      </w:r>
      <w:proofErr w:type="spellStart"/>
      <w:r w:rsidR="0046497C">
        <w:rPr>
          <w:rFonts w:eastAsiaTheme="minorEastAsia"/>
        </w:rPr>
        <w:t>gNB</w:t>
      </w:r>
      <w:proofErr w:type="spellEnd"/>
      <w:r w:rsidR="0046497C">
        <w:rPr>
          <w:rFonts w:eastAsiaTheme="minorEastAsia"/>
        </w:rPr>
        <w:t xml:space="preserve"> makes the unitary configuration and then send the unitary configuration to each secondary </w:t>
      </w:r>
      <w:proofErr w:type="spellStart"/>
      <w:r w:rsidR="0046497C">
        <w:rPr>
          <w:rFonts w:eastAsiaTheme="minorEastAsia"/>
        </w:rPr>
        <w:t>gNB</w:t>
      </w:r>
      <w:proofErr w:type="spellEnd"/>
      <w:r w:rsidR="0046497C">
        <w:rPr>
          <w:rFonts w:eastAsiaTheme="minorEastAsia"/>
        </w:rPr>
        <w:t xml:space="preserve"> which is connected with the master </w:t>
      </w:r>
      <w:proofErr w:type="spellStart"/>
      <w:r w:rsidR="0046497C">
        <w:rPr>
          <w:rFonts w:eastAsiaTheme="minorEastAsia"/>
        </w:rPr>
        <w:t>gNB</w:t>
      </w:r>
      <w:proofErr w:type="spellEnd"/>
      <w:r w:rsidR="0046497C">
        <w:rPr>
          <w:rFonts w:eastAsiaTheme="minorEastAsia"/>
        </w:rPr>
        <w:t xml:space="preserve"> over </w:t>
      </w:r>
      <w:proofErr w:type="spellStart"/>
      <w:r w:rsidR="0046497C">
        <w:rPr>
          <w:rFonts w:eastAsiaTheme="minorEastAsia"/>
        </w:rPr>
        <w:t>Xn</w:t>
      </w:r>
      <w:proofErr w:type="spellEnd"/>
      <w:r w:rsidR="0046497C">
        <w:rPr>
          <w:rFonts w:eastAsiaTheme="minorEastAsia"/>
        </w:rPr>
        <w:t xml:space="preserve">. The master </w:t>
      </w:r>
      <w:proofErr w:type="spellStart"/>
      <w:r w:rsidR="0046497C">
        <w:rPr>
          <w:rFonts w:eastAsiaTheme="minorEastAsia"/>
        </w:rPr>
        <w:t>gNB</w:t>
      </w:r>
      <w:proofErr w:type="spellEnd"/>
      <w:r w:rsidR="0046497C">
        <w:rPr>
          <w:rFonts w:eastAsiaTheme="minorEastAsia"/>
        </w:rPr>
        <w:t xml:space="preserve"> and each secondary </w:t>
      </w:r>
      <w:proofErr w:type="spellStart"/>
      <w:r w:rsidR="0046497C">
        <w:rPr>
          <w:rFonts w:eastAsiaTheme="minorEastAsia"/>
        </w:rPr>
        <w:t>gNB</w:t>
      </w:r>
      <w:proofErr w:type="spellEnd"/>
      <w:r w:rsidR="0046497C">
        <w:rPr>
          <w:rFonts w:eastAsiaTheme="minorEastAsia"/>
        </w:rPr>
        <w:t xml:space="preserve"> can be </w:t>
      </w:r>
      <w:r w:rsidR="00B066C1">
        <w:rPr>
          <w:rFonts w:eastAsiaTheme="minorEastAsia"/>
        </w:rPr>
        <w:t xml:space="preserve">defined </w:t>
      </w:r>
      <w:r w:rsidR="0046497C">
        <w:rPr>
          <w:rFonts w:eastAsiaTheme="minorEastAsia"/>
        </w:rPr>
        <w:t>by the OMC/LMT</w:t>
      </w:r>
      <w:r w:rsidR="00B066C1">
        <w:rPr>
          <w:rFonts w:eastAsiaTheme="minorEastAsia"/>
        </w:rPr>
        <w:t xml:space="preserve"> or pre-configured during the inter-connection between the different </w:t>
      </w:r>
      <w:proofErr w:type="spellStart"/>
      <w:r w:rsidR="00B066C1">
        <w:rPr>
          <w:rFonts w:eastAsiaTheme="minorEastAsia"/>
        </w:rPr>
        <w:t>gNBs</w:t>
      </w:r>
      <w:proofErr w:type="spellEnd"/>
      <w:r w:rsidR="00B066C1">
        <w:rPr>
          <w:rFonts w:eastAsiaTheme="minorEastAsia"/>
        </w:rPr>
        <w:t>.</w:t>
      </w:r>
    </w:p>
    <w:p w14:paraId="63200782" w14:textId="1301BC42" w:rsidR="00B066C1" w:rsidRDefault="00B066C1" w:rsidP="00C123D7">
      <w:pPr>
        <w:rPr>
          <w:rFonts w:eastAsiaTheme="minorEastAsia"/>
        </w:rPr>
      </w:pPr>
      <w:r>
        <w:rPr>
          <w:rFonts w:eastAsiaTheme="minorEastAsia"/>
        </w:rPr>
        <w:t>Based on the above discussion, the following proposal is made.</w:t>
      </w:r>
    </w:p>
    <w:p w14:paraId="449FE9BF" w14:textId="77777777" w:rsidR="00B066C1" w:rsidRDefault="00B066C1" w:rsidP="00C123D7">
      <w:pPr>
        <w:rPr>
          <w:rFonts w:eastAsiaTheme="minorEastAsia"/>
        </w:rPr>
      </w:pPr>
    </w:p>
    <w:p w14:paraId="0B05CA9D" w14:textId="77777777" w:rsidR="009D7723" w:rsidRDefault="009D7723" w:rsidP="00C123D7">
      <w:pPr>
        <w:rPr>
          <w:rFonts w:eastAsiaTheme="minorEastAsia"/>
        </w:rPr>
      </w:pPr>
      <w:r>
        <w:rPr>
          <w:rFonts w:eastAsiaTheme="minorEastAsia"/>
        </w:rPr>
        <w:t xml:space="preserve">Proposal 1: Among the different </w:t>
      </w:r>
      <w:proofErr w:type="spellStart"/>
      <w:r w:rsidR="00B066C1">
        <w:rPr>
          <w:rFonts w:eastAsiaTheme="minorEastAsia"/>
        </w:rPr>
        <w:t>gNBs</w:t>
      </w:r>
      <w:proofErr w:type="spellEnd"/>
      <w:r w:rsidR="00B066C1">
        <w:rPr>
          <w:rFonts w:eastAsiaTheme="minorEastAsia"/>
        </w:rPr>
        <w:t xml:space="preserve"> interconnect</w:t>
      </w:r>
      <w:r>
        <w:rPr>
          <w:rFonts w:eastAsiaTheme="minorEastAsia"/>
        </w:rPr>
        <w:t xml:space="preserve">ed with </w:t>
      </w:r>
      <w:r w:rsidR="00B066C1">
        <w:rPr>
          <w:rFonts w:eastAsiaTheme="minorEastAsia"/>
        </w:rPr>
        <w:t>each other,</w:t>
      </w:r>
      <w:r>
        <w:rPr>
          <w:rFonts w:eastAsiaTheme="minorEastAsia"/>
        </w:rPr>
        <w:t xml:space="preserve"> the master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is defined or pre-configured.</w:t>
      </w:r>
    </w:p>
    <w:bookmarkEnd w:id="2"/>
    <w:bookmarkEnd w:id="3"/>
    <w:bookmarkEnd w:id="4"/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16605BA8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190D9A">
        <w:rPr>
          <w:lang w:eastAsia="ja-JP"/>
        </w:rPr>
        <w:t xml:space="preserve">for </w:t>
      </w:r>
      <w:r w:rsidR="00633460">
        <w:rPr>
          <w:lang w:eastAsia="ja-JP"/>
        </w:rPr>
        <w:t xml:space="preserve">the unitary configuration across the different </w:t>
      </w:r>
      <w:proofErr w:type="spellStart"/>
      <w:r w:rsidR="00633460">
        <w:rPr>
          <w:lang w:eastAsia="ja-JP"/>
        </w:rPr>
        <w:t>gNBs</w:t>
      </w:r>
      <w:proofErr w:type="spellEnd"/>
      <w:r w:rsidR="00633460">
        <w:rPr>
          <w:lang w:eastAsia="ja-JP"/>
        </w:rPr>
        <w:t xml:space="preserve"> </w:t>
      </w:r>
      <w:r w:rsidR="00EB6B6C">
        <w:rPr>
          <w:lang w:eastAsia="ja-JP"/>
        </w:rPr>
        <w:t xml:space="preserve">is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discussed.</w:t>
      </w:r>
    </w:p>
    <w:p w14:paraId="25EE3C80" w14:textId="77777777" w:rsidR="009D7723" w:rsidRDefault="009D7723" w:rsidP="009D7723">
      <w:pPr>
        <w:rPr>
          <w:rFonts w:eastAsiaTheme="minorEastAsia"/>
        </w:rPr>
      </w:pPr>
      <w:r>
        <w:rPr>
          <w:rFonts w:eastAsiaTheme="minorEastAsia"/>
        </w:rPr>
        <w:t xml:space="preserve">Proposal 1: Among the different </w:t>
      </w:r>
      <w:proofErr w:type="spellStart"/>
      <w:r>
        <w:rPr>
          <w:rFonts w:eastAsiaTheme="minorEastAsia"/>
        </w:rPr>
        <w:t>gNBs</w:t>
      </w:r>
      <w:proofErr w:type="spellEnd"/>
      <w:r>
        <w:rPr>
          <w:rFonts w:eastAsiaTheme="minorEastAsia"/>
        </w:rPr>
        <w:t xml:space="preserve"> interconnected with each other, the master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is defined or pre-configured.</w:t>
      </w:r>
    </w:p>
    <w:p w14:paraId="2692B80B" w14:textId="77777777" w:rsidR="00CE3A47" w:rsidRPr="009D7723" w:rsidRDefault="00CE3A47" w:rsidP="00290F62">
      <w:pPr>
        <w:rPr>
          <w:lang w:eastAsia="ja-JP"/>
        </w:rPr>
      </w:pPr>
    </w:p>
    <w:p w14:paraId="3D52D671" w14:textId="77777777" w:rsidR="008858F4" w:rsidRPr="00BE3C1E" w:rsidRDefault="008858F4" w:rsidP="008858F4">
      <w:pPr>
        <w:rPr>
          <w:rFonts w:eastAsia="MS Gothic"/>
          <w:b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D27117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bookmarkStart w:id="5" w:name="_GoBack"/>
      <w:r w:rsidRPr="00D2711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61038601" w:rsidR="00C123D7" w:rsidRPr="00D27117" w:rsidRDefault="00C123D7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 w:rsidRPr="00D27117">
        <w:rPr>
          <w:rFonts w:eastAsia="Times New Roman" w:cs="Arial"/>
          <w:bCs/>
          <w:szCs w:val="20"/>
          <w:lang w:eastAsia="en-US"/>
        </w:rPr>
        <w:t>R2-2008929</w:t>
      </w:r>
      <w:r w:rsidR="00D27117" w:rsidRPr="00D27117">
        <w:rPr>
          <w:rFonts w:eastAsia="Times New Roman" w:cs="Arial"/>
          <w:bCs/>
          <w:szCs w:val="20"/>
          <w:lang w:eastAsia="en-US"/>
        </w:rPr>
        <w:t>,</w:t>
      </w:r>
      <w:r w:rsidRPr="00D27117">
        <w:rPr>
          <w:rFonts w:eastAsia="Times New Roman" w:cs="Arial"/>
          <w:bCs/>
          <w:szCs w:val="20"/>
          <w:lang w:eastAsia="en-US"/>
        </w:rPr>
        <w:t xml:space="preserve"> D</w:t>
      </w:r>
      <w:r w:rsidRPr="00D27117">
        <w:rPr>
          <w:rFonts w:asciiTheme="minorEastAsia" w:eastAsiaTheme="minorEastAsia" w:hAnsiTheme="minorEastAsia" w:cs="Arial" w:hint="eastAsia"/>
          <w:bCs/>
          <w:szCs w:val="20"/>
        </w:rPr>
        <w:t>i</w:t>
      </w:r>
      <w:r w:rsidRPr="00D27117">
        <w:rPr>
          <w:rFonts w:asciiTheme="minorEastAsia" w:eastAsiaTheme="minorEastAsia" w:hAnsiTheme="minorEastAsia" w:cs="Arial"/>
          <w:bCs/>
          <w:szCs w:val="20"/>
        </w:rPr>
        <w:t>scussion on the protocol stack for NR MBS, RAN2 Meeting #112-e</w:t>
      </w:r>
      <w:bookmarkEnd w:id="5"/>
    </w:p>
    <w:sectPr w:rsidR="00C123D7" w:rsidRPr="00D27117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F497E" w14:textId="77777777" w:rsidR="0097271D" w:rsidRDefault="0097271D">
      <w:r>
        <w:separator/>
      </w:r>
    </w:p>
    <w:p w14:paraId="34D362DB" w14:textId="77777777" w:rsidR="0097271D" w:rsidRDefault="0097271D"/>
  </w:endnote>
  <w:endnote w:type="continuationSeparator" w:id="0">
    <w:p w14:paraId="683C392D" w14:textId="77777777" w:rsidR="0097271D" w:rsidRDefault="0097271D">
      <w:r>
        <w:continuationSeparator/>
      </w:r>
    </w:p>
    <w:p w14:paraId="696A5354" w14:textId="77777777" w:rsidR="0097271D" w:rsidRDefault="009727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B066C1" w:rsidRDefault="00B066C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711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097A1" w14:textId="77777777" w:rsidR="0097271D" w:rsidRDefault="0097271D">
      <w:r>
        <w:separator/>
      </w:r>
    </w:p>
    <w:p w14:paraId="1BA5D7F4" w14:textId="77777777" w:rsidR="0097271D" w:rsidRDefault="0097271D"/>
  </w:footnote>
  <w:footnote w:type="continuationSeparator" w:id="0">
    <w:p w14:paraId="5AD48A00" w14:textId="77777777" w:rsidR="0097271D" w:rsidRDefault="0097271D">
      <w:r>
        <w:continuationSeparator/>
      </w:r>
    </w:p>
    <w:p w14:paraId="26BEFD57" w14:textId="77777777" w:rsidR="0097271D" w:rsidRDefault="009727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B066C1" w:rsidRDefault="00B066C1"/>
  <w:p w14:paraId="756100E0" w14:textId="77777777" w:rsidR="00B066C1" w:rsidRDefault="00B066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2C15349"/>
    <w:multiLevelType w:val="hybridMultilevel"/>
    <w:tmpl w:val="B7220B86"/>
    <w:lvl w:ilvl="0" w:tplc="8140E4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5"/>
  </w:num>
  <w:num w:numId="3">
    <w:abstractNumId w:val="32"/>
  </w:num>
  <w:num w:numId="4">
    <w:abstractNumId w:val="10"/>
  </w:num>
  <w:num w:numId="5">
    <w:abstractNumId w:val="11"/>
  </w:num>
  <w:num w:numId="6">
    <w:abstractNumId w:val="43"/>
  </w:num>
  <w:num w:numId="7">
    <w:abstractNumId w:val="29"/>
  </w:num>
  <w:num w:numId="8">
    <w:abstractNumId w:val="12"/>
  </w:num>
  <w:num w:numId="9">
    <w:abstractNumId w:val="39"/>
  </w:num>
  <w:num w:numId="10">
    <w:abstractNumId w:val="14"/>
  </w:num>
  <w:num w:numId="11">
    <w:abstractNumId w:val="3"/>
  </w:num>
  <w:num w:numId="12">
    <w:abstractNumId w:val="44"/>
  </w:num>
  <w:num w:numId="13">
    <w:abstractNumId w:val="23"/>
  </w:num>
  <w:num w:numId="14">
    <w:abstractNumId w:val="4"/>
  </w:num>
  <w:num w:numId="15">
    <w:abstractNumId w:val="36"/>
  </w:num>
  <w:num w:numId="16">
    <w:abstractNumId w:val="26"/>
  </w:num>
  <w:num w:numId="17">
    <w:abstractNumId w:val="24"/>
  </w:num>
  <w:num w:numId="18">
    <w:abstractNumId w:val="47"/>
  </w:num>
  <w:num w:numId="19">
    <w:abstractNumId w:val="6"/>
  </w:num>
  <w:num w:numId="20">
    <w:abstractNumId w:val="25"/>
  </w:num>
  <w:num w:numId="21">
    <w:abstractNumId w:val="31"/>
  </w:num>
  <w:num w:numId="22">
    <w:abstractNumId w:val="20"/>
  </w:num>
  <w:num w:numId="23">
    <w:abstractNumId w:val="1"/>
  </w:num>
  <w:num w:numId="24">
    <w:abstractNumId w:val="33"/>
  </w:num>
  <w:num w:numId="25">
    <w:abstractNumId w:val="46"/>
  </w:num>
  <w:num w:numId="26">
    <w:abstractNumId w:val="2"/>
  </w:num>
  <w:num w:numId="27">
    <w:abstractNumId w:val="40"/>
  </w:num>
  <w:num w:numId="28">
    <w:abstractNumId w:val="37"/>
  </w:num>
  <w:num w:numId="29">
    <w:abstractNumId w:val="41"/>
  </w:num>
  <w:num w:numId="30">
    <w:abstractNumId w:val="0"/>
  </w:num>
  <w:num w:numId="31">
    <w:abstractNumId w:val="21"/>
  </w:num>
  <w:num w:numId="32">
    <w:abstractNumId w:val="35"/>
  </w:num>
  <w:num w:numId="33">
    <w:abstractNumId w:val="27"/>
  </w:num>
  <w:num w:numId="34">
    <w:abstractNumId w:val="30"/>
  </w:num>
  <w:num w:numId="35">
    <w:abstractNumId w:val="8"/>
  </w:num>
  <w:num w:numId="36">
    <w:abstractNumId w:val="28"/>
  </w:num>
  <w:num w:numId="37">
    <w:abstractNumId w:val="5"/>
  </w:num>
  <w:num w:numId="38">
    <w:abstractNumId w:val="38"/>
  </w:num>
  <w:num w:numId="39">
    <w:abstractNumId w:val="13"/>
  </w:num>
  <w:num w:numId="40">
    <w:abstractNumId w:val="42"/>
  </w:num>
  <w:num w:numId="41">
    <w:abstractNumId w:val="22"/>
  </w:num>
  <w:num w:numId="42">
    <w:abstractNumId w:val="9"/>
  </w:num>
  <w:num w:numId="43">
    <w:abstractNumId w:val="17"/>
  </w:num>
  <w:num w:numId="44">
    <w:abstractNumId w:val="34"/>
  </w:num>
  <w:num w:numId="45">
    <w:abstractNumId w:val="16"/>
  </w:num>
  <w:num w:numId="46">
    <w:abstractNumId w:val="7"/>
  </w:num>
  <w:num w:numId="47">
    <w:abstractNumId w:val="19"/>
  </w:num>
  <w:num w:numId="48">
    <w:abstractNumId w:val="18"/>
  </w:num>
  <w:num w:numId="4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269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6B52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89B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3E52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4A47"/>
    <w:rsid w:val="00455E16"/>
    <w:rsid w:val="00456588"/>
    <w:rsid w:val="00456919"/>
    <w:rsid w:val="00456BDF"/>
    <w:rsid w:val="00461C94"/>
    <w:rsid w:val="00461DAF"/>
    <w:rsid w:val="004621E3"/>
    <w:rsid w:val="0046341C"/>
    <w:rsid w:val="0046497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6C0F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460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71D"/>
    <w:rsid w:val="00695480"/>
    <w:rsid w:val="006959A2"/>
    <w:rsid w:val="006960B9"/>
    <w:rsid w:val="00697BC2"/>
    <w:rsid w:val="006A06A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0605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71D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723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393C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66C1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187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3C36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117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6B6C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45E8D-2D8B-48DA-89AA-AD2B135C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10</cp:revision>
  <cp:lastPrinted>2019-02-06T17:41:00Z</cp:lastPrinted>
  <dcterms:created xsi:type="dcterms:W3CDTF">2020-10-26T03:44:00Z</dcterms:created>
  <dcterms:modified xsi:type="dcterms:W3CDTF">2020-10-26T13:49:00Z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(3)tuWfHGcZQeTcXWfWl1U4X3ysM77v/P/0loRnBe38S7qjh9fMCiCPhg0q6qPlz85NS4vnJjn7
nHsx9eNcQLh0gmYp1tYgap7Gmbf3O82peGPtwsN/YGhETD9vMezIxixLZqWCf8dBmh9D4yuj
nRWiOvzgU4in55lbsFlqTxIItBAnX5Q4PnEQosLY19HpxRby5H1o9lrBT0wOORz8WADAgqCR
6IrUNQwNlMlmjnXyiF</vt:lpwstr>
  </property>
  <property fmtid="{D5CDD505-2E9C-101B-9397-08002B2CF9AE}" pid="4" name="_2015_ms_pID_7253431">
    <vt:lpwstr>/yLCNVLcckVjH+0YPftE+2hhcfM+3Y/wqN5EaKNvTxlgFKLwMzX0ym
3ffByYG2vH16cLrDMspv+Zc7G8jzWFuNR4e8D35Dz7owC14x6oaeu23EFbvvYhO3HBM+V0H3
VgcNESYY5y4Bte93AnauNC6VXxSMShr9pnejui2Cjvbh50p+FBd628iR+OQ8/ahA3qcGfsWv
1oGTRwy0UvHyiVIWpKLEI+Xdei4WpYyGMf08</vt:lpwstr>
  </property>
  <property fmtid="{D5CDD505-2E9C-101B-9397-08002B2CF9AE}" pid="5" name="_2015_ms_pID_7253432">
    <vt:lpwstr>8/jZxaXiDPLMthUUFbj6QFM=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