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45F904DB" w:rsidR="00D77AC4" w:rsidRDefault="00D77AC4" w:rsidP="00B52FDC">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w:t>
      </w:r>
      <w:r w:rsidR="000D4F1F">
        <w:rPr>
          <w:b/>
          <w:noProof/>
          <w:sz w:val="24"/>
        </w:rPr>
        <w:t>11</w:t>
      </w:r>
      <w:r w:rsidR="00F22DE1">
        <w:rPr>
          <w:b/>
          <w:noProof/>
          <w:sz w:val="24"/>
        </w:rPr>
        <w:t>-e</w:t>
      </w:r>
      <w:r>
        <w:rPr>
          <w:b/>
          <w:i/>
          <w:noProof/>
          <w:sz w:val="28"/>
        </w:rPr>
        <w:tab/>
      </w:r>
      <w:r w:rsidR="00F22DE1">
        <w:rPr>
          <w:rFonts w:hint="eastAsia"/>
          <w:b/>
          <w:i/>
          <w:noProof/>
          <w:sz w:val="28"/>
          <w:lang w:eastAsia="zh-TW"/>
        </w:rPr>
        <w:t>R2-20</w:t>
      </w:r>
      <w:r w:rsidR="00F22DE1">
        <w:rPr>
          <w:b/>
          <w:i/>
          <w:noProof/>
          <w:sz w:val="28"/>
          <w:lang w:eastAsia="zh-TW"/>
        </w:rPr>
        <w:t>0</w:t>
      </w:r>
      <w:r w:rsidR="00DA3ED5">
        <w:rPr>
          <w:b/>
          <w:i/>
          <w:noProof/>
          <w:sz w:val="28"/>
          <w:lang w:eastAsia="zh-TW"/>
        </w:rPr>
        <w:t>7205</w:t>
      </w:r>
    </w:p>
    <w:p w14:paraId="5590FBC5" w14:textId="07ED7C97" w:rsidR="00F22DE1" w:rsidRPr="004A5F2C" w:rsidRDefault="000D4F1F" w:rsidP="00F22DE1">
      <w:pPr>
        <w:pStyle w:val="CRCoverPage"/>
        <w:outlineLvl w:val="0"/>
        <w:rPr>
          <w:b/>
          <w:noProof/>
          <w:sz w:val="24"/>
        </w:rPr>
      </w:pPr>
      <w:r>
        <w:rPr>
          <w:rFonts w:cs="Arial"/>
          <w:b/>
          <w:sz w:val="24"/>
          <w:lang w:val="de-DE" w:eastAsia="zh-CN"/>
        </w:rPr>
        <w:t>Electronic, 17 - 28 AUGUST</w:t>
      </w:r>
      <w:r w:rsidR="00D95646">
        <w:rPr>
          <w:rFonts w:cs="Arial" w:hint="eastAsia"/>
          <w:b/>
          <w:sz w:val="24"/>
          <w:lang w:val="de-DE" w:eastAsia="zh-TW"/>
        </w:rPr>
        <w:t xml:space="preserve"> </w:t>
      </w:r>
      <w:r w:rsidR="00F22DE1">
        <w:rPr>
          <w:rFonts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05F7C39C" w:rsidR="001E41F3" w:rsidRPr="00410371" w:rsidRDefault="00D77AC4" w:rsidP="00E13F3D">
            <w:pPr>
              <w:pStyle w:val="CRCoverPage"/>
              <w:spacing w:after="0"/>
              <w:jc w:val="right"/>
              <w:rPr>
                <w:b/>
                <w:noProof/>
                <w:sz w:val="28"/>
              </w:rPr>
            </w:pPr>
            <w:r>
              <w:rPr>
                <w:rFonts w:hint="eastAsia"/>
                <w:b/>
                <w:noProof/>
                <w:sz w:val="28"/>
                <w:lang w:eastAsia="zh-TW"/>
              </w:rPr>
              <w:t>3</w:t>
            </w:r>
            <w:r w:rsidR="00F22DE1">
              <w:rPr>
                <w:b/>
                <w:noProof/>
                <w:sz w:val="28"/>
                <w:lang w:eastAsia="zh-TW"/>
              </w:rPr>
              <w:t>8</w:t>
            </w:r>
            <w:r w:rsidR="002D7823">
              <w:rPr>
                <w:rFonts w:hint="eastAsia"/>
                <w:b/>
                <w:noProof/>
                <w:sz w:val="28"/>
                <w:lang w:eastAsia="zh-TW"/>
              </w:rPr>
              <w:t>.3</w:t>
            </w:r>
            <w:r w:rsidR="00F22DE1">
              <w:rPr>
                <w:rFonts w:hint="eastAsia"/>
                <w:b/>
                <w:noProof/>
                <w:sz w:val="28"/>
                <w:lang w:eastAsia="zh-TW"/>
              </w:rPr>
              <w:t>3</w:t>
            </w:r>
            <w:r w:rsidR="00F22DE1">
              <w:rPr>
                <w:b/>
                <w:noProof/>
                <w:sz w:val="28"/>
                <w:lang w:eastAsia="zh-TW"/>
              </w:rPr>
              <w:t>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7824F35B" w:rsidR="001E41F3" w:rsidRPr="00DA3ED5" w:rsidRDefault="00DA3ED5" w:rsidP="00547111">
            <w:pPr>
              <w:pStyle w:val="CRCoverPage"/>
              <w:spacing w:after="0"/>
              <w:rPr>
                <w:b/>
                <w:noProof/>
                <w:sz w:val="28"/>
                <w:szCs w:val="28"/>
              </w:rPr>
            </w:pPr>
            <w:r w:rsidRPr="00DA3ED5">
              <w:rPr>
                <w:b/>
                <w:noProof/>
                <w:sz w:val="28"/>
                <w:szCs w:val="28"/>
              </w:rPr>
              <w:t>1979</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43435136"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0D49C33A" w:rsidR="001E41F3" w:rsidRPr="00410371" w:rsidRDefault="00F22DE1" w:rsidP="00D77AC4">
            <w:pPr>
              <w:pStyle w:val="CRCoverPage"/>
              <w:spacing w:after="0"/>
              <w:rPr>
                <w:noProof/>
                <w:sz w:val="28"/>
              </w:rPr>
            </w:pPr>
            <w:r>
              <w:rPr>
                <w:rFonts w:hint="eastAsia"/>
                <w:b/>
                <w:noProof/>
                <w:sz w:val="28"/>
                <w:lang w:eastAsia="zh-TW"/>
              </w:rPr>
              <w:t>16</w:t>
            </w:r>
            <w:r w:rsidR="00D77AC4">
              <w:rPr>
                <w:rFonts w:hint="eastAsia"/>
                <w:b/>
                <w:noProof/>
                <w:sz w:val="28"/>
                <w:lang w:eastAsia="zh-TW"/>
              </w:rPr>
              <w:t>.</w:t>
            </w:r>
            <w:r w:rsidR="000D4F1F">
              <w:rPr>
                <w:rFonts w:hint="eastAsia"/>
                <w:b/>
                <w:noProof/>
                <w:sz w:val="28"/>
                <w:lang w:eastAsia="zh-TW"/>
              </w:rPr>
              <w:t>1</w:t>
            </w:r>
            <w:r w:rsidR="00FE7B6F">
              <w:rPr>
                <w:rFonts w:hint="eastAsia"/>
                <w:b/>
                <w:noProof/>
                <w:sz w:val="28"/>
                <w:lang w:eastAsia="zh-TW"/>
              </w:rPr>
              <w:t>.0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bookmarkStart w:id="0" w:name="_GoBack"/>
            <w:bookmarkEnd w:id="0"/>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77777777" w:rsidR="00F25D98" w:rsidRDefault="00F25D98" w:rsidP="001E41F3">
            <w:pPr>
              <w:pStyle w:val="CRCoverPage"/>
              <w:spacing w:after="0"/>
              <w:jc w:val="center"/>
              <w:rPr>
                <w:b/>
                <w:caps/>
                <w:noProof/>
              </w:rPr>
            </w:pP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170CC463" w:rsidR="001E41F3" w:rsidRDefault="00F74AEC" w:rsidP="00CD1EE6">
            <w:pPr>
              <w:pStyle w:val="CRCoverPage"/>
              <w:spacing w:after="0"/>
              <w:ind w:left="100"/>
              <w:rPr>
                <w:noProof/>
                <w:lang w:eastAsia="zh-TW"/>
              </w:rPr>
            </w:pPr>
            <w:r>
              <w:rPr>
                <w:noProof/>
              </w:rPr>
              <w:t xml:space="preserve">Correction on </w:t>
            </w:r>
            <w:r w:rsidR="00B821FF">
              <w:rPr>
                <w:noProof/>
              </w:rPr>
              <w:t>idle/inactive</w:t>
            </w:r>
            <w:r>
              <w:rPr>
                <w:noProof/>
              </w:rPr>
              <w:t xml:space="preserve"> measurement </w:t>
            </w:r>
            <w:r w:rsidR="00CD1EE6">
              <w:rPr>
                <w:noProof/>
              </w:rPr>
              <w:t>after</w:t>
            </w:r>
            <w:r>
              <w:rPr>
                <w:noProof/>
              </w:rPr>
              <w:t xml:space="preserve"> cell (re)selection</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77777777" w:rsidR="001E41F3" w:rsidRDefault="00D21830" w:rsidP="00D77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7AC4">
              <w:rPr>
                <w:noProof/>
              </w:rPr>
              <w:t>R2</w:t>
            </w:r>
            <w:r>
              <w:rPr>
                <w:noProof/>
              </w:rPr>
              <w:fldChar w:fldCharType="end"/>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77777777" w:rsidR="001E41F3" w:rsidRDefault="00D77AC4" w:rsidP="00547111">
            <w:pPr>
              <w:pStyle w:val="CRCoverPage"/>
              <w:spacing w:after="0"/>
              <w:ind w:left="100"/>
              <w:rPr>
                <w:noProof/>
              </w:rPr>
            </w:pPr>
            <w:r>
              <w:rPr>
                <w:noProof/>
              </w:rPr>
              <w:t>Google Inc.</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6C344" w14:textId="618D60D0" w:rsidR="001E41F3" w:rsidRDefault="00F74AEC" w:rsidP="007A19D7">
            <w:pPr>
              <w:pStyle w:val="CRCoverPage"/>
              <w:spacing w:after="0"/>
              <w:ind w:left="100"/>
              <w:rPr>
                <w:noProof/>
              </w:rPr>
            </w:pPr>
            <w:r w:rsidRPr="00F22DE1">
              <w:rPr>
                <w:noProof/>
              </w:rPr>
              <w:t>LTE_NR_DC_CA_enh-Core</w:t>
            </w: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50973907" w:rsidR="001E41F3" w:rsidRDefault="00D77AC4" w:rsidP="00DD336A">
            <w:pPr>
              <w:pStyle w:val="CRCoverPage"/>
              <w:spacing w:after="0"/>
              <w:rPr>
                <w:noProof/>
              </w:rPr>
            </w:pPr>
            <w:r>
              <w:t xml:space="preserve"> </w:t>
            </w:r>
            <w:r w:rsidR="00F74AEC">
              <w:rPr>
                <w:rFonts w:hint="eastAsia"/>
                <w:noProof/>
                <w:lang w:eastAsia="zh-TW"/>
              </w:rPr>
              <w:t>2020-08-07</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08E66B4D"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F22DE1">
              <w:rPr>
                <w:rFonts w:hint="eastAsia"/>
                <w:noProof/>
                <w:lang w:eastAsia="zh-TW"/>
              </w:rPr>
              <w:t>6</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4C397" w14:textId="0B30C850" w:rsidR="00CB0CEC" w:rsidRPr="00B821FF" w:rsidRDefault="00F74AEC" w:rsidP="00F74AEC">
            <w:pPr>
              <w:pStyle w:val="ListParagraph"/>
              <w:numPr>
                <w:ilvl w:val="0"/>
                <w:numId w:val="13"/>
              </w:numPr>
              <w:rPr>
                <w:rFonts w:ascii="Arial" w:hAnsi="Arial" w:cs="Arial"/>
                <w:lang w:val="en-US"/>
              </w:rPr>
            </w:pPr>
            <w:r w:rsidRPr="00B821FF">
              <w:rPr>
                <w:rFonts w:ascii="Arial" w:hAnsi="Arial" w:cs="Arial"/>
                <w:lang w:val="en-US"/>
              </w:rPr>
              <w:t xml:space="preserve">According to 5.7.8.4, </w:t>
            </w:r>
            <w:r w:rsidR="006850CE">
              <w:rPr>
                <w:rFonts w:ascii="Arial" w:hAnsi="Arial" w:cs="Arial"/>
                <w:lang w:val="en-US"/>
              </w:rPr>
              <w:t>a</w:t>
            </w:r>
            <w:r w:rsidRPr="00B821FF">
              <w:rPr>
                <w:rFonts w:ascii="Arial" w:hAnsi="Arial" w:cs="Arial"/>
                <w:lang w:val="en-US"/>
              </w:rPr>
              <w:t xml:space="preserve"> UE </w:t>
            </w:r>
            <w:r w:rsidR="00B821FF" w:rsidRPr="00B821FF">
              <w:rPr>
                <w:rFonts w:ascii="Arial" w:hAnsi="Arial" w:cs="Arial"/>
                <w:lang w:val="en-US"/>
              </w:rPr>
              <w:t>performs</w:t>
            </w:r>
            <w:r w:rsidRPr="00B821FF">
              <w:rPr>
                <w:rFonts w:ascii="Arial" w:hAnsi="Arial" w:cs="Arial"/>
                <w:lang w:val="en-US"/>
              </w:rPr>
              <w:t xml:space="preserve"> the actions as specified in 5.7.8.1a upon intra-RAT cell selection or reselection. However, section 5.7.8.1a only specified the cell selection case.</w:t>
            </w:r>
          </w:p>
          <w:p w14:paraId="378E576C" w14:textId="40D56219" w:rsidR="00F7178B" w:rsidRPr="00B821FF" w:rsidRDefault="00F7178B" w:rsidP="00F74AEC">
            <w:pPr>
              <w:pStyle w:val="ListParagraph"/>
              <w:numPr>
                <w:ilvl w:val="0"/>
                <w:numId w:val="13"/>
              </w:numPr>
              <w:rPr>
                <w:rFonts w:ascii="Arial" w:hAnsi="Arial" w:cs="Arial"/>
                <w:lang w:val="en-US"/>
              </w:rPr>
            </w:pPr>
            <w:r w:rsidRPr="00B821FF">
              <w:rPr>
                <w:rFonts w:ascii="Arial" w:hAnsi="Arial" w:cs="Arial"/>
                <w:lang w:val="en-US"/>
              </w:rPr>
              <w:t>In section 5.7.8.2a, a missing comma before</w:t>
            </w:r>
            <w:r w:rsidR="006850CE">
              <w:rPr>
                <w:rFonts w:ascii="Arial" w:hAnsi="Arial" w:cs="Arial"/>
                <w:lang w:val="en-US"/>
              </w:rPr>
              <w:t xml:space="preserve"> the sentence</w:t>
            </w:r>
            <w:r w:rsidRPr="00B821FF">
              <w:rPr>
                <w:rFonts w:ascii="Arial" w:hAnsi="Arial" w:cs="Arial"/>
                <w:lang w:val="en-US"/>
              </w:rPr>
              <w:t xml:space="preserve"> “</w:t>
            </w:r>
            <w:r w:rsidRPr="006850CE">
              <w:rPr>
                <w:rFonts w:ascii="Arial" w:hAnsi="Arial" w:cs="Arial"/>
                <w:i/>
                <w:lang w:val="en-US"/>
              </w:rPr>
              <w:t>and the T331 is running</w:t>
            </w:r>
            <w:r w:rsidRPr="00B821FF">
              <w:rPr>
                <w:rFonts w:ascii="Arial" w:hAnsi="Arial" w:cs="Arial"/>
                <w:lang w:val="en-US"/>
              </w:rPr>
              <w:t>”.</w:t>
            </w:r>
          </w:p>
          <w:p w14:paraId="045FBB48" w14:textId="77777777" w:rsidR="00F74AEC" w:rsidRPr="00C415A4" w:rsidRDefault="00F7178B" w:rsidP="006850CE">
            <w:pPr>
              <w:pStyle w:val="ListParagraph"/>
              <w:numPr>
                <w:ilvl w:val="0"/>
                <w:numId w:val="13"/>
              </w:numPr>
              <w:rPr>
                <w:lang w:val="en-US"/>
              </w:rPr>
            </w:pPr>
            <w:r w:rsidRPr="00B821FF">
              <w:rPr>
                <w:rFonts w:ascii="Arial" w:hAnsi="Arial" w:cs="Arial"/>
                <w:lang w:val="en-US"/>
              </w:rPr>
              <w:t xml:space="preserve">A UE may cell </w:t>
            </w:r>
            <w:r w:rsidR="00A946D9">
              <w:rPr>
                <w:rFonts w:ascii="Arial" w:hAnsi="Arial" w:cs="Arial"/>
                <w:lang w:val="en-US"/>
              </w:rPr>
              <w:t>select</w:t>
            </w:r>
            <w:r w:rsidRPr="00B821FF">
              <w:rPr>
                <w:rFonts w:ascii="Arial" w:hAnsi="Arial" w:cs="Arial"/>
                <w:lang w:val="en-US"/>
              </w:rPr>
              <w:t xml:space="preserve"> to </w:t>
            </w:r>
            <w:r w:rsidR="00B821FF" w:rsidRPr="00B821FF">
              <w:rPr>
                <w:rFonts w:ascii="Arial" w:hAnsi="Arial" w:cs="Arial"/>
                <w:lang w:val="en-US"/>
              </w:rPr>
              <w:t>an</w:t>
            </w:r>
            <w:r w:rsidRPr="00B821FF">
              <w:rPr>
                <w:rFonts w:ascii="Arial" w:hAnsi="Arial" w:cs="Arial"/>
                <w:lang w:val="en-US"/>
              </w:rPr>
              <w:t xml:space="preserve"> inter-RAT cell while the T331 is running (e.g., select to </w:t>
            </w:r>
            <w:r w:rsidR="00B821FF" w:rsidRPr="00B821FF">
              <w:rPr>
                <w:rFonts w:ascii="Arial" w:hAnsi="Arial" w:cs="Arial"/>
                <w:lang w:val="en-US"/>
              </w:rPr>
              <w:t>an</w:t>
            </w:r>
            <w:r w:rsidRPr="00B821FF">
              <w:rPr>
                <w:rFonts w:ascii="Arial" w:hAnsi="Arial" w:cs="Arial"/>
                <w:lang w:val="en-US"/>
              </w:rPr>
              <w:t xml:space="preserve"> inter-RAT cell immediately after it receives a</w:t>
            </w:r>
            <w:r w:rsidR="006850CE">
              <w:rPr>
                <w:rFonts w:ascii="Arial" w:hAnsi="Arial" w:cs="Arial"/>
                <w:lang w:val="en-US"/>
              </w:rPr>
              <w:t>n</w:t>
            </w:r>
            <w:r w:rsidRPr="00B821FF">
              <w:rPr>
                <w:rFonts w:ascii="Arial" w:hAnsi="Arial" w:cs="Arial"/>
                <w:lang w:val="en-US"/>
              </w:rPr>
              <w:t xml:space="preserve"> RRCRelease). However, section 5.7.8.4 </w:t>
            </w:r>
            <w:r w:rsidR="006850CE">
              <w:rPr>
                <w:rFonts w:ascii="Arial" w:hAnsi="Arial" w:cs="Arial"/>
                <w:lang w:val="en-US"/>
              </w:rPr>
              <w:t xml:space="preserve">does not specify </w:t>
            </w:r>
            <w:r w:rsidR="00B821FF" w:rsidRPr="00B821FF">
              <w:rPr>
                <w:rFonts w:ascii="Arial" w:hAnsi="Arial" w:cs="Arial"/>
                <w:lang w:val="en-US"/>
              </w:rPr>
              <w:t>the inter-</w:t>
            </w:r>
            <w:r w:rsidR="00B821FF" w:rsidRPr="00B821FF">
              <w:rPr>
                <w:rFonts w:ascii="Arial" w:hAnsi="Arial" w:cs="Arial"/>
                <w:lang w:val="en-US" w:eastAsia="zh-TW"/>
              </w:rPr>
              <w:t xml:space="preserve">RAT </w:t>
            </w:r>
            <w:r w:rsidR="00B821FF" w:rsidRPr="00B821FF">
              <w:rPr>
                <w:rFonts w:ascii="Arial" w:hAnsi="Arial" w:cs="Arial"/>
                <w:lang w:val="en-US"/>
              </w:rPr>
              <w:t>cell selection case.</w:t>
            </w:r>
          </w:p>
          <w:p w14:paraId="0E7FA0E2" w14:textId="352C7F62" w:rsidR="00C415A4" w:rsidRPr="00423721" w:rsidRDefault="00C415A4" w:rsidP="006850CE">
            <w:pPr>
              <w:pStyle w:val="ListParagraph"/>
              <w:numPr>
                <w:ilvl w:val="0"/>
                <w:numId w:val="13"/>
              </w:numPr>
              <w:rPr>
                <w:lang w:val="en-US"/>
              </w:rPr>
            </w:pPr>
            <w:r>
              <w:rPr>
                <w:rFonts w:ascii="Arial" w:hAnsi="Arial" w:cs="Arial"/>
                <w:lang w:val="en-US"/>
              </w:rPr>
              <w:t>After</w:t>
            </w:r>
            <w:r w:rsidR="00423721">
              <w:rPr>
                <w:rFonts w:ascii="Arial" w:hAnsi="Arial" w:cs="Arial"/>
                <w:lang w:val="en-US"/>
              </w:rPr>
              <w:t xml:space="preserve"> inter-RAT cell reselection and</w:t>
            </w:r>
            <w:r>
              <w:rPr>
                <w:rFonts w:ascii="Arial" w:hAnsi="Arial" w:cs="Arial"/>
                <w:lang w:val="en-US"/>
              </w:rPr>
              <w:t xml:space="preserve"> T331</w:t>
            </w:r>
            <w:r w:rsidR="00423721">
              <w:rPr>
                <w:rFonts w:ascii="Arial" w:hAnsi="Arial" w:cs="Arial"/>
                <w:lang w:val="en-US"/>
              </w:rPr>
              <w:t xml:space="preserve"> is stopped</w:t>
            </w:r>
            <w:r>
              <w:rPr>
                <w:rFonts w:ascii="Arial" w:hAnsi="Arial" w:cs="Arial"/>
                <w:lang w:val="en-US"/>
              </w:rPr>
              <w:t>, the UE should perform the actions as specified in 5.7.8.3</w:t>
            </w:r>
            <w:r w:rsidR="00E1471F">
              <w:rPr>
                <w:rFonts w:ascii="Arial" w:hAnsi="Arial" w:cs="Arial"/>
                <w:lang w:val="en-US"/>
              </w:rPr>
              <w:t xml:space="preserve"> instead of 5.7.8.2a</w:t>
            </w:r>
            <w:r w:rsidR="00423721">
              <w:rPr>
                <w:rFonts w:ascii="Arial" w:hAnsi="Arial" w:cs="Arial"/>
                <w:lang w:val="en-US"/>
              </w:rPr>
              <w:t>.</w:t>
            </w:r>
          </w:p>
          <w:p w14:paraId="546B28AC" w14:textId="77777777" w:rsidR="00423721" w:rsidRPr="00423721" w:rsidRDefault="00423721" w:rsidP="00423721">
            <w:pPr>
              <w:pStyle w:val="Heading4"/>
              <w:rPr>
                <w:i/>
                <w:lang w:eastAsia="ja-JP"/>
              </w:rPr>
            </w:pPr>
            <w:bookmarkStart w:id="3" w:name="_Toc46486964"/>
            <w:bookmarkStart w:id="4" w:name="_Toc46444203"/>
            <w:bookmarkStart w:id="5" w:name="_Toc46439366"/>
            <w:r w:rsidRPr="00423721">
              <w:rPr>
                <w:rFonts w:eastAsia="Malgun Gothic"/>
                <w:i/>
                <w:lang w:eastAsia="ko-KR"/>
              </w:rPr>
              <w:t>5.7.8.3</w:t>
            </w:r>
            <w:r w:rsidRPr="00423721">
              <w:rPr>
                <w:i/>
              </w:rPr>
              <w:tab/>
              <w:t>T331 expiry or stop</w:t>
            </w:r>
            <w:bookmarkEnd w:id="3"/>
            <w:bookmarkEnd w:id="4"/>
            <w:bookmarkEnd w:id="5"/>
          </w:p>
          <w:p w14:paraId="2E044399" w14:textId="77777777" w:rsidR="00423721" w:rsidRPr="00423721" w:rsidRDefault="00423721" w:rsidP="00423721">
            <w:pPr>
              <w:rPr>
                <w:i/>
              </w:rPr>
            </w:pPr>
            <w:r w:rsidRPr="00423721">
              <w:rPr>
                <w:i/>
              </w:rPr>
              <w:t>The UE shall:</w:t>
            </w:r>
          </w:p>
          <w:p w14:paraId="74A21ABF" w14:textId="77777777" w:rsidR="00423721" w:rsidRPr="00423721" w:rsidRDefault="00423721" w:rsidP="00423721">
            <w:pPr>
              <w:pStyle w:val="B1"/>
              <w:rPr>
                <w:i/>
              </w:rPr>
            </w:pPr>
            <w:r w:rsidRPr="00423721">
              <w:rPr>
                <w:i/>
              </w:rPr>
              <w:t>1&gt;</w:t>
            </w:r>
            <w:r w:rsidRPr="00423721">
              <w:rPr>
                <w:i/>
              </w:rPr>
              <w:tab/>
              <w:t>if T331 expires or is stopped:</w:t>
            </w:r>
          </w:p>
          <w:p w14:paraId="6EC476CA" w14:textId="0A83CA69" w:rsidR="00423721" w:rsidRPr="00423721" w:rsidRDefault="00423721" w:rsidP="00423721">
            <w:pPr>
              <w:pStyle w:val="B2"/>
              <w:rPr>
                <w:i/>
              </w:rPr>
            </w:pPr>
            <w:r w:rsidRPr="00423721">
              <w:rPr>
                <w:i/>
              </w:rPr>
              <w:t>2&gt;</w:t>
            </w:r>
            <w:r w:rsidRPr="00423721">
              <w:rPr>
                <w:i/>
              </w:rPr>
              <w:tab/>
            </w:r>
            <w:r w:rsidRPr="00423721">
              <w:rPr>
                <w:rFonts w:eastAsia="Malgun Gothic"/>
                <w:i/>
                <w:lang w:eastAsia="ko-KR"/>
              </w:rPr>
              <w:t>release</w:t>
            </w:r>
            <w:r w:rsidRPr="00423721">
              <w:rPr>
                <w:i/>
              </w:rPr>
              <w:t xml:space="preserve"> the VarMeasIdleConfig.</w:t>
            </w: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03808F3" w14:textId="77777777" w:rsidR="00F6742B" w:rsidRPr="00B821FF" w:rsidRDefault="00F6742B" w:rsidP="00F6742B">
            <w:pPr>
              <w:pStyle w:val="CRCoverPage"/>
              <w:spacing w:after="0"/>
              <w:rPr>
                <w:sz w:val="8"/>
                <w:szCs w:val="8"/>
                <w:lang w:val="en-US"/>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306CE" w14:textId="17012A21" w:rsidR="00C84CB3" w:rsidRPr="00B821FF" w:rsidRDefault="00F7178B" w:rsidP="00F7178B">
            <w:pPr>
              <w:pStyle w:val="CRCoverPage"/>
              <w:numPr>
                <w:ilvl w:val="0"/>
                <w:numId w:val="16"/>
              </w:numPr>
              <w:spacing w:after="0"/>
              <w:rPr>
                <w:lang w:val="en-US" w:eastAsia="zh-TW"/>
              </w:rPr>
            </w:pPr>
            <w:r w:rsidRPr="00B821FF">
              <w:rPr>
                <w:lang w:val="en-US" w:eastAsia="ja-JP"/>
              </w:rPr>
              <w:t>Specify the intra-RAT cell reselection case in 5.7.8.1a.</w:t>
            </w:r>
          </w:p>
          <w:p w14:paraId="0036264E" w14:textId="010F0089" w:rsidR="00F7178B" w:rsidRPr="00B821FF" w:rsidRDefault="00F7178B" w:rsidP="00F7178B">
            <w:pPr>
              <w:pStyle w:val="CRCoverPage"/>
              <w:numPr>
                <w:ilvl w:val="0"/>
                <w:numId w:val="16"/>
              </w:numPr>
              <w:spacing w:after="0"/>
              <w:rPr>
                <w:lang w:val="en-US" w:eastAsia="zh-TW"/>
              </w:rPr>
            </w:pPr>
            <w:r w:rsidRPr="00B821FF">
              <w:rPr>
                <w:lang w:val="en-US" w:eastAsia="ja-JP"/>
              </w:rPr>
              <w:t>Add the missing comma in 5.7.8.2a.</w:t>
            </w:r>
          </w:p>
          <w:p w14:paraId="37944955" w14:textId="0522D0F8" w:rsidR="00F7178B" w:rsidRDefault="00F7178B" w:rsidP="00F7178B">
            <w:pPr>
              <w:pStyle w:val="CRCoverPage"/>
              <w:numPr>
                <w:ilvl w:val="0"/>
                <w:numId w:val="16"/>
              </w:numPr>
              <w:spacing w:after="0"/>
              <w:rPr>
                <w:lang w:val="en-US" w:eastAsia="zh-TW"/>
              </w:rPr>
            </w:pPr>
            <w:r w:rsidRPr="00B821FF">
              <w:rPr>
                <w:lang w:val="en-US" w:eastAsia="ja-JP"/>
              </w:rPr>
              <w:t>Specify the inter-RAT cell selection case in 5.7.8.4.</w:t>
            </w:r>
          </w:p>
          <w:p w14:paraId="23B764F4" w14:textId="3C151A1E" w:rsidR="00C415A4" w:rsidRPr="00B821FF" w:rsidRDefault="006F08DF" w:rsidP="00F7178B">
            <w:pPr>
              <w:pStyle w:val="CRCoverPage"/>
              <w:numPr>
                <w:ilvl w:val="0"/>
                <w:numId w:val="16"/>
              </w:numPr>
              <w:spacing w:after="0"/>
              <w:rPr>
                <w:lang w:val="en-US" w:eastAsia="zh-TW"/>
              </w:rPr>
            </w:pPr>
            <w:r>
              <w:rPr>
                <w:lang w:val="en-US" w:eastAsia="zh-TW"/>
              </w:rPr>
              <w:t>Correct wrong reference 5.7.8.2a to</w:t>
            </w:r>
            <w:r w:rsidR="00C415A4">
              <w:rPr>
                <w:lang w:val="en-US" w:eastAsia="zh-TW"/>
              </w:rPr>
              <w:t xml:space="preserve"> 5.7.8.3. </w:t>
            </w:r>
          </w:p>
          <w:p w14:paraId="26F51A4B" w14:textId="77777777" w:rsidR="00F6742B" w:rsidRPr="00B821FF" w:rsidRDefault="00F6742B" w:rsidP="00897AE6">
            <w:pPr>
              <w:pStyle w:val="CRCoverPage"/>
              <w:spacing w:after="0"/>
              <w:rPr>
                <w:lang w:val="en-US"/>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677EDF0B" w:rsidR="00F6742B" w:rsidRPr="00B821FF" w:rsidRDefault="00F6742B" w:rsidP="00F6742B">
            <w:pPr>
              <w:pStyle w:val="CRCoverPage"/>
              <w:spacing w:after="0"/>
              <w:rPr>
                <w:sz w:val="8"/>
                <w:szCs w:val="8"/>
                <w:lang w:val="en-US"/>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7A0F2C" w14:textId="1FBF07B2" w:rsidR="00495E44" w:rsidRPr="00B821FF" w:rsidRDefault="00B821FF" w:rsidP="00B821FF">
            <w:pPr>
              <w:pStyle w:val="CRCoverPage"/>
              <w:numPr>
                <w:ilvl w:val="0"/>
                <w:numId w:val="17"/>
              </w:numPr>
              <w:spacing w:after="0"/>
              <w:rPr>
                <w:lang w:val="en-US" w:eastAsia="zh-TW"/>
              </w:rPr>
            </w:pPr>
            <w:r w:rsidRPr="00B821FF">
              <w:rPr>
                <w:lang w:val="en-US" w:eastAsia="zh-TW"/>
              </w:rPr>
              <w:t>A UE does not update idle/inactive measurement configuration upon reselecting to an intra-RAT cell.</w:t>
            </w:r>
          </w:p>
          <w:p w14:paraId="3C89AC7F" w14:textId="2393672E" w:rsidR="00B821FF" w:rsidRPr="00B821FF" w:rsidRDefault="00B821FF" w:rsidP="00B821FF">
            <w:pPr>
              <w:pStyle w:val="CRCoverPage"/>
              <w:numPr>
                <w:ilvl w:val="0"/>
                <w:numId w:val="17"/>
              </w:numPr>
              <w:spacing w:after="0"/>
              <w:rPr>
                <w:lang w:val="en-US" w:eastAsia="zh-TW"/>
              </w:rPr>
            </w:pPr>
            <w:r w:rsidRPr="00B821FF">
              <w:rPr>
                <w:lang w:val="en-US" w:eastAsia="zh-TW"/>
              </w:rPr>
              <w:t>A UE perform</w:t>
            </w:r>
            <w:r w:rsidR="006850CE">
              <w:rPr>
                <w:lang w:val="en-US" w:eastAsia="zh-TW"/>
              </w:rPr>
              <w:t>s</w:t>
            </w:r>
            <w:r w:rsidRPr="00B821FF">
              <w:rPr>
                <w:lang w:val="en-US" w:eastAsia="zh-TW"/>
              </w:rPr>
              <w:t xml:space="preserve"> idle measurement in RRC_IDLE while the T331 is not running.</w:t>
            </w:r>
          </w:p>
          <w:p w14:paraId="5EC305B1" w14:textId="77777777" w:rsidR="00B821FF" w:rsidRDefault="006850CE" w:rsidP="00B821FF">
            <w:pPr>
              <w:pStyle w:val="CRCoverPage"/>
              <w:numPr>
                <w:ilvl w:val="0"/>
                <w:numId w:val="17"/>
              </w:numPr>
              <w:spacing w:after="0"/>
              <w:rPr>
                <w:lang w:val="en-US" w:eastAsia="zh-TW"/>
              </w:rPr>
            </w:pPr>
            <w:r>
              <w:rPr>
                <w:lang w:val="en-US" w:eastAsia="zh-TW"/>
              </w:rPr>
              <w:t>A UE does not stop</w:t>
            </w:r>
            <w:r w:rsidR="00B821FF" w:rsidRPr="00B821FF">
              <w:rPr>
                <w:lang w:val="en-US" w:eastAsia="zh-TW"/>
              </w:rPr>
              <w:t xml:space="preserve"> T331 after the inter-RAT cell selection.</w:t>
            </w:r>
          </w:p>
          <w:p w14:paraId="1648E366" w14:textId="0F9BBE96" w:rsidR="00C415A4" w:rsidRPr="00B821FF" w:rsidRDefault="00E1471F" w:rsidP="00C415A4">
            <w:pPr>
              <w:pStyle w:val="CRCoverPage"/>
              <w:numPr>
                <w:ilvl w:val="0"/>
                <w:numId w:val="17"/>
              </w:numPr>
              <w:spacing w:after="0"/>
              <w:rPr>
                <w:lang w:val="en-US" w:eastAsia="zh-TW"/>
              </w:rPr>
            </w:pPr>
            <w:r>
              <w:rPr>
                <w:lang w:val="en-US" w:eastAsia="zh-TW"/>
              </w:rPr>
              <w:t>A wrong reference is used.</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200042" w14:textId="2F064B31" w:rsidR="00F6742B" w:rsidRDefault="00B821FF" w:rsidP="00897AE6">
            <w:pPr>
              <w:pStyle w:val="CRCoverPage"/>
              <w:spacing w:after="0"/>
              <w:rPr>
                <w:noProof/>
              </w:rPr>
            </w:pPr>
            <w:r>
              <w:rPr>
                <w:noProof/>
              </w:rPr>
              <w:t>5.7.8.1a, 5.7.8.2a, 5.7.8.4</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064BA" w14:textId="7D2D8037" w:rsidR="00590820" w:rsidRPr="00590820" w:rsidRDefault="00590820" w:rsidP="00F74AEC">
      <w:pPr>
        <w:pStyle w:val="Heading4"/>
        <w:rPr>
          <w:bdr w:val="single" w:sz="4" w:space="0" w:color="auto"/>
        </w:rPr>
      </w:pPr>
      <w:bookmarkStart w:id="6" w:name="_Toc46486961"/>
      <w:bookmarkStart w:id="7" w:name="_Toc46444200"/>
      <w:bookmarkStart w:id="8" w:name="_Toc46439363"/>
      <w:r w:rsidRPr="00590820">
        <w:rPr>
          <w:bdr w:val="single" w:sz="4" w:space="0" w:color="auto"/>
        </w:rPr>
        <w:lastRenderedPageBreak/>
        <w:t xml:space="preserve">First </w:t>
      </w:r>
      <w:r>
        <w:rPr>
          <w:bdr w:val="single" w:sz="4" w:space="0" w:color="auto"/>
        </w:rPr>
        <w:t>change</w:t>
      </w:r>
    </w:p>
    <w:p w14:paraId="793F10B8" w14:textId="6D7FA596" w:rsidR="00F74AEC" w:rsidRDefault="00F74AEC" w:rsidP="00F74AEC">
      <w:pPr>
        <w:pStyle w:val="Heading4"/>
        <w:rPr>
          <w:lang w:eastAsia="ja-JP"/>
        </w:rPr>
      </w:pPr>
      <w:r>
        <w:t>5.7.8.1a</w:t>
      </w:r>
      <w:r>
        <w:tab/>
        <w:t>Measurement configuration</w:t>
      </w:r>
      <w:bookmarkEnd w:id="6"/>
      <w:bookmarkEnd w:id="7"/>
      <w:bookmarkEnd w:id="8"/>
    </w:p>
    <w:p w14:paraId="03714A19" w14:textId="77777777" w:rsidR="00F74AEC" w:rsidRDefault="00F74AEC" w:rsidP="00F74AEC">
      <w:r>
        <w:t>The purpose of this procedure is to update the idle/inactive measurement configuration.</w:t>
      </w:r>
    </w:p>
    <w:p w14:paraId="2C346040" w14:textId="77777777" w:rsidR="00F74AEC" w:rsidRDefault="00F74AEC" w:rsidP="00F74AEC">
      <w:r>
        <w:t>The UE initiates this procedure while T331 is running and one of the following conditions is met:</w:t>
      </w:r>
    </w:p>
    <w:p w14:paraId="705D2F72" w14:textId="77777777" w:rsidR="00F74AEC" w:rsidRDefault="00F74AEC" w:rsidP="00F74AEC">
      <w:pPr>
        <w:pStyle w:val="B1"/>
      </w:pPr>
      <w:r>
        <w:t>1&gt;</w:t>
      </w:r>
      <w:r>
        <w:tab/>
        <w:t>upon selecting a cell when entering RRC_IDLE or RRC-INACTIVE from RRC_CONNECTED; or</w:t>
      </w:r>
    </w:p>
    <w:p w14:paraId="41F20B18" w14:textId="22F5B335" w:rsidR="00F74AEC" w:rsidRDefault="00F74AEC" w:rsidP="00F74AEC">
      <w:pPr>
        <w:pStyle w:val="B1"/>
        <w:rPr>
          <w:ins w:id="9" w:author=" Google (EricChen)" w:date="2020-08-03T14:14:00Z"/>
        </w:rPr>
      </w:pPr>
      <w:r>
        <w:t>1&gt;</w:t>
      </w:r>
      <w:r>
        <w:tab/>
        <w:t>upon update of system information (</w:t>
      </w:r>
      <w:r>
        <w:rPr>
          <w:i/>
          <w:iCs/>
        </w:rPr>
        <w:t>SIB4</w:t>
      </w:r>
      <w:r>
        <w:t xml:space="preserve">, or </w:t>
      </w:r>
      <w:r>
        <w:rPr>
          <w:i/>
          <w:iCs/>
        </w:rPr>
        <w:t>SIB11</w:t>
      </w:r>
      <w:r>
        <w:t>)</w:t>
      </w:r>
      <w:ins w:id="10" w:author=" Google (EricChen)" w:date="2020-08-03T14:14:00Z">
        <w:r w:rsidR="00F7178B">
          <w:t>; or</w:t>
        </w:r>
      </w:ins>
    </w:p>
    <w:p w14:paraId="42CBE3FA" w14:textId="21D5C024" w:rsidR="00F7178B" w:rsidRDefault="00F7178B">
      <w:pPr>
        <w:pStyle w:val="B1"/>
        <w:numPr>
          <w:ilvl w:val="0"/>
          <w:numId w:val="15"/>
        </w:numPr>
        <w:pPrChange w:id="11" w:author=" Google (EricChen)" w:date="2020-08-03T14:15:00Z">
          <w:pPr>
            <w:pStyle w:val="B1"/>
          </w:pPr>
        </w:pPrChange>
      </w:pPr>
      <w:ins w:id="12" w:author=" Google (EricChen)" w:date="2020-08-03T14:14:00Z">
        <w:r>
          <w:t>upon rese</w:t>
        </w:r>
      </w:ins>
      <w:ins w:id="13" w:author=" Google (EricChen)" w:date="2020-08-03T14:15:00Z">
        <w:r>
          <w:t>lecting a cell in RRC_IDLE or RRC_INACTIVE</w:t>
        </w:r>
      </w:ins>
    </w:p>
    <w:p w14:paraId="7DA07A19" w14:textId="77777777" w:rsidR="00F74AEC" w:rsidRDefault="00F74AEC" w:rsidP="00F74AEC">
      <w:r>
        <w:t>While in RRC_IDLE or RRC_INACTIVE, and T331 is running, the UE shall:</w:t>
      </w:r>
    </w:p>
    <w:p w14:paraId="1078FDE2" w14:textId="77777777" w:rsidR="00F74AEC" w:rsidRDefault="00F74AEC" w:rsidP="00F74AEC">
      <w:pPr>
        <w:pStyle w:val="B1"/>
        <w:rPr>
          <w:lang w:eastAsia="zh-CN"/>
        </w:rPr>
      </w:pPr>
      <w:r>
        <w:t>1&gt;</w:t>
      </w:r>
      <w:r>
        <w:tab/>
        <w:t xml:space="preserve">if </w:t>
      </w:r>
      <w:r>
        <w:rPr>
          <w:i/>
          <w:iCs/>
        </w:rPr>
        <w:t>VarMeasIdleConfig</w:t>
      </w:r>
      <w:r>
        <w:t xml:space="preserve"> includes neither a </w:t>
      </w:r>
      <w:r>
        <w:rPr>
          <w:i/>
          <w:iCs/>
        </w:rPr>
        <w:t xml:space="preserve">measIdleCarrierListEUTRA </w:t>
      </w:r>
      <w:r>
        <w:t xml:space="preserve">nor a </w:t>
      </w:r>
      <w:r>
        <w:rPr>
          <w:i/>
          <w:iCs/>
        </w:rPr>
        <w:t>measIdleCarrierListNR</w:t>
      </w:r>
      <w:r>
        <w:t xml:space="preserve"> received from the </w:t>
      </w:r>
      <w:r>
        <w:rPr>
          <w:i/>
          <w:iCs/>
        </w:rPr>
        <w:t>RRCRelease</w:t>
      </w:r>
      <w:r>
        <w:t xml:space="preserve"> message</w:t>
      </w:r>
      <w:r>
        <w:rPr>
          <w:lang w:eastAsia="zh-CN"/>
        </w:rPr>
        <w:t>:</w:t>
      </w:r>
    </w:p>
    <w:p w14:paraId="0CB070B1" w14:textId="77777777" w:rsidR="00F74AEC" w:rsidRDefault="00F74AEC" w:rsidP="00F74AEC">
      <w:pPr>
        <w:pStyle w:val="B2"/>
        <w:rPr>
          <w:lang w:eastAsia="zh-CN"/>
        </w:rPr>
      </w:pPr>
      <w:r>
        <w:t>2&gt;</w:t>
      </w:r>
      <w:r>
        <w:tab/>
        <w:t>if the UE is capable of idle/inactive measurements for NE-DC</w:t>
      </w:r>
      <w:r>
        <w:rPr>
          <w:lang w:eastAsia="zh-CN"/>
        </w:rPr>
        <w:t>:</w:t>
      </w:r>
    </w:p>
    <w:p w14:paraId="67DFE282" w14:textId="77777777" w:rsidR="00F74AEC" w:rsidRDefault="00F74AEC" w:rsidP="00F74AEC">
      <w:pPr>
        <w:pStyle w:val="B3"/>
        <w:rPr>
          <w:lang w:eastAsia="ja-JP"/>
        </w:rPr>
      </w:pPr>
      <w:r>
        <w:t>3&gt;</w:t>
      </w:r>
      <w:r>
        <w:tab/>
        <w:t xml:space="preserve">if the SIB11 includes the </w:t>
      </w:r>
      <w:r>
        <w:rPr>
          <w:i/>
          <w:iCs/>
        </w:rPr>
        <w:t>measIdleConfigSIB</w:t>
      </w:r>
      <w:r>
        <w:t xml:space="preserve"> and contains </w:t>
      </w:r>
      <w:r>
        <w:rPr>
          <w:i/>
          <w:iCs/>
        </w:rPr>
        <w:t>measIdleCarrierListEUTRA</w:t>
      </w:r>
      <w:r>
        <w:t>:</w:t>
      </w:r>
    </w:p>
    <w:p w14:paraId="13017583" w14:textId="77777777" w:rsidR="00F74AEC" w:rsidRDefault="00F74AEC" w:rsidP="00F74AEC">
      <w:pPr>
        <w:pStyle w:val="B4"/>
      </w:pPr>
      <w:r>
        <w:t>4&gt;</w:t>
      </w:r>
      <w:r>
        <w:tab/>
        <w:t xml:space="preserve">store or replace the </w:t>
      </w:r>
      <w:r>
        <w:rPr>
          <w:i/>
          <w:iCs/>
        </w:rPr>
        <w:t>measIdleCarrierListEUTRA</w:t>
      </w:r>
      <w:r>
        <w:t xml:space="preserve"> of </w:t>
      </w:r>
      <w:r>
        <w:rPr>
          <w:i/>
          <w:iCs/>
        </w:rPr>
        <w:t>measIdleConfigSIB</w:t>
      </w:r>
      <w:r>
        <w:t xml:space="preserve"> of SIB11 within </w:t>
      </w:r>
      <w:r>
        <w:rPr>
          <w:i/>
          <w:iCs/>
        </w:rPr>
        <w:t>VarMeasIdleConfig</w:t>
      </w:r>
      <w:r>
        <w:t>;</w:t>
      </w:r>
    </w:p>
    <w:p w14:paraId="3A05E5BA" w14:textId="77777777" w:rsidR="00F74AEC" w:rsidRDefault="00F74AEC" w:rsidP="00F74AEC">
      <w:pPr>
        <w:pStyle w:val="B3"/>
      </w:pPr>
      <w:r>
        <w:t>3&gt;</w:t>
      </w:r>
      <w:r>
        <w:tab/>
        <w:t>else:</w:t>
      </w:r>
    </w:p>
    <w:p w14:paraId="0F4AE0D2" w14:textId="77777777" w:rsidR="00F74AEC" w:rsidRDefault="00F74AEC" w:rsidP="00F74AEC">
      <w:pPr>
        <w:pStyle w:val="B4"/>
      </w:pPr>
      <w:r>
        <w:t>4&gt;</w:t>
      </w:r>
      <w:r>
        <w:tab/>
        <w:t xml:space="preserve">remove the </w:t>
      </w:r>
      <w:r>
        <w:rPr>
          <w:i/>
          <w:iCs/>
        </w:rPr>
        <w:t>measIdleCarrierListEUTRA</w:t>
      </w:r>
      <w:r>
        <w:t xml:space="preserve"> in </w:t>
      </w:r>
      <w:r>
        <w:rPr>
          <w:i/>
          <w:iCs/>
        </w:rPr>
        <w:t>VarMeasIdleConfig</w:t>
      </w:r>
      <w:r>
        <w:t>, if stored;</w:t>
      </w:r>
    </w:p>
    <w:p w14:paraId="469FA05F" w14:textId="77777777" w:rsidR="00F74AEC" w:rsidRDefault="00F74AEC" w:rsidP="00F74AEC">
      <w:pPr>
        <w:pStyle w:val="B2"/>
      </w:pPr>
      <w:r>
        <w:t>2&gt;</w:t>
      </w:r>
      <w:r>
        <w:tab/>
        <w:t>if the UE is capable of idle/inactive measurements for CA or NR-DC:</w:t>
      </w:r>
    </w:p>
    <w:p w14:paraId="74D82C4F" w14:textId="77777777" w:rsidR="00F74AEC" w:rsidRDefault="00F74AEC" w:rsidP="00F74AEC">
      <w:pPr>
        <w:pStyle w:val="B3"/>
      </w:pPr>
      <w:r>
        <w:t>3&gt;</w:t>
      </w:r>
      <w:r>
        <w:tab/>
        <w:t xml:space="preserve">if </w:t>
      </w:r>
      <w:r>
        <w:rPr>
          <w:i/>
          <w:iCs/>
        </w:rPr>
        <w:t>SIB11</w:t>
      </w:r>
      <w:r>
        <w:t xml:space="preserve"> includes the </w:t>
      </w:r>
      <w:r>
        <w:rPr>
          <w:i/>
          <w:iCs/>
        </w:rPr>
        <w:t>measIdleConfigSIB</w:t>
      </w:r>
      <w:r>
        <w:t xml:space="preserve"> and contains </w:t>
      </w:r>
      <w:r>
        <w:rPr>
          <w:i/>
          <w:iCs/>
        </w:rPr>
        <w:t>measIdleCarrierListNR</w:t>
      </w:r>
      <w:r>
        <w:t>:</w:t>
      </w:r>
    </w:p>
    <w:p w14:paraId="2428BDB3" w14:textId="77777777" w:rsidR="00F74AEC" w:rsidRDefault="00F74AEC" w:rsidP="00F74AEC">
      <w:pPr>
        <w:pStyle w:val="B4"/>
      </w:pPr>
      <w:r>
        <w:t>4&gt;</w:t>
      </w:r>
      <w:r>
        <w:tab/>
        <w:t xml:space="preserve">store or replace the </w:t>
      </w:r>
      <w:r>
        <w:rPr>
          <w:i/>
          <w:iCs/>
        </w:rPr>
        <w:t>measIdleCarrierListNR</w:t>
      </w:r>
      <w:r>
        <w:t xml:space="preserve"> of </w:t>
      </w:r>
      <w:r>
        <w:rPr>
          <w:i/>
          <w:iCs/>
          <w:lang w:eastAsia="zh-CN"/>
        </w:rPr>
        <w:t>measIdleConfigSIB</w:t>
      </w:r>
      <w:r>
        <w:rPr>
          <w:lang w:eastAsia="zh-CN"/>
        </w:rPr>
        <w:t xml:space="preserve"> of </w:t>
      </w:r>
      <w:r>
        <w:rPr>
          <w:i/>
          <w:iCs/>
          <w:lang w:eastAsia="zh-CN"/>
        </w:rPr>
        <w:t>SIB11</w:t>
      </w:r>
      <w:r>
        <w:rPr>
          <w:lang w:eastAsia="zh-CN"/>
        </w:rPr>
        <w:t xml:space="preserve"> within </w:t>
      </w:r>
      <w:r>
        <w:rPr>
          <w:i/>
          <w:iCs/>
        </w:rPr>
        <w:t>VarMeasIdleConfig</w:t>
      </w:r>
      <w:r>
        <w:t>;</w:t>
      </w:r>
    </w:p>
    <w:p w14:paraId="4A023E30" w14:textId="77777777" w:rsidR="00F74AEC" w:rsidRDefault="00F74AEC" w:rsidP="00F74AEC">
      <w:pPr>
        <w:pStyle w:val="B3"/>
      </w:pPr>
      <w:r>
        <w:t>3&gt;</w:t>
      </w:r>
      <w:r>
        <w:tab/>
        <w:t>else:</w:t>
      </w:r>
    </w:p>
    <w:p w14:paraId="5318A030" w14:textId="77777777" w:rsidR="00F74AEC" w:rsidRDefault="00F74AEC" w:rsidP="00F74AEC">
      <w:pPr>
        <w:pStyle w:val="B4"/>
        <w:rPr>
          <w:lang w:eastAsia="zh-CN"/>
        </w:rPr>
      </w:pPr>
      <w:r>
        <w:t>4&gt;</w:t>
      </w:r>
      <w:r>
        <w:tab/>
        <w:t xml:space="preserve">remove the </w:t>
      </w:r>
      <w:r>
        <w:rPr>
          <w:i/>
          <w:iCs/>
        </w:rPr>
        <w:t>measIdleCarrierListNR</w:t>
      </w:r>
      <w:r>
        <w:t xml:space="preserve"> in </w:t>
      </w:r>
      <w:r>
        <w:rPr>
          <w:i/>
          <w:iCs/>
        </w:rPr>
        <w:t>VarMeasIdleConfig</w:t>
      </w:r>
      <w:r>
        <w:t>, if stored;</w:t>
      </w:r>
    </w:p>
    <w:p w14:paraId="72C628BA" w14:textId="77777777" w:rsidR="00F74AEC" w:rsidRDefault="00F74AEC" w:rsidP="00F74AEC">
      <w:pPr>
        <w:pStyle w:val="B1"/>
        <w:rPr>
          <w:lang w:eastAsia="ja-JP"/>
        </w:rPr>
      </w:pPr>
      <w:r>
        <w:t>1&gt;</w:t>
      </w:r>
      <w:r>
        <w:tab/>
        <w:t xml:space="preserve">for each entry in the </w:t>
      </w:r>
      <w:r>
        <w:rPr>
          <w:i/>
        </w:rPr>
        <w:t>measIdleCarrierListNR</w:t>
      </w:r>
      <w:r>
        <w:t xml:space="preserve"> within </w:t>
      </w:r>
      <w:r>
        <w:rPr>
          <w:i/>
        </w:rPr>
        <w:t>VarMeasIdleConfig</w:t>
      </w:r>
      <w:r>
        <w:t xml:space="preserve"> that does not contain an </w:t>
      </w:r>
      <w:r>
        <w:rPr>
          <w:i/>
        </w:rPr>
        <w:t>ssb-MeasConfig</w:t>
      </w:r>
      <w:r>
        <w:t xml:space="preserve"> received from the </w:t>
      </w:r>
      <w:r>
        <w:rPr>
          <w:i/>
        </w:rPr>
        <w:t>RRCRelease</w:t>
      </w:r>
      <w:r>
        <w:t xml:space="preserve"> message:</w:t>
      </w:r>
    </w:p>
    <w:p w14:paraId="371558DD" w14:textId="77777777" w:rsidR="00F74AEC" w:rsidRDefault="00F74AEC" w:rsidP="00F74AEC">
      <w:pPr>
        <w:pStyle w:val="B2"/>
      </w:pPr>
      <w:r>
        <w:t>2&gt;</w:t>
      </w:r>
      <w:r>
        <w:tab/>
        <w:t xml:space="preserve">if there is an entry in </w:t>
      </w:r>
      <w:r>
        <w:rPr>
          <w:i/>
        </w:rPr>
        <w:t>measIdleCarrierListNR</w:t>
      </w:r>
      <w:r>
        <w:t xml:space="preserve"> in </w:t>
      </w:r>
      <w:r>
        <w:rPr>
          <w:i/>
        </w:rPr>
        <w:t>measIdleConfigSIB</w:t>
      </w:r>
      <w:r>
        <w:t xml:space="preserve"> of </w:t>
      </w:r>
      <w:r>
        <w:rPr>
          <w:i/>
          <w:iCs/>
        </w:rPr>
        <w:t>SIB11</w:t>
      </w:r>
      <w:r>
        <w:t xml:space="preserve"> that has the same carrier frequency and subcarrier spacing as the entry in the </w:t>
      </w:r>
      <w:r>
        <w:rPr>
          <w:i/>
        </w:rPr>
        <w:t>measIdleCarrierListNR</w:t>
      </w:r>
      <w:r>
        <w:t xml:space="preserve"> within </w:t>
      </w:r>
      <w:r>
        <w:rPr>
          <w:i/>
        </w:rPr>
        <w:t>VarMeasIdleConfig</w:t>
      </w:r>
      <w:r>
        <w:t xml:space="preserve"> and that contains </w:t>
      </w:r>
      <w:r>
        <w:rPr>
          <w:i/>
        </w:rPr>
        <w:t>ssb-MeasConfig</w:t>
      </w:r>
      <w:r>
        <w:t>:</w:t>
      </w:r>
    </w:p>
    <w:p w14:paraId="48FEE256" w14:textId="77777777" w:rsidR="00F74AEC" w:rsidRDefault="00F74AEC" w:rsidP="00F74AEC">
      <w:pPr>
        <w:pStyle w:val="B3"/>
      </w:pPr>
      <w:r>
        <w:t>3&gt;</w:t>
      </w:r>
      <w:r>
        <w:tab/>
        <w:t xml:space="preserve">delete the </w:t>
      </w:r>
      <w:r>
        <w:rPr>
          <w:i/>
          <w:iCs/>
        </w:rPr>
        <w:t>ssb-MeasConfig</w:t>
      </w:r>
      <w:r>
        <w:t xml:space="preserve"> of the corresponding entry in the </w:t>
      </w:r>
      <w:r>
        <w:rPr>
          <w:i/>
          <w:iCs/>
        </w:rPr>
        <w:t>measIdleCarrierListNR</w:t>
      </w:r>
      <w:r>
        <w:t xml:space="preserve"> within </w:t>
      </w:r>
      <w:r>
        <w:rPr>
          <w:i/>
          <w:iCs/>
        </w:rPr>
        <w:t>VarMeasIdleConfig</w:t>
      </w:r>
      <w:r>
        <w:t>;</w:t>
      </w:r>
    </w:p>
    <w:p w14:paraId="753DE517" w14:textId="77777777" w:rsidR="00F74AEC" w:rsidRDefault="00F74AEC" w:rsidP="00F74AEC">
      <w:pPr>
        <w:pStyle w:val="B3"/>
      </w:pPr>
      <w:r>
        <w:t>3&gt;</w:t>
      </w:r>
      <w:r>
        <w:tab/>
        <w:t xml:space="preserve">store the SSB measurement configuration from </w:t>
      </w:r>
      <w:r>
        <w:rPr>
          <w:i/>
          <w:iCs/>
        </w:rPr>
        <w:t>SIB11</w:t>
      </w:r>
      <w:r>
        <w:t xml:space="preserve"> into </w:t>
      </w:r>
      <w:r>
        <w:rPr>
          <w:i/>
          <w:iCs/>
        </w:rPr>
        <w:t>nrofSS-BlocksToAverage</w:t>
      </w:r>
      <w:r>
        <w:t xml:space="preserve">, </w:t>
      </w:r>
      <w:r>
        <w:rPr>
          <w:i/>
          <w:iCs/>
        </w:rPr>
        <w:t>absThreshSS-BlocksConsolidation</w:t>
      </w:r>
      <w:r>
        <w:t xml:space="preserve">, </w:t>
      </w:r>
      <w:r>
        <w:rPr>
          <w:i/>
          <w:iCs/>
        </w:rPr>
        <w:t>smtc</w:t>
      </w:r>
      <w:r>
        <w:t xml:space="preserve">, </w:t>
      </w:r>
      <w:r>
        <w:rPr>
          <w:i/>
          <w:iCs/>
        </w:rPr>
        <w:t>ssb-ToMeasure</w:t>
      </w:r>
      <w:r>
        <w:t xml:space="preserve">, </w:t>
      </w:r>
      <w:r>
        <w:rPr>
          <w:i/>
          <w:iCs/>
        </w:rPr>
        <w:t>deriveSSB-IndexFromCell</w:t>
      </w:r>
      <w:r>
        <w:t xml:space="preserve">, and </w:t>
      </w:r>
      <w:r>
        <w:rPr>
          <w:i/>
          <w:iCs/>
        </w:rPr>
        <w:t>ss-RSSI-Measurement</w:t>
      </w:r>
      <w:r>
        <w:t xml:space="preserve"> within </w:t>
      </w:r>
      <w:r>
        <w:rPr>
          <w:i/>
          <w:iCs/>
        </w:rPr>
        <w:t>ssb-MeasConfig</w:t>
      </w:r>
      <w:r>
        <w:t xml:space="preserve"> of the corresponding entry in the </w:t>
      </w:r>
      <w:r>
        <w:rPr>
          <w:i/>
          <w:iCs/>
        </w:rPr>
        <w:t>measIdleCarrierListNR</w:t>
      </w:r>
      <w:r>
        <w:t xml:space="preserve"> within </w:t>
      </w:r>
      <w:r>
        <w:rPr>
          <w:i/>
          <w:iCs/>
        </w:rPr>
        <w:t>VarMeasIdleConfig</w:t>
      </w:r>
      <w:r>
        <w:t>;</w:t>
      </w:r>
    </w:p>
    <w:p w14:paraId="628A9A1D" w14:textId="77777777" w:rsidR="00F74AEC" w:rsidRDefault="00F74AEC" w:rsidP="00F74AEC">
      <w:pPr>
        <w:pStyle w:val="B2"/>
      </w:pPr>
      <w:r>
        <w:t>2&gt;</w:t>
      </w:r>
      <w:r>
        <w:tab/>
        <w:t xml:space="preserve">else if there is an entry in </w:t>
      </w:r>
      <w:r>
        <w:rPr>
          <w:i/>
        </w:rPr>
        <w:t xml:space="preserve">carrierFreqListNR </w:t>
      </w:r>
      <w:r>
        <w:rPr>
          <w:iCs/>
        </w:rPr>
        <w:t xml:space="preserve">of </w:t>
      </w:r>
      <w:r>
        <w:rPr>
          <w:i/>
        </w:rPr>
        <w:t>SIB4</w:t>
      </w:r>
      <w:r>
        <w:rPr>
          <w:iCs/>
        </w:rPr>
        <w:t xml:space="preserve"> </w:t>
      </w:r>
      <w:r>
        <w:t xml:space="preserve">with the same carrier frequency and subcarrier spacing as the entry in </w:t>
      </w:r>
      <w:r>
        <w:rPr>
          <w:i/>
        </w:rPr>
        <w:t>measIdleCarrierListNR</w:t>
      </w:r>
      <w:r>
        <w:t xml:space="preserve"> within </w:t>
      </w:r>
      <w:r>
        <w:rPr>
          <w:i/>
        </w:rPr>
        <w:t>VarMeasIdleConfig</w:t>
      </w:r>
      <w:r>
        <w:t>:</w:t>
      </w:r>
    </w:p>
    <w:p w14:paraId="7A4746FD" w14:textId="77777777" w:rsidR="00F74AEC" w:rsidRDefault="00F74AEC" w:rsidP="00F74AEC">
      <w:pPr>
        <w:pStyle w:val="B3"/>
      </w:pPr>
      <w:r>
        <w:t>3&gt;</w:t>
      </w:r>
      <w:r>
        <w:tab/>
        <w:t xml:space="preserve">delete the </w:t>
      </w:r>
      <w:r>
        <w:rPr>
          <w:i/>
          <w:iCs/>
        </w:rPr>
        <w:t>ssb-MeasConfig</w:t>
      </w:r>
      <w:r>
        <w:t xml:space="preserve"> of the corresponding entry in the </w:t>
      </w:r>
      <w:r>
        <w:rPr>
          <w:i/>
          <w:iCs/>
        </w:rPr>
        <w:t>measIdleCarrierListNR</w:t>
      </w:r>
      <w:r>
        <w:t xml:space="preserve"> within </w:t>
      </w:r>
      <w:r>
        <w:rPr>
          <w:i/>
          <w:iCs/>
        </w:rPr>
        <w:t>VarMeasIdleConfig</w:t>
      </w:r>
      <w:r>
        <w:t>;</w:t>
      </w:r>
    </w:p>
    <w:p w14:paraId="1B7B4CCD" w14:textId="77777777" w:rsidR="00F74AEC" w:rsidRDefault="00F74AEC" w:rsidP="00F74AEC">
      <w:pPr>
        <w:pStyle w:val="B3"/>
      </w:pPr>
      <w:r>
        <w:t>3&gt;</w:t>
      </w:r>
      <w:r>
        <w:tab/>
        <w:t xml:space="preserve">store the SSB measurement configuration from </w:t>
      </w:r>
      <w:r>
        <w:rPr>
          <w:i/>
          <w:iCs/>
        </w:rPr>
        <w:t>SIB4</w:t>
      </w:r>
      <w:r>
        <w:t xml:space="preserve"> into </w:t>
      </w:r>
      <w:r>
        <w:rPr>
          <w:i/>
          <w:iCs/>
        </w:rPr>
        <w:t>nrofSS-BlocksToAverage</w:t>
      </w:r>
      <w:r>
        <w:t xml:space="preserve">, </w:t>
      </w:r>
      <w:r>
        <w:rPr>
          <w:i/>
          <w:iCs/>
        </w:rPr>
        <w:t>absThreshSS-BlocksConsolidation</w:t>
      </w:r>
      <w:r>
        <w:t xml:space="preserve">, </w:t>
      </w:r>
      <w:r>
        <w:rPr>
          <w:i/>
          <w:iCs/>
        </w:rPr>
        <w:t>smtc</w:t>
      </w:r>
      <w:r>
        <w:t xml:space="preserve">, </w:t>
      </w:r>
      <w:r>
        <w:rPr>
          <w:i/>
          <w:iCs/>
        </w:rPr>
        <w:t>ssb-ToMeasure</w:t>
      </w:r>
      <w:r>
        <w:t xml:space="preserve">, </w:t>
      </w:r>
      <w:r>
        <w:rPr>
          <w:i/>
          <w:iCs/>
        </w:rPr>
        <w:t>deriveSSB-IndexFromCell</w:t>
      </w:r>
      <w:r>
        <w:t xml:space="preserve">, and </w:t>
      </w:r>
      <w:r>
        <w:rPr>
          <w:i/>
          <w:iCs/>
        </w:rPr>
        <w:t>ss-RSSI-Measurement</w:t>
      </w:r>
      <w:r>
        <w:t xml:space="preserve"> within </w:t>
      </w:r>
      <w:r>
        <w:rPr>
          <w:i/>
          <w:iCs/>
        </w:rPr>
        <w:t>ssb-MeasConfig</w:t>
      </w:r>
      <w:r>
        <w:t xml:space="preserve"> of the corresponding entry in the </w:t>
      </w:r>
      <w:r>
        <w:rPr>
          <w:i/>
          <w:iCs/>
        </w:rPr>
        <w:t>measIdleCarrierListNR</w:t>
      </w:r>
      <w:r>
        <w:t xml:space="preserve"> within </w:t>
      </w:r>
      <w:r>
        <w:rPr>
          <w:i/>
          <w:iCs/>
        </w:rPr>
        <w:t>VarMeasIdleConfig</w:t>
      </w:r>
      <w:r>
        <w:t>;</w:t>
      </w:r>
    </w:p>
    <w:p w14:paraId="643E15BC" w14:textId="77777777" w:rsidR="00F74AEC" w:rsidRDefault="00F74AEC" w:rsidP="00F74AEC">
      <w:pPr>
        <w:pStyle w:val="B2"/>
      </w:pPr>
      <w:r>
        <w:t>2&gt;</w:t>
      </w:r>
      <w:r>
        <w:tab/>
        <w:t>else:</w:t>
      </w:r>
    </w:p>
    <w:p w14:paraId="3CD4AF27" w14:textId="77777777" w:rsidR="00F74AEC" w:rsidRDefault="00F74AEC" w:rsidP="00F74AEC">
      <w:pPr>
        <w:pStyle w:val="B3"/>
      </w:pPr>
      <w:r>
        <w:lastRenderedPageBreak/>
        <w:t>3&gt;</w:t>
      </w:r>
      <w:r>
        <w:tab/>
        <w:t xml:space="preserve">remove the </w:t>
      </w:r>
      <w:r>
        <w:rPr>
          <w:i/>
        </w:rPr>
        <w:t>ssb-MeasConfig</w:t>
      </w:r>
      <w:r>
        <w:t xml:space="preserve"> of the corresponding entry in the </w:t>
      </w:r>
      <w:r>
        <w:rPr>
          <w:i/>
        </w:rPr>
        <w:t>measIdleCarrierListNR</w:t>
      </w:r>
      <w:r>
        <w:t xml:space="preserve"> </w:t>
      </w:r>
      <w:r>
        <w:rPr>
          <w:lang w:eastAsia="zh-CN"/>
        </w:rPr>
        <w:t xml:space="preserve">within </w:t>
      </w:r>
      <w:r>
        <w:rPr>
          <w:i/>
        </w:rPr>
        <w:t>VarMeasIdleConfig</w:t>
      </w:r>
      <w:r>
        <w:t>, if stored;</w:t>
      </w:r>
    </w:p>
    <w:p w14:paraId="46504D8C" w14:textId="77777777" w:rsidR="00F74AEC" w:rsidRDefault="00F74AEC" w:rsidP="00F74AEC">
      <w:pPr>
        <w:pStyle w:val="B1"/>
      </w:pPr>
      <w:r>
        <w:t>1&gt;</w:t>
      </w:r>
      <w:r>
        <w:tab/>
        <w:t>perform measurements according to 5.7.8.2a.</w:t>
      </w:r>
    </w:p>
    <w:p w14:paraId="4F1FDD99" w14:textId="77777777" w:rsidR="00590820" w:rsidRDefault="00590820" w:rsidP="00590820">
      <w:pPr>
        <w:pStyle w:val="Heading4"/>
        <w:rPr>
          <w:bdr w:val="single" w:sz="4" w:space="0" w:color="auto"/>
        </w:rPr>
      </w:pPr>
      <w:bookmarkStart w:id="14" w:name="_Toc46486963"/>
      <w:bookmarkStart w:id="15" w:name="_Toc46444202"/>
      <w:bookmarkStart w:id="16" w:name="_Toc46439365"/>
    </w:p>
    <w:p w14:paraId="6301A2A3" w14:textId="71457324" w:rsidR="00590820" w:rsidRPr="00590820" w:rsidRDefault="00590820" w:rsidP="00590820">
      <w:pPr>
        <w:pStyle w:val="Heading4"/>
        <w:rPr>
          <w:bdr w:val="single" w:sz="4" w:space="0" w:color="auto"/>
        </w:rPr>
      </w:pPr>
      <w:r>
        <w:rPr>
          <w:bdr w:val="single" w:sz="4" w:space="0" w:color="auto"/>
        </w:rPr>
        <w:t>Second</w:t>
      </w:r>
      <w:r w:rsidRPr="00590820">
        <w:rPr>
          <w:bdr w:val="single" w:sz="4" w:space="0" w:color="auto"/>
        </w:rPr>
        <w:t xml:space="preserve"> </w:t>
      </w:r>
      <w:r>
        <w:rPr>
          <w:bdr w:val="single" w:sz="4" w:space="0" w:color="auto"/>
        </w:rPr>
        <w:t>change</w:t>
      </w:r>
    </w:p>
    <w:p w14:paraId="6FA65CFA" w14:textId="77777777" w:rsidR="00F74AEC" w:rsidRDefault="00F74AEC" w:rsidP="00F74AEC">
      <w:pPr>
        <w:pStyle w:val="Heading4"/>
      </w:pPr>
      <w:r>
        <w:t>5.7.8.2a</w:t>
      </w:r>
      <w:r>
        <w:tab/>
        <w:t>Performing measurements</w:t>
      </w:r>
      <w:bookmarkEnd w:id="14"/>
      <w:bookmarkEnd w:id="15"/>
      <w:bookmarkEnd w:id="16"/>
    </w:p>
    <w:p w14:paraId="5C49DBC1" w14:textId="77777777" w:rsidR="00F74AEC" w:rsidRDefault="00F74AEC" w:rsidP="00F74AEC">
      <w: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8805B8C" w14:textId="628E1A89" w:rsidR="00F74AEC" w:rsidRDefault="00F74AEC" w:rsidP="00F74AEC">
      <w:r>
        <w:t>While in RRC_IDLE or RRC_INACTIVE</w:t>
      </w:r>
      <w:ins w:id="17" w:author=" Google (EricChen)" w:date="2020-08-03T14:07:00Z">
        <w:r>
          <w:t>,</w:t>
        </w:r>
      </w:ins>
      <w:r>
        <w:t xml:space="preserve"> and T331 is running, the UE shall:</w:t>
      </w:r>
    </w:p>
    <w:p w14:paraId="0F44DAEF" w14:textId="77777777" w:rsidR="00F74AEC" w:rsidRDefault="00F74AEC" w:rsidP="00F74AEC">
      <w:pPr>
        <w:pStyle w:val="B1"/>
      </w:pPr>
      <w:r>
        <w:t>1&gt;</w:t>
      </w:r>
      <w:r>
        <w:tab/>
        <w:t>perform the measurements in accordance with the following:</w:t>
      </w:r>
    </w:p>
    <w:p w14:paraId="5F8FCAD4" w14:textId="77777777" w:rsidR="00F74AEC" w:rsidRDefault="00F74AEC" w:rsidP="00F74AEC">
      <w:pPr>
        <w:pStyle w:val="B2"/>
      </w:pPr>
      <w:r>
        <w:t>2&gt;</w:t>
      </w:r>
      <w:r>
        <w:tab/>
        <w:t xml:space="preserve">if the </w:t>
      </w:r>
      <w:r>
        <w:rPr>
          <w:i/>
        </w:rPr>
        <w:t>VarMeasIdleConfig</w:t>
      </w:r>
      <w:r>
        <w:t xml:space="preserve"> includes the </w:t>
      </w:r>
      <w:r>
        <w:rPr>
          <w:i/>
        </w:rPr>
        <w:t xml:space="preserve">measIdleCarrierListEUTRA </w:t>
      </w:r>
      <w:r>
        <w:rPr>
          <w:iCs/>
        </w:rPr>
        <w:t xml:space="preserve">and the </w:t>
      </w:r>
      <w:r>
        <w:rPr>
          <w:i/>
        </w:rPr>
        <w:t xml:space="preserve">SIB1 </w:t>
      </w:r>
      <w:r>
        <w:rPr>
          <w:iCs/>
        </w:rPr>
        <w:t xml:space="preserve">contains </w:t>
      </w:r>
      <w:r>
        <w:rPr>
          <w:i/>
          <w:iCs/>
        </w:rPr>
        <w:t>idleModeMeasurementsEUTRA</w:t>
      </w:r>
      <w:r>
        <w:t>:</w:t>
      </w:r>
    </w:p>
    <w:p w14:paraId="2A651636" w14:textId="77777777" w:rsidR="00F74AEC" w:rsidRDefault="00F74AEC" w:rsidP="00F74AEC">
      <w:pPr>
        <w:pStyle w:val="B3"/>
      </w:pPr>
      <w:r>
        <w:t>3&gt;</w:t>
      </w:r>
      <w:r>
        <w:tab/>
        <w:t xml:space="preserve">for each entry in </w:t>
      </w:r>
      <w:r>
        <w:rPr>
          <w:i/>
        </w:rPr>
        <w:t>measIdleCarrierListEUTRA</w:t>
      </w:r>
      <w:r>
        <w:t xml:space="preserve"> within </w:t>
      </w:r>
      <w:r>
        <w:rPr>
          <w:i/>
        </w:rPr>
        <w:t>VarMeasIdleConfig</w:t>
      </w:r>
      <w:r>
        <w:t>:</w:t>
      </w:r>
    </w:p>
    <w:p w14:paraId="0311DE60" w14:textId="77777777" w:rsidR="00F74AEC" w:rsidRDefault="00F74AEC" w:rsidP="00F74AEC">
      <w:pPr>
        <w:pStyle w:val="B4"/>
      </w:pPr>
      <w:r>
        <w:t>4&gt;</w:t>
      </w:r>
      <w:r>
        <w:tab/>
        <w:t xml:space="preserve">if UE supports NE-DC between the serving carrier and the carrier frequency indicated by </w:t>
      </w:r>
      <w:r>
        <w:rPr>
          <w:i/>
        </w:rPr>
        <w:t>carrierFreqEUTRA</w:t>
      </w:r>
      <w:r>
        <w:t xml:space="preserve"> within the corresponding entry:</w:t>
      </w:r>
    </w:p>
    <w:p w14:paraId="5F8CCAA9" w14:textId="77777777" w:rsidR="00F74AEC" w:rsidRDefault="00F74AEC" w:rsidP="00F74AEC">
      <w:pPr>
        <w:pStyle w:val="B5"/>
      </w:pPr>
      <w:r>
        <w:t>5&gt;</w:t>
      </w:r>
      <w:r>
        <w:tab/>
        <w:t xml:space="preserve">perform measurements in the carrier frequency and bandwidth indicated by </w:t>
      </w:r>
      <w:r>
        <w:rPr>
          <w:i/>
        </w:rPr>
        <w:t>carrierFreq</w:t>
      </w:r>
      <w:r>
        <w:t xml:space="preserve"> and </w:t>
      </w:r>
      <w:r>
        <w:rPr>
          <w:i/>
        </w:rPr>
        <w:t>allowedMeasBandwidth</w:t>
      </w:r>
      <w:r>
        <w:t xml:space="preserve"> within the corresponding entry;</w:t>
      </w:r>
    </w:p>
    <w:p w14:paraId="3747A1AB" w14:textId="77777777" w:rsidR="00F74AEC" w:rsidRDefault="00F74AEC" w:rsidP="00F74AEC">
      <w:pPr>
        <w:pStyle w:val="B5"/>
      </w:pPr>
      <w:r>
        <w:t>5&gt;</w:t>
      </w:r>
      <w:r>
        <w:tab/>
        <w:t xml:space="preserve">if the </w:t>
      </w:r>
      <w:r>
        <w:rPr>
          <w:i/>
        </w:rPr>
        <w:t>reportQuantitiesEUTRA</w:t>
      </w:r>
      <w:r>
        <w:t xml:space="preserve"> is set to </w:t>
      </w:r>
      <w:r>
        <w:rPr>
          <w:i/>
        </w:rPr>
        <w:t>rsrq</w:t>
      </w:r>
      <w:r>
        <w:t>:</w:t>
      </w:r>
    </w:p>
    <w:p w14:paraId="5211F9A8" w14:textId="77777777" w:rsidR="00F74AEC" w:rsidRDefault="00F74AEC" w:rsidP="00F74AEC">
      <w:pPr>
        <w:pStyle w:val="B6"/>
        <w:rPr>
          <w:lang w:val="en-GB"/>
        </w:rPr>
      </w:pPr>
      <w:r>
        <w:rPr>
          <w:lang w:val="en-GB"/>
        </w:rPr>
        <w:t>6&gt;</w:t>
      </w:r>
      <w:r>
        <w:rPr>
          <w:lang w:val="en-GB"/>
        </w:rPr>
        <w:tab/>
        <w:t>consider RSRQ as the sorting quantity;</w:t>
      </w:r>
    </w:p>
    <w:p w14:paraId="16A38863" w14:textId="77777777" w:rsidR="00F74AEC" w:rsidRDefault="00F74AEC" w:rsidP="00F74AEC">
      <w:pPr>
        <w:pStyle w:val="B5"/>
      </w:pPr>
      <w:r>
        <w:t>5&gt;</w:t>
      </w:r>
      <w:r>
        <w:tab/>
        <w:t>else:</w:t>
      </w:r>
    </w:p>
    <w:p w14:paraId="1AB3F617" w14:textId="77777777" w:rsidR="00F74AEC" w:rsidRDefault="00F74AEC" w:rsidP="00F74AEC">
      <w:pPr>
        <w:pStyle w:val="B6"/>
        <w:rPr>
          <w:lang w:val="en-GB"/>
        </w:rPr>
      </w:pPr>
      <w:r>
        <w:rPr>
          <w:lang w:val="en-GB"/>
        </w:rPr>
        <w:t>6&gt;</w:t>
      </w:r>
      <w:r>
        <w:rPr>
          <w:lang w:val="en-GB"/>
        </w:rPr>
        <w:tab/>
        <w:t>consider RSRP as the sorting quantity;</w:t>
      </w:r>
    </w:p>
    <w:p w14:paraId="04F485B5" w14:textId="77777777" w:rsidR="00F74AEC" w:rsidRDefault="00F74AEC" w:rsidP="00F74AEC">
      <w:pPr>
        <w:pStyle w:val="B5"/>
      </w:pPr>
      <w:r>
        <w:t>5&gt;</w:t>
      </w:r>
      <w:r>
        <w:tab/>
        <w:t xml:space="preserve">if the </w:t>
      </w:r>
      <w:r>
        <w:rPr>
          <w:i/>
        </w:rPr>
        <w:t>measCellListEUTRA</w:t>
      </w:r>
      <w:r>
        <w:t xml:space="preserve"> is included:</w:t>
      </w:r>
    </w:p>
    <w:p w14:paraId="33BA30D2" w14:textId="77777777" w:rsidR="00F74AEC" w:rsidRDefault="00F74AEC" w:rsidP="00F74AEC">
      <w:pPr>
        <w:pStyle w:val="B6"/>
        <w:rPr>
          <w:lang w:val="en-GB"/>
        </w:rPr>
      </w:pPr>
      <w:r>
        <w:rPr>
          <w:lang w:val="en-GB"/>
        </w:rPr>
        <w:t>6&gt;</w:t>
      </w:r>
      <w:r>
        <w:rPr>
          <w:lang w:val="en-GB"/>
        </w:rPr>
        <w:tab/>
        <w:t xml:space="preserve">consider cells identified by each entry within the </w:t>
      </w:r>
      <w:r>
        <w:rPr>
          <w:i/>
          <w:lang w:val="en-GB"/>
        </w:rPr>
        <w:t>measCellListEUTRA</w:t>
      </w:r>
      <w:r>
        <w:rPr>
          <w:lang w:val="en-GB"/>
        </w:rPr>
        <w:t xml:space="preserve"> to be applicable for idle/inactive mode measurement reporting;</w:t>
      </w:r>
    </w:p>
    <w:p w14:paraId="08EFA762" w14:textId="77777777" w:rsidR="00F74AEC" w:rsidRDefault="00F74AEC" w:rsidP="00F74AEC">
      <w:pPr>
        <w:pStyle w:val="B5"/>
      </w:pPr>
      <w:r>
        <w:t>5&gt;</w:t>
      </w:r>
      <w:r>
        <w:tab/>
        <w:t>else:</w:t>
      </w:r>
    </w:p>
    <w:p w14:paraId="6CF50BD4" w14:textId="77777777" w:rsidR="00F74AEC" w:rsidRDefault="00F74AEC" w:rsidP="00F74AEC">
      <w:pPr>
        <w:pStyle w:val="B6"/>
        <w:rPr>
          <w:lang w:val="en-GB"/>
        </w:rPr>
      </w:pPr>
      <w:r>
        <w:rPr>
          <w:lang w:val="en-GB"/>
        </w:rPr>
        <w:t>6&gt;</w:t>
      </w:r>
      <w:r>
        <w:rPr>
          <w:lang w:val="en-GB"/>
        </w:rPr>
        <w:tab/>
        <w:t xml:space="preserve">consider up to </w:t>
      </w:r>
      <w:r>
        <w:rPr>
          <w:i/>
          <w:lang w:val="en-GB"/>
        </w:rPr>
        <w:t>maxCellMeasIdle</w:t>
      </w:r>
      <w:r>
        <w:rPr>
          <w:lang w:val="en-GB"/>
        </w:rPr>
        <w:t xml:space="preserve"> strongest identified cells, according to the sorting quantity, to be applicable for idle/inactive measurement reporting;</w:t>
      </w:r>
    </w:p>
    <w:p w14:paraId="0FD3AAD2" w14:textId="77777777" w:rsidR="00F74AEC" w:rsidRDefault="00F74AEC" w:rsidP="00F74AEC">
      <w:pPr>
        <w:pStyle w:val="B5"/>
        <w:rPr>
          <w:i/>
        </w:rPr>
      </w:pPr>
      <w:r>
        <w:t>5&gt;</w:t>
      </w:r>
      <w:r>
        <w:tab/>
        <w:t xml:space="preserve">for all cells applicable for idle/inactive measurement reporting, derive measurement results for the measurement quantities indicated by </w:t>
      </w:r>
      <w:r>
        <w:rPr>
          <w:i/>
        </w:rPr>
        <w:t>reportQuantitiesEUTRA;</w:t>
      </w:r>
    </w:p>
    <w:p w14:paraId="464CF5DB" w14:textId="77777777" w:rsidR="00F74AEC" w:rsidRDefault="00F74AEC" w:rsidP="00F74AEC">
      <w:pPr>
        <w:pStyle w:val="B5"/>
      </w:pPr>
      <w:r>
        <w:t>5&gt;</w:t>
      </w:r>
      <w:r>
        <w:tab/>
        <w:t xml:space="preserve">store the derived measurement results as indicated by </w:t>
      </w:r>
      <w:r>
        <w:rPr>
          <w:i/>
        </w:rPr>
        <w:t>reportQuantitiesEUTRA</w:t>
      </w:r>
      <w:r>
        <w:t xml:space="preserve"> within the </w:t>
      </w:r>
      <w:r>
        <w:rPr>
          <w:i/>
        </w:rPr>
        <w:t>measReportIdleEUTRA</w:t>
      </w:r>
      <w:r>
        <w:t xml:space="preserve"> in </w:t>
      </w:r>
      <w:r>
        <w:rPr>
          <w:i/>
        </w:rPr>
        <w:t xml:space="preserve">VarMeasIdleReport </w:t>
      </w:r>
      <w:r>
        <w:rPr>
          <w:iCs/>
        </w:rPr>
        <w:t xml:space="preserve">in decreasing order of the sorting quantity, </w:t>
      </w:r>
      <w:r>
        <w:t>i.e. the best cell is included first, as follows:</w:t>
      </w:r>
    </w:p>
    <w:p w14:paraId="1180BBE9" w14:textId="77777777" w:rsidR="00F74AEC" w:rsidRDefault="00F74AEC" w:rsidP="00F74AEC">
      <w:pPr>
        <w:pStyle w:val="B6"/>
        <w:rPr>
          <w:lang w:val="en-GB"/>
        </w:rPr>
      </w:pPr>
      <w:r>
        <w:rPr>
          <w:lang w:val="en-GB"/>
        </w:rPr>
        <w:t>6&gt;</w:t>
      </w:r>
      <w:r>
        <w:rPr>
          <w:lang w:val="en-GB"/>
        </w:rPr>
        <w:tab/>
        <w:t xml:space="preserve">if </w:t>
      </w:r>
      <w:r>
        <w:rPr>
          <w:i/>
          <w:lang w:val="en-GB"/>
        </w:rPr>
        <w:t>qualityThresholdEUTRA</w:t>
      </w:r>
      <w:r>
        <w:rPr>
          <w:lang w:val="en-GB"/>
        </w:rPr>
        <w:t xml:space="preserve"> is configured:</w:t>
      </w:r>
    </w:p>
    <w:p w14:paraId="12B59BF6" w14:textId="77777777" w:rsidR="00F74AEC" w:rsidRDefault="00F74AEC" w:rsidP="00F74AEC">
      <w:pPr>
        <w:pStyle w:val="B7"/>
        <w:rPr>
          <w:i/>
          <w:lang w:val="en-GB"/>
        </w:rPr>
      </w:pPr>
      <w:r>
        <w:rPr>
          <w:lang w:val="en-GB"/>
        </w:rPr>
        <w:t>7&gt;</w:t>
      </w:r>
      <w:r>
        <w:rPr>
          <w:lang w:val="en-GB"/>
        </w:rPr>
        <w:tab/>
        <w:t xml:space="preserve">include the measurement results from the cells applicable for idle/inactive measurement reporting whose RSRP/RSRQ measurement results are above the value(s) provided in </w:t>
      </w:r>
      <w:r>
        <w:rPr>
          <w:i/>
          <w:lang w:val="en-GB"/>
        </w:rPr>
        <w:t>qualityThresholdEUTRA;</w:t>
      </w:r>
    </w:p>
    <w:p w14:paraId="5C2CD653" w14:textId="77777777" w:rsidR="00F74AEC" w:rsidRDefault="00F74AEC" w:rsidP="00F74AEC">
      <w:pPr>
        <w:pStyle w:val="B6"/>
        <w:rPr>
          <w:lang w:val="en-GB"/>
        </w:rPr>
      </w:pPr>
      <w:r>
        <w:rPr>
          <w:lang w:val="en-GB"/>
        </w:rPr>
        <w:t>6&gt;</w:t>
      </w:r>
      <w:r>
        <w:rPr>
          <w:lang w:val="en-GB"/>
        </w:rPr>
        <w:tab/>
        <w:t>else:</w:t>
      </w:r>
    </w:p>
    <w:p w14:paraId="3F272391" w14:textId="77777777" w:rsidR="00F74AEC" w:rsidRDefault="00F74AEC" w:rsidP="00F74AEC">
      <w:pPr>
        <w:pStyle w:val="B7"/>
        <w:rPr>
          <w:lang w:val="en-GB"/>
        </w:rPr>
      </w:pPr>
      <w:r>
        <w:rPr>
          <w:lang w:val="en-GB"/>
        </w:rPr>
        <w:t>7&gt;</w:t>
      </w:r>
      <w:r>
        <w:rPr>
          <w:lang w:val="en-GB"/>
        </w:rPr>
        <w:tab/>
        <w:t>include the measurement results from all cells applicable for idle/inactive measurement reporting;</w:t>
      </w:r>
    </w:p>
    <w:p w14:paraId="5B8C3D5A" w14:textId="77777777" w:rsidR="00F74AEC" w:rsidRDefault="00F74AEC" w:rsidP="00F74AEC">
      <w:pPr>
        <w:pStyle w:val="B2"/>
      </w:pPr>
      <w:r>
        <w:lastRenderedPageBreak/>
        <w:t>2&gt;</w:t>
      </w:r>
      <w:r>
        <w:tab/>
        <w:t xml:space="preserve">if the </w:t>
      </w:r>
      <w:r>
        <w:rPr>
          <w:i/>
        </w:rPr>
        <w:t>VarMeasIdleConfig</w:t>
      </w:r>
      <w:r>
        <w:t xml:space="preserve"> includes the </w:t>
      </w:r>
      <w:r>
        <w:rPr>
          <w:i/>
        </w:rPr>
        <w:t>measIdleCarrierListNR</w:t>
      </w:r>
      <w:r>
        <w:t xml:space="preserve"> and the SIB1 contains </w:t>
      </w:r>
      <w:r>
        <w:rPr>
          <w:i/>
          <w:iCs/>
        </w:rPr>
        <w:t>idleModeMeasurementsNR</w:t>
      </w:r>
      <w:r>
        <w:t>:</w:t>
      </w:r>
    </w:p>
    <w:p w14:paraId="2E1A9112" w14:textId="77777777" w:rsidR="00F74AEC" w:rsidRDefault="00F74AEC" w:rsidP="00F74AEC">
      <w:pPr>
        <w:pStyle w:val="B3"/>
      </w:pPr>
      <w:r>
        <w:t>3&gt;</w:t>
      </w:r>
      <w:r>
        <w:tab/>
        <w:t xml:space="preserve">for each entry in </w:t>
      </w:r>
      <w:r>
        <w:rPr>
          <w:i/>
        </w:rPr>
        <w:t>measIdleCarrierListNR</w:t>
      </w:r>
      <w:r>
        <w:t xml:space="preserve"> within </w:t>
      </w:r>
      <w:r>
        <w:rPr>
          <w:i/>
        </w:rPr>
        <w:t xml:space="preserve">VarMeasIdleConfig </w:t>
      </w:r>
      <w:r>
        <w:rPr>
          <w:iCs/>
        </w:rPr>
        <w:t xml:space="preserve">that contains </w:t>
      </w:r>
      <w:r>
        <w:rPr>
          <w:i/>
        </w:rPr>
        <w:t>ssb-MeasConfig</w:t>
      </w:r>
      <w:r>
        <w:t>:</w:t>
      </w:r>
    </w:p>
    <w:p w14:paraId="4C3C1E2E" w14:textId="77777777" w:rsidR="00F74AEC" w:rsidRDefault="00F74AEC" w:rsidP="00F74AEC">
      <w:pPr>
        <w:pStyle w:val="B4"/>
      </w:pPr>
      <w:r>
        <w:t>4&gt;</w:t>
      </w:r>
      <w:r>
        <w:tab/>
        <w:t xml:space="preserve">if UE supports carrier aggregation or NR-DC between serving carrier and the carrier frequency and subcarrier spacing indicated by </w:t>
      </w:r>
      <w:r>
        <w:rPr>
          <w:i/>
        </w:rPr>
        <w:t>carrierFreq</w:t>
      </w:r>
      <w:r>
        <w:t xml:space="preserve"> and </w:t>
      </w:r>
      <w:r>
        <w:rPr>
          <w:i/>
        </w:rPr>
        <w:t>ssbSubCarrierSpacing</w:t>
      </w:r>
      <w:r>
        <w:t xml:space="preserve"> within the corresponding entry:</w:t>
      </w:r>
    </w:p>
    <w:p w14:paraId="395E9EDB" w14:textId="77777777" w:rsidR="00F74AEC" w:rsidRDefault="00F74AEC" w:rsidP="00F74AEC">
      <w:pPr>
        <w:pStyle w:val="B5"/>
      </w:pPr>
      <w:r>
        <w:t>5&gt;</w:t>
      </w:r>
      <w:r>
        <w:tab/>
        <w:t xml:space="preserve">perform measurements in the carrier frequency and subcarrier spacing indicated by </w:t>
      </w:r>
      <w:r>
        <w:rPr>
          <w:i/>
        </w:rPr>
        <w:t>carrierFreq</w:t>
      </w:r>
      <w:r>
        <w:t xml:space="preserve"> and </w:t>
      </w:r>
      <w:r>
        <w:rPr>
          <w:i/>
        </w:rPr>
        <w:t>ssbSubCarrierSpacing</w:t>
      </w:r>
      <w:r>
        <w:t xml:space="preserve"> within the corresponding entry;</w:t>
      </w:r>
    </w:p>
    <w:p w14:paraId="7E0110B8" w14:textId="77777777" w:rsidR="00F74AEC" w:rsidRDefault="00F74AEC" w:rsidP="00F74AEC">
      <w:pPr>
        <w:pStyle w:val="B5"/>
      </w:pPr>
      <w:r>
        <w:t>5&gt;</w:t>
      </w:r>
      <w:r>
        <w:tab/>
        <w:t xml:space="preserve">if the </w:t>
      </w:r>
      <w:r>
        <w:rPr>
          <w:i/>
          <w:iCs/>
        </w:rPr>
        <w:t>reportQuantities</w:t>
      </w:r>
      <w:r>
        <w:t xml:space="preserve"> is set to rsrq:</w:t>
      </w:r>
    </w:p>
    <w:p w14:paraId="09EB68E5" w14:textId="77777777" w:rsidR="00F74AEC" w:rsidRDefault="00F74AEC" w:rsidP="00F74AEC">
      <w:pPr>
        <w:pStyle w:val="B6"/>
        <w:rPr>
          <w:lang w:val="en-GB"/>
        </w:rPr>
      </w:pPr>
      <w:r>
        <w:rPr>
          <w:lang w:val="en-GB"/>
        </w:rPr>
        <w:t>6&gt;</w:t>
      </w:r>
      <w:r>
        <w:rPr>
          <w:lang w:val="en-GB"/>
        </w:rPr>
        <w:tab/>
        <w:t>consider RSRQ as the cell sorting quantity;</w:t>
      </w:r>
    </w:p>
    <w:p w14:paraId="2723CB05" w14:textId="77777777" w:rsidR="00F74AEC" w:rsidRDefault="00F74AEC" w:rsidP="00F74AEC">
      <w:pPr>
        <w:pStyle w:val="B5"/>
      </w:pPr>
      <w:r>
        <w:t>5&gt;</w:t>
      </w:r>
      <w:r>
        <w:tab/>
        <w:t>else:</w:t>
      </w:r>
    </w:p>
    <w:p w14:paraId="233050A4" w14:textId="77777777" w:rsidR="00F74AEC" w:rsidRDefault="00F74AEC" w:rsidP="00F74AEC">
      <w:pPr>
        <w:pStyle w:val="B6"/>
        <w:rPr>
          <w:lang w:val="en-GB"/>
        </w:rPr>
      </w:pPr>
      <w:r>
        <w:rPr>
          <w:lang w:val="en-GB"/>
        </w:rPr>
        <w:t>6&gt;</w:t>
      </w:r>
      <w:r>
        <w:rPr>
          <w:lang w:val="en-GB"/>
        </w:rPr>
        <w:tab/>
        <w:t>consider RSRP as the cell sorting quantity;</w:t>
      </w:r>
    </w:p>
    <w:p w14:paraId="0F92648B" w14:textId="77777777" w:rsidR="00F74AEC" w:rsidRDefault="00F74AEC" w:rsidP="00F74AEC">
      <w:pPr>
        <w:pStyle w:val="B5"/>
      </w:pPr>
      <w:r>
        <w:t>5&gt;</w:t>
      </w:r>
      <w:r>
        <w:tab/>
        <w:t xml:space="preserve">if the </w:t>
      </w:r>
      <w:r>
        <w:rPr>
          <w:i/>
        </w:rPr>
        <w:t>measCellListNR</w:t>
      </w:r>
      <w:r>
        <w:t xml:space="preserve"> is included:</w:t>
      </w:r>
    </w:p>
    <w:p w14:paraId="7E27EE7A" w14:textId="77777777" w:rsidR="00F74AEC" w:rsidRDefault="00F74AEC" w:rsidP="00F74AEC">
      <w:pPr>
        <w:pStyle w:val="B6"/>
        <w:rPr>
          <w:lang w:val="en-GB"/>
        </w:rPr>
      </w:pPr>
      <w:r>
        <w:rPr>
          <w:lang w:val="en-GB"/>
        </w:rPr>
        <w:t>6&gt;</w:t>
      </w:r>
      <w:r>
        <w:rPr>
          <w:lang w:val="en-GB"/>
        </w:rPr>
        <w:tab/>
        <w:t xml:space="preserve">consider cells identified by each entry within the </w:t>
      </w:r>
      <w:r>
        <w:rPr>
          <w:i/>
          <w:lang w:val="en-GB"/>
        </w:rPr>
        <w:t>measCellListNR</w:t>
      </w:r>
      <w:r>
        <w:rPr>
          <w:lang w:val="en-GB"/>
        </w:rPr>
        <w:t xml:space="preserve"> to be applicable for idle/inactive measurement reporting;</w:t>
      </w:r>
    </w:p>
    <w:p w14:paraId="5CF4B12F" w14:textId="77777777" w:rsidR="00F74AEC" w:rsidRDefault="00F74AEC" w:rsidP="00F74AEC">
      <w:pPr>
        <w:pStyle w:val="B5"/>
      </w:pPr>
      <w:r>
        <w:t>5&gt;</w:t>
      </w:r>
      <w:r>
        <w:tab/>
        <w:t>else:</w:t>
      </w:r>
    </w:p>
    <w:p w14:paraId="323E4373" w14:textId="77777777" w:rsidR="00F74AEC" w:rsidRDefault="00F74AEC" w:rsidP="00F74AEC">
      <w:pPr>
        <w:pStyle w:val="B6"/>
        <w:rPr>
          <w:lang w:val="en-GB"/>
        </w:rPr>
      </w:pPr>
      <w:r>
        <w:rPr>
          <w:lang w:val="en-GB"/>
        </w:rPr>
        <w:t>6&gt;</w:t>
      </w:r>
      <w:r>
        <w:rPr>
          <w:lang w:val="en-GB"/>
        </w:rPr>
        <w:tab/>
        <w:t xml:space="preserve">consider up to </w:t>
      </w:r>
      <w:r>
        <w:rPr>
          <w:i/>
          <w:lang w:val="en-GB"/>
        </w:rPr>
        <w:t>maxCellMeasIdle</w:t>
      </w:r>
      <w:r>
        <w:rPr>
          <w:lang w:val="en-GB"/>
        </w:rPr>
        <w:t xml:space="preserve"> strongest identified cells, according to the sorting quantity, to be applicable for idle/inactive measurement reporting;</w:t>
      </w:r>
    </w:p>
    <w:p w14:paraId="19AE516C" w14:textId="77777777" w:rsidR="00F74AEC" w:rsidRDefault="00F74AEC" w:rsidP="00F74AEC">
      <w:pPr>
        <w:pStyle w:val="B5"/>
      </w:pPr>
      <w:bookmarkStart w:id="18" w:name="_Hlk39517155"/>
      <w:r>
        <w:t>5&gt;</w:t>
      </w:r>
      <w:r>
        <w:tab/>
        <w:t xml:space="preserve">for all cells applicable for idle/inactive measurement reporting and for the serving cell, derive cell measurement results for the measurement quantities indicated by </w:t>
      </w:r>
      <w:r>
        <w:rPr>
          <w:i/>
        </w:rPr>
        <w:t>reportQuantities;</w:t>
      </w:r>
    </w:p>
    <w:p w14:paraId="4F764A04" w14:textId="77777777" w:rsidR="00F74AEC" w:rsidRDefault="00F74AEC" w:rsidP="00F74AEC">
      <w:pPr>
        <w:pStyle w:val="B5"/>
      </w:pPr>
      <w:r>
        <w:t>5&gt;</w:t>
      </w:r>
      <w:r>
        <w:tab/>
        <w:t xml:space="preserve">store the derived cell measurement results as indicated by </w:t>
      </w:r>
      <w:r>
        <w:rPr>
          <w:i/>
        </w:rPr>
        <w:t>reportQuantities</w:t>
      </w:r>
      <w:r>
        <w:t xml:space="preserve"> for the serving cell within</w:t>
      </w:r>
      <w:r>
        <w:rPr>
          <w:i/>
        </w:rPr>
        <w:t xml:space="preserve"> measResultServingCell</w:t>
      </w:r>
      <w:r>
        <w:t xml:space="preserve"> in the </w:t>
      </w:r>
      <w:r>
        <w:rPr>
          <w:i/>
        </w:rPr>
        <w:t>measReportIdleNR</w:t>
      </w:r>
      <w:r>
        <w:t xml:space="preserve"> in </w:t>
      </w:r>
      <w:r>
        <w:rPr>
          <w:i/>
        </w:rPr>
        <w:t>VarMeasIdleReport</w:t>
      </w:r>
      <w:r>
        <w:t>;</w:t>
      </w:r>
    </w:p>
    <w:bookmarkEnd w:id="18"/>
    <w:p w14:paraId="0802549F" w14:textId="77777777" w:rsidR="00F74AEC" w:rsidRDefault="00F74AEC" w:rsidP="00F74AEC">
      <w:pPr>
        <w:pStyle w:val="B5"/>
      </w:pPr>
      <w:r>
        <w:t>5&gt;</w:t>
      </w:r>
      <w:r>
        <w:tab/>
        <w:t xml:space="preserve">store the derived cell measurement results as indicated by </w:t>
      </w:r>
      <w:r>
        <w:rPr>
          <w:i/>
        </w:rPr>
        <w:t>reportQuantities</w:t>
      </w:r>
      <w:r>
        <w:t xml:space="preserve"> for cells applicable for idle/inactive measurement reporting within the </w:t>
      </w:r>
      <w:r>
        <w:rPr>
          <w:i/>
        </w:rPr>
        <w:t>measReportIdleNR</w:t>
      </w:r>
      <w:r>
        <w:t xml:space="preserve"> in </w:t>
      </w:r>
      <w:r>
        <w:rPr>
          <w:i/>
        </w:rPr>
        <w:t xml:space="preserve">VarMeasIdleReport </w:t>
      </w:r>
      <w:r>
        <w:t>in decreasing order of the cell sorting quantity, i.e. the best cell is included first, as follows:</w:t>
      </w:r>
    </w:p>
    <w:p w14:paraId="5C751115" w14:textId="77777777" w:rsidR="00F74AEC" w:rsidRDefault="00F74AEC" w:rsidP="00F74AEC">
      <w:pPr>
        <w:pStyle w:val="B6"/>
        <w:rPr>
          <w:lang w:val="en-GB"/>
        </w:rPr>
      </w:pPr>
      <w:r>
        <w:rPr>
          <w:lang w:val="en-GB"/>
        </w:rPr>
        <w:t>6&gt;</w:t>
      </w:r>
      <w:r>
        <w:rPr>
          <w:lang w:val="en-GB"/>
        </w:rPr>
        <w:tab/>
        <w:t xml:space="preserve">if </w:t>
      </w:r>
      <w:r>
        <w:rPr>
          <w:i/>
          <w:lang w:val="en-GB"/>
        </w:rPr>
        <w:t>qualityThreshold</w:t>
      </w:r>
      <w:r>
        <w:rPr>
          <w:lang w:val="en-GB"/>
        </w:rPr>
        <w:t xml:space="preserve"> is configured:</w:t>
      </w:r>
    </w:p>
    <w:p w14:paraId="121D2ABF" w14:textId="77777777" w:rsidR="00F74AEC" w:rsidRDefault="00F74AEC" w:rsidP="00F74AEC">
      <w:pPr>
        <w:pStyle w:val="B7"/>
        <w:rPr>
          <w:i/>
          <w:lang w:val="en-GB"/>
        </w:rPr>
      </w:pPr>
      <w:r>
        <w:rPr>
          <w:lang w:val="en-GB"/>
        </w:rPr>
        <w:t>7&gt;</w:t>
      </w:r>
      <w:r>
        <w:rPr>
          <w:lang w:val="en-GB"/>
        </w:rPr>
        <w:tab/>
        <w:t xml:space="preserve">include the measurement results from the cells applicable for idle/inactive measurement reporting whose RSRP/RSRQ measurement results are above the value(s) provided in </w:t>
      </w:r>
      <w:r>
        <w:rPr>
          <w:i/>
          <w:lang w:val="en-GB"/>
        </w:rPr>
        <w:t>qualityThreshold;</w:t>
      </w:r>
    </w:p>
    <w:p w14:paraId="03FDAC3E" w14:textId="77777777" w:rsidR="00F74AEC" w:rsidRDefault="00F74AEC" w:rsidP="00F74AEC">
      <w:pPr>
        <w:pStyle w:val="B6"/>
        <w:rPr>
          <w:lang w:val="en-GB"/>
        </w:rPr>
      </w:pPr>
      <w:r>
        <w:rPr>
          <w:lang w:val="en-GB"/>
        </w:rPr>
        <w:t>6&gt;</w:t>
      </w:r>
      <w:r>
        <w:rPr>
          <w:lang w:val="en-GB"/>
        </w:rPr>
        <w:tab/>
        <w:t>else:</w:t>
      </w:r>
    </w:p>
    <w:p w14:paraId="35C58B9C" w14:textId="77777777" w:rsidR="00F74AEC" w:rsidRDefault="00F74AEC" w:rsidP="00F74AEC">
      <w:pPr>
        <w:pStyle w:val="B7"/>
        <w:rPr>
          <w:lang w:val="en-GB"/>
        </w:rPr>
      </w:pPr>
      <w:r>
        <w:rPr>
          <w:lang w:val="en-GB"/>
        </w:rPr>
        <w:t>7&gt;</w:t>
      </w:r>
      <w:r>
        <w:rPr>
          <w:lang w:val="en-GB"/>
        </w:rPr>
        <w:tab/>
        <w:t>include the measurement results from all cells applicable for idle/inactive measurement reporting;</w:t>
      </w:r>
    </w:p>
    <w:p w14:paraId="7689A547" w14:textId="77777777" w:rsidR="00F74AEC" w:rsidRDefault="00F74AEC" w:rsidP="00F74AEC">
      <w:pPr>
        <w:pStyle w:val="B5"/>
      </w:pPr>
      <w:r>
        <w:t>5&gt;</w:t>
      </w:r>
      <w:r>
        <w:tab/>
        <w:t xml:space="preserve">if </w:t>
      </w:r>
      <w:r>
        <w:rPr>
          <w:i/>
          <w:iCs/>
        </w:rPr>
        <w:t>beamMeasConfigIdle</w:t>
      </w:r>
      <w:r>
        <w:t xml:space="preserve"> is included in the associated entry in </w:t>
      </w:r>
      <w:r>
        <w:rPr>
          <w:i/>
        </w:rPr>
        <w:t>measIdleCarrierListNR</w:t>
      </w:r>
      <w:r>
        <w:rPr>
          <w:iCs/>
        </w:rPr>
        <w:t>, for each cell in the measurement results:</w:t>
      </w:r>
    </w:p>
    <w:p w14:paraId="19968B2F" w14:textId="77777777" w:rsidR="00F74AEC" w:rsidRDefault="00F74AEC" w:rsidP="00F74AEC">
      <w:pPr>
        <w:ind w:left="1985" w:hanging="284"/>
      </w:pPr>
      <w:r>
        <w:t>6&gt;</w:t>
      </w:r>
      <w:r>
        <w:tab/>
        <w:t xml:space="preserve">derive beam measurements based on SS/PBCH block for each measurement quantity indicated in </w:t>
      </w:r>
      <w:r>
        <w:rPr>
          <w:i/>
        </w:rPr>
        <w:t>reportQuantityRS-IndexesNR</w:t>
      </w:r>
      <w:r>
        <w:t xml:space="preserve">, as </w:t>
      </w:r>
      <w:r>
        <w:rPr>
          <w:lang w:eastAsia="x-none"/>
        </w:rPr>
        <w:t>described in TS 38.215 [9];</w:t>
      </w:r>
    </w:p>
    <w:p w14:paraId="3F663D40" w14:textId="77777777" w:rsidR="00F74AEC" w:rsidRDefault="00F74AEC" w:rsidP="00F74AEC">
      <w:pPr>
        <w:pStyle w:val="B6"/>
        <w:rPr>
          <w:lang w:val="en-GB"/>
        </w:rPr>
      </w:pPr>
      <w:r>
        <w:rPr>
          <w:lang w:val="en-GB"/>
        </w:rPr>
        <w:t>6&gt;</w:t>
      </w:r>
      <w:r>
        <w:rPr>
          <w:lang w:val="en-GB"/>
        </w:rPr>
        <w:tab/>
        <w:t xml:space="preserve">if the </w:t>
      </w:r>
      <w:r>
        <w:rPr>
          <w:i/>
          <w:iCs/>
          <w:lang w:val="en-GB"/>
        </w:rPr>
        <w:t xml:space="preserve">reportQuantityRS-Indexes </w:t>
      </w:r>
      <w:r>
        <w:rPr>
          <w:lang w:val="en-GB"/>
        </w:rPr>
        <w:t>is set to rsrq:</w:t>
      </w:r>
    </w:p>
    <w:p w14:paraId="50489C69" w14:textId="77777777" w:rsidR="00F74AEC" w:rsidRDefault="00F74AEC" w:rsidP="00F74AEC">
      <w:pPr>
        <w:pStyle w:val="B7"/>
        <w:rPr>
          <w:lang w:val="en-GB"/>
        </w:rPr>
      </w:pPr>
      <w:r>
        <w:rPr>
          <w:lang w:val="en-GB"/>
        </w:rPr>
        <w:t>7&gt;</w:t>
      </w:r>
      <w:r>
        <w:rPr>
          <w:lang w:val="en-GB"/>
        </w:rPr>
        <w:tab/>
        <w:t>consider RSRQ as the beam sorting quantity;</w:t>
      </w:r>
    </w:p>
    <w:p w14:paraId="0CA55206" w14:textId="77777777" w:rsidR="00F74AEC" w:rsidRDefault="00F74AEC" w:rsidP="00F74AEC">
      <w:pPr>
        <w:pStyle w:val="B6"/>
        <w:rPr>
          <w:lang w:val="en-GB"/>
        </w:rPr>
      </w:pPr>
      <w:r>
        <w:rPr>
          <w:lang w:val="en-GB"/>
        </w:rPr>
        <w:t>6&gt;</w:t>
      </w:r>
      <w:r>
        <w:rPr>
          <w:lang w:val="en-GB"/>
        </w:rPr>
        <w:tab/>
        <w:t>else:</w:t>
      </w:r>
    </w:p>
    <w:p w14:paraId="3D48568B" w14:textId="77777777" w:rsidR="00F74AEC" w:rsidRDefault="00F74AEC" w:rsidP="00F74AEC">
      <w:pPr>
        <w:pStyle w:val="B7"/>
        <w:rPr>
          <w:lang w:val="en-GB"/>
        </w:rPr>
      </w:pPr>
      <w:r>
        <w:rPr>
          <w:lang w:val="en-GB"/>
        </w:rPr>
        <w:t>7&gt;</w:t>
      </w:r>
      <w:r>
        <w:rPr>
          <w:lang w:val="en-GB"/>
        </w:rPr>
        <w:tab/>
        <w:t>consider RSRP as the beam sorting quantity;</w:t>
      </w:r>
    </w:p>
    <w:p w14:paraId="1B2CEC56" w14:textId="77777777" w:rsidR="00F74AEC" w:rsidRDefault="00F74AEC" w:rsidP="00F74AEC">
      <w:pPr>
        <w:pStyle w:val="B6"/>
        <w:rPr>
          <w:lang w:val="en-GB"/>
        </w:rPr>
      </w:pPr>
      <w:r>
        <w:rPr>
          <w:lang w:val="en-GB"/>
        </w:rPr>
        <w:t>6&gt;</w:t>
      </w:r>
      <w:r>
        <w:rPr>
          <w:lang w:val="en-GB"/>
        </w:rPr>
        <w:tab/>
        <w:t xml:space="preserve">set </w:t>
      </w:r>
      <w:r>
        <w:rPr>
          <w:i/>
          <w:lang w:val="en-GB"/>
        </w:rPr>
        <w:t xml:space="preserve">resultsSSB-Indexes </w:t>
      </w:r>
      <w:r>
        <w:rPr>
          <w:lang w:val="en-GB"/>
        </w:rPr>
        <w:t xml:space="preserve">to include up to </w:t>
      </w:r>
      <w:r>
        <w:rPr>
          <w:i/>
          <w:lang w:val="en-GB"/>
        </w:rPr>
        <w:t>maxNrofRS-IndexesToReport</w:t>
      </w:r>
      <w:r>
        <w:rPr>
          <w:lang w:val="en-GB"/>
        </w:rPr>
        <w:t xml:space="preserve"> SS/PBCH block indexes in order of decreasing beam sorting quantity as follows:</w:t>
      </w:r>
    </w:p>
    <w:p w14:paraId="257370EA" w14:textId="77777777" w:rsidR="00F74AEC" w:rsidRDefault="00F74AEC" w:rsidP="00F74AEC">
      <w:pPr>
        <w:pStyle w:val="B7"/>
        <w:rPr>
          <w:lang w:val="en-GB"/>
        </w:rPr>
      </w:pPr>
      <w:r>
        <w:rPr>
          <w:lang w:val="en-GB"/>
        </w:rPr>
        <w:lastRenderedPageBreak/>
        <w:t>7&gt;</w:t>
      </w:r>
      <w:r>
        <w:rPr>
          <w:lang w:val="en-GB"/>
        </w:rPr>
        <w:tab/>
        <w:t xml:space="preserve">include the index associated to the best beam for the sorting quantity and if </w:t>
      </w:r>
      <w:r>
        <w:rPr>
          <w:i/>
          <w:lang w:val="en-GB"/>
        </w:rPr>
        <w:t>absThreshSS-BlocksConsolidation</w:t>
      </w:r>
      <w:r>
        <w:rPr>
          <w:lang w:val="en-GB"/>
        </w:rPr>
        <w:t xml:space="preserve"> is included, the remaining beams whose sorting quantity is above </w:t>
      </w:r>
      <w:r>
        <w:rPr>
          <w:i/>
          <w:lang w:val="en-GB"/>
        </w:rPr>
        <w:t>absThreshSS-BlocksConsolidation</w:t>
      </w:r>
      <w:r>
        <w:rPr>
          <w:lang w:val="en-GB"/>
        </w:rPr>
        <w:t>;</w:t>
      </w:r>
    </w:p>
    <w:p w14:paraId="58BF9A65" w14:textId="77777777" w:rsidR="00F74AEC" w:rsidRDefault="00F74AEC" w:rsidP="00F74AEC">
      <w:pPr>
        <w:pStyle w:val="B6"/>
        <w:rPr>
          <w:lang w:val="en-GB"/>
        </w:rPr>
      </w:pPr>
      <w:r>
        <w:rPr>
          <w:lang w:val="en-GB"/>
        </w:rPr>
        <w:t>6&gt;</w:t>
      </w:r>
      <w:r>
        <w:rPr>
          <w:lang w:val="en-GB"/>
        </w:rPr>
        <w:tab/>
        <w:t xml:space="preserve">if the </w:t>
      </w:r>
      <w:r>
        <w:rPr>
          <w:i/>
          <w:lang w:val="en-GB"/>
        </w:rPr>
        <w:t>includeBeamMeasurements</w:t>
      </w:r>
      <w:r>
        <w:rPr>
          <w:lang w:val="en-GB"/>
        </w:rPr>
        <w:t xml:space="preserve"> is set to </w:t>
      </w:r>
      <w:r>
        <w:rPr>
          <w:i/>
          <w:iCs/>
          <w:lang w:val="en-GB"/>
        </w:rPr>
        <w:t>true</w:t>
      </w:r>
      <w:r>
        <w:rPr>
          <w:lang w:val="en-GB"/>
        </w:rPr>
        <w:t>:</w:t>
      </w:r>
    </w:p>
    <w:p w14:paraId="49930948" w14:textId="77777777" w:rsidR="00F74AEC" w:rsidRDefault="00F74AEC" w:rsidP="00F74AEC">
      <w:pPr>
        <w:pStyle w:val="B7"/>
        <w:rPr>
          <w:lang w:val="en-GB"/>
        </w:rPr>
      </w:pPr>
      <w:r>
        <w:rPr>
          <w:lang w:val="en-GB"/>
        </w:rPr>
        <w:t>7&gt;</w:t>
      </w:r>
      <w:r>
        <w:rPr>
          <w:lang w:val="en-GB"/>
        </w:rPr>
        <w:tab/>
        <w:t>include the beam measurement results as indicated by</w:t>
      </w:r>
      <w:r>
        <w:rPr>
          <w:i/>
          <w:lang w:val="en-GB"/>
        </w:rPr>
        <w:t xml:space="preserve"> reportQuantityRS</w:t>
      </w:r>
      <w:r>
        <w:rPr>
          <w:lang w:val="en-GB"/>
        </w:rPr>
        <w:t>-</w:t>
      </w:r>
      <w:r>
        <w:rPr>
          <w:i/>
          <w:lang w:val="en-GB"/>
        </w:rPr>
        <w:t>Indexes</w:t>
      </w:r>
      <w:r>
        <w:rPr>
          <w:lang w:val="en-GB"/>
        </w:rPr>
        <w:t>;</w:t>
      </w:r>
    </w:p>
    <w:p w14:paraId="28D7DAE9" w14:textId="77777777" w:rsidR="00F74AEC" w:rsidRDefault="00F74AEC" w:rsidP="00F74AEC">
      <w:pPr>
        <w:pStyle w:val="NO"/>
      </w:pPr>
      <w:r>
        <w:t>NOTE 1:</w:t>
      </w:r>
      <w:r>
        <w:tab/>
        <w:t xml:space="preserve">The fields </w:t>
      </w:r>
      <w:r>
        <w:rPr>
          <w:i/>
        </w:rPr>
        <w:t>s-NonIntraSearchP</w:t>
      </w:r>
      <w:r>
        <w:t xml:space="preserve"> and </w:t>
      </w:r>
      <w:r>
        <w:rPr>
          <w:i/>
        </w:rPr>
        <w:t>s-NonIntraSearchQ</w:t>
      </w:r>
      <w:r>
        <w:t xml:space="preserve"> in </w:t>
      </w:r>
      <w:r>
        <w:rPr>
          <w:i/>
        </w:rPr>
        <w:t>SIB2</w:t>
      </w:r>
      <w:r>
        <w:t xml:space="preserve"> do not affect the idle/inactive UE measurement procedures. How the UE performs idle/inactive measurements is up to UE implementation as long as the requirements in TS 38.133 [14] are met for measurement reporting.</w:t>
      </w:r>
    </w:p>
    <w:p w14:paraId="7BF5E89E" w14:textId="77777777" w:rsidR="00F74AEC" w:rsidRDefault="00F74AEC" w:rsidP="00F74AEC">
      <w:pPr>
        <w:pStyle w:val="NO"/>
      </w:pPr>
      <w:r>
        <w:t>NOTE 2:</w:t>
      </w:r>
      <w:r>
        <w:tab/>
        <w:t>The UE is not required to perform idle/inactive measurements on a given carrier if the SSB configuration of that carrier provided via dedicated signaling is different from the SSB configuration broadcasted in the serving cell, if any.</w:t>
      </w:r>
    </w:p>
    <w:p w14:paraId="23E9FCA5" w14:textId="77777777" w:rsidR="00F74AEC" w:rsidRDefault="00F74AEC" w:rsidP="00F74AEC">
      <w:pPr>
        <w:pStyle w:val="NO"/>
      </w:pPr>
      <w:bookmarkStart w:id="19" w:name="_Hlk43123999"/>
      <w:r>
        <w:t>NOTE 3:</w:t>
      </w:r>
      <w:r>
        <w:tab/>
        <w:t>How the UE prioritizes which frequencies to measure or report (in case it is configured with more frequencies than it can measure or report) is left to UE implementation.</w:t>
      </w:r>
      <w:bookmarkEnd w:id="19"/>
    </w:p>
    <w:p w14:paraId="7CD7008B" w14:textId="1E82DCD7" w:rsidR="00897AE6" w:rsidRDefault="00897AE6" w:rsidP="00897AE6">
      <w:pPr>
        <w:pStyle w:val="B2"/>
      </w:pPr>
    </w:p>
    <w:p w14:paraId="1D5EF8ED" w14:textId="7FCC25D1" w:rsidR="00590820" w:rsidRPr="00590820" w:rsidRDefault="00590820" w:rsidP="00590820">
      <w:pPr>
        <w:pStyle w:val="Heading4"/>
        <w:rPr>
          <w:bdr w:val="single" w:sz="4" w:space="0" w:color="auto"/>
        </w:rPr>
      </w:pPr>
      <w:r>
        <w:rPr>
          <w:bdr w:val="single" w:sz="4" w:space="0" w:color="auto"/>
        </w:rPr>
        <w:t>Third</w:t>
      </w:r>
      <w:r w:rsidRPr="00590820">
        <w:rPr>
          <w:bdr w:val="single" w:sz="4" w:space="0" w:color="auto"/>
        </w:rPr>
        <w:t xml:space="preserve"> </w:t>
      </w:r>
      <w:r w:rsidR="00C415A4">
        <w:rPr>
          <w:bdr w:val="single" w:sz="4" w:space="0" w:color="auto"/>
        </w:rPr>
        <w:t xml:space="preserve">and Fourth </w:t>
      </w:r>
      <w:r>
        <w:rPr>
          <w:bdr w:val="single" w:sz="4" w:space="0" w:color="auto"/>
        </w:rPr>
        <w:t>change</w:t>
      </w:r>
    </w:p>
    <w:p w14:paraId="0427F704" w14:textId="77777777" w:rsidR="00F7178B" w:rsidRDefault="00F7178B" w:rsidP="00F7178B">
      <w:pPr>
        <w:pStyle w:val="Heading4"/>
        <w:rPr>
          <w:lang w:eastAsia="ja-JP"/>
        </w:rPr>
      </w:pPr>
      <w:bookmarkStart w:id="20" w:name="_Toc46486965"/>
      <w:bookmarkStart w:id="21" w:name="_Toc46444204"/>
      <w:bookmarkStart w:id="22" w:name="_Toc46439367"/>
      <w:r>
        <w:rPr>
          <w:rFonts w:eastAsia="Malgun Gothic"/>
          <w:lang w:eastAsia="ko-KR"/>
        </w:rPr>
        <w:t>5.7.8.4</w:t>
      </w:r>
      <w:r>
        <w:tab/>
        <w:t>Cell re-selection or cell selection while T331 is running</w:t>
      </w:r>
      <w:bookmarkEnd w:id="20"/>
      <w:bookmarkEnd w:id="21"/>
      <w:bookmarkEnd w:id="22"/>
    </w:p>
    <w:p w14:paraId="0C3C19C4" w14:textId="77777777" w:rsidR="00F7178B" w:rsidRDefault="00F7178B" w:rsidP="00F7178B">
      <w:r>
        <w:t>The UE shall:</w:t>
      </w:r>
    </w:p>
    <w:p w14:paraId="78B5285A" w14:textId="77777777" w:rsidR="00F7178B" w:rsidRDefault="00F7178B" w:rsidP="00F7178B">
      <w:pPr>
        <w:pStyle w:val="B1"/>
      </w:pPr>
      <w:bookmarkStart w:id="23" w:name="_Hlk39765748"/>
      <w:r>
        <w:t>1&gt;</w:t>
      </w:r>
      <w:r>
        <w:tab/>
        <w:t>if intra-RAT cell selection or reselection occurs while T331 is runing:</w:t>
      </w:r>
    </w:p>
    <w:p w14:paraId="58D9EEB8" w14:textId="77777777" w:rsidR="00F7178B" w:rsidRDefault="00F7178B" w:rsidP="00F7178B">
      <w:pPr>
        <w:pStyle w:val="B2"/>
      </w:pPr>
      <w:r>
        <w:t>2&gt;</w:t>
      </w:r>
      <w:r>
        <w:tab/>
        <w:t xml:space="preserve">if </w:t>
      </w:r>
      <w:r>
        <w:rPr>
          <w:i/>
          <w:iCs/>
        </w:rPr>
        <w:t>validityAreaList</w:t>
      </w:r>
      <w:r>
        <w:t xml:space="preserve"> is configured in </w:t>
      </w:r>
      <w:r>
        <w:rPr>
          <w:i/>
          <w:iCs/>
        </w:rPr>
        <w:t>VarMeasIdleConfig</w:t>
      </w:r>
      <w:r>
        <w:t>:</w:t>
      </w:r>
    </w:p>
    <w:p w14:paraId="3BA7E395" w14:textId="77777777" w:rsidR="00F7178B" w:rsidRDefault="00F7178B" w:rsidP="00F7178B">
      <w:pPr>
        <w:pStyle w:val="B3"/>
      </w:pPr>
      <w:r>
        <w:t>3&gt;</w:t>
      </w:r>
      <w:r>
        <w:tab/>
        <w:t xml:space="preserve">if the serving frequency does not match with the </w:t>
      </w:r>
      <w:r>
        <w:rPr>
          <w:i/>
          <w:iCs/>
        </w:rPr>
        <w:t>carrierFreq</w:t>
      </w:r>
      <w:r>
        <w:t xml:space="preserve"> of an entry in the </w:t>
      </w:r>
      <w:r>
        <w:rPr>
          <w:i/>
          <w:iCs/>
        </w:rPr>
        <w:t>validityAreaList</w:t>
      </w:r>
      <w:r>
        <w:t>; or</w:t>
      </w:r>
    </w:p>
    <w:p w14:paraId="32D2A3B2" w14:textId="77777777" w:rsidR="00F7178B" w:rsidRDefault="00F7178B" w:rsidP="00F7178B">
      <w:pPr>
        <w:pStyle w:val="B3"/>
        <w:rPr>
          <w:rFonts w:eastAsia="Calibri"/>
        </w:rPr>
      </w:pPr>
      <w:r>
        <w:rPr>
          <w:lang w:eastAsia="x-none"/>
        </w:rPr>
        <w:t>3&gt;</w:t>
      </w:r>
      <w:r>
        <w:rPr>
          <w:lang w:eastAsia="x-none"/>
        </w:rPr>
        <w:tab/>
      </w:r>
      <w:r>
        <w:t xml:space="preserve">if the serving frequency matches with the </w:t>
      </w:r>
      <w:r>
        <w:rPr>
          <w:i/>
        </w:rPr>
        <w:t xml:space="preserve">carrierFreq </w:t>
      </w:r>
      <w:r>
        <w:t xml:space="preserve">of an entry in the </w:t>
      </w:r>
      <w:r>
        <w:rPr>
          <w:i/>
        </w:rPr>
        <w:t>validityAreaList</w:t>
      </w:r>
      <w:r>
        <w:t xml:space="preserve">, </w:t>
      </w:r>
      <w:r>
        <w:rPr>
          <w:rFonts w:eastAsia="Calibri"/>
        </w:rPr>
        <w:t xml:space="preserve">the </w:t>
      </w:r>
      <w:r>
        <w:rPr>
          <w:rFonts w:eastAsia="Calibri"/>
          <w:i/>
        </w:rPr>
        <w:t>validityCellList</w:t>
      </w:r>
      <w:r>
        <w:rPr>
          <w:rFonts w:eastAsia="Calibri"/>
        </w:rPr>
        <w:t xml:space="preserve"> is included in that entry, and the physical cell identity of the serving cell does not match with any entry in </w:t>
      </w:r>
      <w:r>
        <w:rPr>
          <w:rFonts w:eastAsia="Calibri"/>
          <w:i/>
        </w:rPr>
        <w:t>validityCellList</w:t>
      </w:r>
      <w:r>
        <w:rPr>
          <w:rFonts w:eastAsia="Calibri"/>
        </w:rPr>
        <w:t>:</w:t>
      </w:r>
    </w:p>
    <w:p w14:paraId="55DEB1F7" w14:textId="77777777" w:rsidR="00F7178B" w:rsidRDefault="00F7178B" w:rsidP="00F7178B">
      <w:pPr>
        <w:pStyle w:val="B4"/>
        <w:rPr>
          <w:rFonts w:eastAsia="DengXian"/>
        </w:rPr>
      </w:pPr>
      <w:r>
        <w:rPr>
          <w:rFonts w:eastAsia="Calibri"/>
        </w:rPr>
        <w:t>4&gt;</w:t>
      </w:r>
      <w:r>
        <w:rPr>
          <w:rFonts w:eastAsia="Calibri"/>
        </w:rPr>
        <w:tab/>
        <w:t>stop timer T331;</w:t>
      </w:r>
    </w:p>
    <w:p w14:paraId="5B5E2373" w14:textId="77777777" w:rsidR="00F7178B" w:rsidRDefault="00F7178B" w:rsidP="00F7178B">
      <w:pPr>
        <w:pStyle w:val="B4"/>
        <w:rPr>
          <w:rFonts w:eastAsia="DengXian"/>
        </w:rPr>
      </w:pPr>
      <w:r>
        <w:rPr>
          <w:rFonts w:eastAsia="DengXian"/>
        </w:rPr>
        <w:t>4&gt;</w:t>
      </w:r>
      <w:r>
        <w:rPr>
          <w:rFonts w:eastAsia="DengXian"/>
        </w:rPr>
        <w:tab/>
        <w:t>perform the actions as specified in 5.7.8.3, upon which the procedure ends.</w:t>
      </w:r>
    </w:p>
    <w:p w14:paraId="4582E0FF" w14:textId="77777777" w:rsidR="00F7178B" w:rsidRDefault="00F7178B" w:rsidP="00F7178B">
      <w:pPr>
        <w:pStyle w:val="B2"/>
        <w:rPr>
          <w:rFonts w:eastAsia="Times New Roman"/>
        </w:rPr>
      </w:pPr>
      <w:r>
        <w:t>2&gt;</w:t>
      </w:r>
      <w:r>
        <w:tab/>
        <w:t>perform the actions as specified in 5.7.8.1a;</w:t>
      </w:r>
    </w:p>
    <w:p w14:paraId="48FE77E5" w14:textId="6F02092E" w:rsidR="00F7178B" w:rsidRDefault="00F7178B" w:rsidP="00F7178B">
      <w:pPr>
        <w:pStyle w:val="B1"/>
      </w:pPr>
      <w:r>
        <w:t>1&gt;</w:t>
      </w:r>
      <w:r>
        <w:tab/>
        <w:t xml:space="preserve">else if inter-RAT cell </w:t>
      </w:r>
      <w:ins w:id="24" w:author=" Google (EricChen)" w:date="2020-08-03T14:16:00Z">
        <w:r>
          <w:t xml:space="preserve">selection or </w:t>
        </w:r>
      </w:ins>
      <w:r>
        <w:t>reselection occurs while T331 is runing:</w:t>
      </w:r>
    </w:p>
    <w:p w14:paraId="654A5D30" w14:textId="77777777" w:rsidR="00F7178B" w:rsidRDefault="00F7178B" w:rsidP="00F7178B">
      <w:pPr>
        <w:pStyle w:val="B2"/>
      </w:pPr>
      <w:r>
        <w:t>2&gt;</w:t>
      </w:r>
      <w:r>
        <w:tab/>
        <w:t>stop timer T331;</w:t>
      </w:r>
    </w:p>
    <w:p w14:paraId="70E5E1D6" w14:textId="55D3B318" w:rsidR="00F7178B" w:rsidRDefault="00F7178B" w:rsidP="00F7178B">
      <w:pPr>
        <w:pStyle w:val="B2"/>
      </w:pPr>
      <w:r>
        <w:t>2&gt;</w:t>
      </w:r>
      <w:r>
        <w:tab/>
        <w:t>perform the actions as specified in 5.7.8.</w:t>
      </w:r>
      <w:ins w:id="25" w:author=" Google (EricChen)" w:date="2020-08-04T14:47:00Z">
        <w:r w:rsidR="00C415A4">
          <w:t>3</w:t>
        </w:r>
      </w:ins>
      <w:del w:id="26" w:author=" Google (EricChen)" w:date="2020-08-04T14:47:00Z">
        <w:r w:rsidDel="00C415A4">
          <w:delText>2a</w:delText>
        </w:r>
      </w:del>
      <w:r>
        <w:t>;</w:t>
      </w:r>
      <w:bookmarkEnd w:id="23"/>
    </w:p>
    <w:p w14:paraId="3A59F88D" w14:textId="77777777" w:rsidR="00897AE6" w:rsidRPr="00F537EB" w:rsidRDefault="00897AE6" w:rsidP="00897AE6">
      <w:pPr>
        <w:pStyle w:val="B2"/>
      </w:pPr>
    </w:p>
    <w:p w14:paraId="24C6CC0E" w14:textId="77777777" w:rsidR="00E946D7" w:rsidRDefault="00E946D7" w:rsidP="00B47D4A">
      <w:pPr>
        <w:pStyle w:val="Heading4"/>
        <w:rPr>
          <w:noProof/>
        </w:rPr>
      </w:pPr>
    </w:p>
    <w:sectPr w:rsidR="00E94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2B255" w14:textId="77777777" w:rsidR="00816E04" w:rsidRDefault="00816E04">
      <w:r>
        <w:separator/>
      </w:r>
    </w:p>
  </w:endnote>
  <w:endnote w:type="continuationSeparator" w:id="0">
    <w:p w14:paraId="7E5637A7" w14:textId="77777777" w:rsidR="00816E04" w:rsidRDefault="008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01160" w14:textId="77777777" w:rsidR="00816E04" w:rsidRDefault="00816E04">
      <w:r>
        <w:separator/>
      </w:r>
    </w:p>
  </w:footnote>
  <w:footnote w:type="continuationSeparator" w:id="0">
    <w:p w14:paraId="1CB26E89" w14:textId="77777777" w:rsidR="00816E04" w:rsidRDefault="00816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B52FDC" w:rsidRDefault="00B52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B52FDC" w:rsidRDefault="00B52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B52FDC" w:rsidRDefault="00B52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B52FDC" w:rsidRDefault="00B52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92DC1"/>
    <w:multiLevelType w:val="hybridMultilevel"/>
    <w:tmpl w:val="8EC6D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273DA"/>
    <w:multiLevelType w:val="hybridMultilevel"/>
    <w:tmpl w:val="F808F884"/>
    <w:lvl w:ilvl="0" w:tplc="47063A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FF7A00"/>
    <w:multiLevelType w:val="hybridMultilevel"/>
    <w:tmpl w:val="67B4D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843D1"/>
    <w:multiLevelType w:val="hybridMultilevel"/>
    <w:tmpl w:val="74AEC164"/>
    <w:lvl w:ilvl="0" w:tplc="420E99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64F22A9"/>
    <w:multiLevelType w:val="hybridMultilevel"/>
    <w:tmpl w:val="09A66B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B32A7"/>
    <w:multiLevelType w:val="hybridMultilevel"/>
    <w:tmpl w:val="1A06D970"/>
    <w:lvl w:ilvl="0" w:tplc="6D2CC59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5B4FFA"/>
    <w:multiLevelType w:val="hybridMultilevel"/>
    <w:tmpl w:val="35485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E38AC"/>
    <w:multiLevelType w:val="hybridMultilevel"/>
    <w:tmpl w:val="B9B62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768D2"/>
    <w:multiLevelType w:val="hybridMultilevel"/>
    <w:tmpl w:val="B6044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8D0391"/>
    <w:multiLevelType w:val="hybridMultilevel"/>
    <w:tmpl w:val="C10C7CA8"/>
    <w:lvl w:ilvl="0" w:tplc="8F068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EF447E"/>
    <w:multiLevelType w:val="hybridMultilevel"/>
    <w:tmpl w:val="F3CA3E9E"/>
    <w:lvl w:ilvl="0" w:tplc="02C835F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2"/>
  </w:num>
  <w:num w:numId="3">
    <w:abstractNumId w:val="13"/>
  </w:num>
  <w:num w:numId="4">
    <w:abstractNumId w:val="16"/>
  </w:num>
  <w:num w:numId="5">
    <w:abstractNumId w:val="7"/>
  </w:num>
  <w:num w:numId="6">
    <w:abstractNumId w:val="8"/>
  </w:num>
  <w:num w:numId="7">
    <w:abstractNumId w:val="10"/>
  </w:num>
  <w:num w:numId="8">
    <w:abstractNumId w:val="11"/>
  </w:num>
  <w:num w:numId="9">
    <w:abstractNumId w:val="1"/>
  </w:num>
  <w:num w:numId="10">
    <w:abstractNumId w:val="4"/>
  </w:num>
  <w:num w:numId="11">
    <w:abstractNumId w:val="6"/>
  </w:num>
  <w:num w:numId="12">
    <w:abstractNumId w:val="0"/>
  </w:num>
  <w:num w:numId="13">
    <w:abstractNumId w:val="9"/>
  </w:num>
  <w:num w:numId="14">
    <w:abstractNumId w:val="14"/>
  </w:num>
  <w:num w:numId="15">
    <w:abstractNumId w:val="3"/>
  </w:num>
  <w:num w:numId="16">
    <w:abstractNumId w:val="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B"/>
    <w:rsid w:val="00017EAE"/>
    <w:rsid w:val="00022E4A"/>
    <w:rsid w:val="00044360"/>
    <w:rsid w:val="000504FE"/>
    <w:rsid w:val="00055EA1"/>
    <w:rsid w:val="000666B8"/>
    <w:rsid w:val="00084388"/>
    <w:rsid w:val="00090D8A"/>
    <w:rsid w:val="000A2C8C"/>
    <w:rsid w:val="000A6394"/>
    <w:rsid w:val="000B15F4"/>
    <w:rsid w:val="000B1A67"/>
    <w:rsid w:val="000B7FED"/>
    <w:rsid w:val="000C038A"/>
    <w:rsid w:val="000C6598"/>
    <w:rsid w:val="000D4F1F"/>
    <w:rsid w:val="001053C0"/>
    <w:rsid w:val="00145D43"/>
    <w:rsid w:val="001562C5"/>
    <w:rsid w:val="00192C46"/>
    <w:rsid w:val="00195B6E"/>
    <w:rsid w:val="001A08B3"/>
    <w:rsid w:val="001A7B60"/>
    <w:rsid w:val="001B52F0"/>
    <w:rsid w:val="001B7A65"/>
    <w:rsid w:val="001C6AEA"/>
    <w:rsid w:val="001E41F3"/>
    <w:rsid w:val="001F1A33"/>
    <w:rsid w:val="00207843"/>
    <w:rsid w:val="00213B09"/>
    <w:rsid w:val="00230CD2"/>
    <w:rsid w:val="0026004D"/>
    <w:rsid w:val="002640DD"/>
    <w:rsid w:val="00275D12"/>
    <w:rsid w:val="00284FEB"/>
    <w:rsid w:val="002860C4"/>
    <w:rsid w:val="00297817"/>
    <w:rsid w:val="002A55DE"/>
    <w:rsid w:val="002B5741"/>
    <w:rsid w:val="002D7823"/>
    <w:rsid w:val="002F2940"/>
    <w:rsid w:val="00305409"/>
    <w:rsid w:val="00320A20"/>
    <w:rsid w:val="00323349"/>
    <w:rsid w:val="00331469"/>
    <w:rsid w:val="00352B81"/>
    <w:rsid w:val="003609EF"/>
    <w:rsid w:val="0036231A"/>
    <w:rsid w:val="00371055"/>
    <w:rsid w:val="00374DD4"/>
    <w:rsid w:val="0038506D"/>
    <w:rsid w:val="0039600B"/>
    <w:rsid w:val="003A3090"/>
    <w:rsid w:val="003A6913"/>
    <w:rsid w:val="003C17BA"/>
    <w:rsid w:val="003C20A6"/>
    <w:rsid w:val="003E1A36"/>
    <w:rsid w:val="003E39E5"/>
    <w:rsid w:val="003F0DE6"/>
    <w:rsid w:val="00410371"/>
    <w:rsid w:val="00423721"/>
    <w:rsid w:val="004242F1"/>
    <w:rsid w:val="00425314"/>
    <w:rsid w:val="00450692"/>
    <w:rsid w:val="0046741D"/>
    <w:rsid w:val="004709CF"/>
    <w:rsid w:val="00486B4B"/>
    <w:rsid w:val="00495E44"/>
    <w:rsid w:val="004B75B7"/>
    <w:rsid w:val="004C5A6A"/>
    <w:rsid w:val="004E2668"/>
    <w:rsid w:val="004E5D4E"/>
    <w:rsid w:val="004F4E6E"/>
    <w:rsid w:val="00507B6B"/>
    <w:rsid w:val="0051580D"/>
    <w:rsid w:val="0052013F"/>
    <w:rsid w:val="005358E1"/>
    <w:rsid w:val="00537856"/>
    <w:rsid w:val="00547111"/>
    <w:rsid w:val="00552CBB"/>
    <w:rsid w:val="00584DE8"/>
    <w:rsid w:val="00585044"/>
    <w:rsid w:val="00587780"/>
    <w:rsid w:val="00590820"/>
    <w:rsid w:val="00592D74"/>
    <w:rsid w:val="00594553"/>
    <w:rsid w:val="005B38CD"/>
    <w:rsid w:val="005E2C44"/>
    <w:rsid w:val="00606F3A"/>
    <w:rsid w:val="00621188"/>
    <w:rsid w:val="006255D7"/>
    <w:rsid w:val="006257ED"/>
    <w:rsid w:val="00641772"/>
    <w:rsid w:val="00671115"/>
    <w:rsid w:val="006722DB"/>
    <w:rsid w:val="006850CE"/>
    <w:rsid w:val="00690450"/>
    <w:rsid w:val="00695808"/>
    <w:rsid w:val="006B46FB"/>
    <w:rsid w:val="006C4029"/>
    <w:rsid w:val="006E1587"/>
    <w:rsid w:val="006E21FB"/>
    <w:rsid w:val="006F08DF"/>
    <w:rsid w:val="00725039"/>
    <w:rsid w:val="0073712E"/>
    <w:rsid w:val="007518E9"/>
    <w:rsid w:val="007728BE"/>
    <w:rsid w:val="00792342"/>
    <w:rsid w:val="007977A8"/>
    <w:rsid w:val="007A00E5"/>
    <w:rsid w:val="007A19D7"/>
    <w:rsid w:val="007A2F79"/>
    <w:rsid w:val="007A526A"/>
    <w:rsid w:val="007B512A"/>
    <w:rsid w:val="007C2097"/>
    <w:rsid w:val="007D6A07"/>
    <w:rsid w:val="007E781B"/>
    <w:rsid w:val="007F7259"/>
    <w:rsid w:val="008040A8"/>
    <w:rsid w:val="0080411D"/>
    <w:rsid w:val="00816E04"/>
    <w:rsid w:val="008279FA"/>
    <w:rsid w:val="00840221"/>
    <w:rsid w:val="00850BC1"/>
    <w:rsid w:val="00856826"/>
    <w:rsid w:val="008620B6"/>
    <w:rsid w:val="008626E7"/>
    <w:rsid w:val="00870EE7"/>
    <w:rsid w:val="008863B9"/>
    <w:rsid w:val="00893A6B"/>
    <w:rsid w:val="00897AE6"/>
    <w:rsid w:val="00897D85"/>
    <w:rsid w:val="008A45A6"/>
    <w:rsid w:val="008C74B8"/>
    <w:rsid w:val="008E15C5"/>
    <w:rsid w:val="008F686C"/>
    <w:rsid w:val="00900681"/>
    <w:rsid w:val="009034BF"/>
    <w:rsid w:val="00904D85"/>
    <w:rsid w:val="009148DE"/>
    <w:rsid w:val="00941E30"/>
    <w:rsid w:val="009777D9"/>
    <w:rsid w:val="00991B88"/>
    <w:rsid w:val="009A5753"/>
    <w:rsid w:val="009A579D"/>
    <w:rsid w:val="009B0BCD"/>
    <w:rsid w:val="009C1560"/>
    <w:rsid w:val="009C297B"/>
    <w:rsid w:val="009C4062"/>
    <w:rsid w:val="009C7DA6"/>
    <w:rsid w:val="009E3297"/>
    <w:rsid w:val="009F734F"/>
    <w:rsid w:val="00A246B6"/>
    <w:rsid w:val="00A47E70"/>
    <w:rsid w:val="00A50CF0"/>
    <w:rsid w:val="00A7671C"/>
    <w:rsid w:val="00A77128"/>
    <w:rsid w:val="00A946D9"/>
    <w:rsid w:val="00AA11D7"/>
    <w:rsid w:val="00AA2CBC"/>
    <w:rsid w:val="00AC5820"/>
    <w:rsid w:val="00AD1CD8"/>
    <w:rsid w:val="00B258BB"/>
    <w:rsid w:val="00B445B6"/>
    <w:rsid w:val="00B45919"/>
    <w:rsid w:val="00B47D4A"/>
    <w:rsid w:val="00B52FDC"/>
    <w:rsid w:val="00B67B97"/>
    <w:rsid w:val="00B72895"/>
    <w:rsid w:val="00B821FF"/>
    <w:rsid w:val="00B968C8"/>
    <w:rsid w:val="00BA3EC5"/>
    <w:rsid w:val="00BA51D9"/>
    <w:rsid w:val="00BB32FD"/>
    <w:rsid w:val="00BB5DFC"/>
    <w:rsid w:val="00BC5769"/>
    <w:rsid w:val="00BD279D"/>
    <w:rsid w:val="00BD3D54"/>
    <w:rsid w:val="00BD6BB8"/>
    <w:rsid w:val="00C1610E"/>
    <w:rsid w:val="00C33EF7"/>
    <w:rsid w:val="00C415A4"/>
    <w:rsid w:val="00C46EAE"/>
    <w:rsid w:val="00C62763"/>
    <w:rsid w:val="00C66BA2"/>
    <w:rsid w:val="00C84CB3"/>
    <w:rsid w:val="00C95985"/>
    <w:rsid w:val="00CB0CEC"/>
    <w:rsid w:val="00CB3EAD"/>
    <w:rsid w:val="00CC5026"/>
    <w:rsid w:val="00CC68D0"/>
    <w:rsid w:val="00CD1EE6"/>
    <w:rsid w:val="00D03F9A"/>
    <w:rsid w:val="00D06D51"/>
    <w:rsid w:val="00D21830"/>
    <w:rsid w:val="00D24991"/>
    <w:rsid w:val="00D32D0F"/>
    <w:rsid w:val="00D50255"/>
    <w:rsid w:val="00D53D72"/>
    <w:rsid w:val="00D66520"/>
    <w:rsid w:val="00D77AC4"/>
    <w:rsid w:val="00D80F3E"/>
    <w:rsid w:val="00D85532"/>
    <w:rsid w:val="00D879A6"/>
    <w:rsid w:val="00D95646"/>
    <w:rsid w:val="00D95C2F"/>
    <w:rsid w:val="00DA0648"/>
    <w:rsid w:val="00DA3ED5"/>
    <w:rsid w:val="00DA6125"/>
    <w:rsid w:val="00DB376F"/>
    <w:rsid w:val="00DD336A"/>
    <w:rsid w:val="00DD50DB"/>
    <w:rsid w:val="00DE34CF"/>
    <w:rsid w:val="00E13F3D"/>
    <w:rsid w:val="00E1471F"/>
    <w:rsid w:val="00E15C92"/>
    <w:rsid w:val="00E34898"/>
    <w:rsid w:val="00E40F1C"/>
    <w:rsid w:val="00E534DE"/>
    <w:rsid w:val="00E946D7"/>
    <w:rsid w:val="00EB09B7"/>
    <w:rsid w:val="00ED5F18"/>
    <w:rsid w:val="00ED7F98"/>
    <w:rsid w:val="00EE7D7C"/>
    <w:rsid w:val="00EF7679"/>
    <w:rsid w:val="00F05200"/>
    <w:rsid w:val="00F07F06"/>
    <w:rsid w:val="00F22DE1"/>
    <w:rsid w:val="00F25D98"/>
    <w:rsid w:val="00F300FB"/>
    <w:rsid w:val="00F35144"/>
    <w:rsid w:val="00F43719"/>
    <w:rsid w:val="00F43A00"/>
    <w:rsid w:val="00F47CCD"/>
    <w:rsid w:val="00F6326C"/>
    <w:rsid w:val="00F6742B"/>
    <w:rsid w:val="00F7178B"/>
    <w:rsid w:val="00F74AEC"/>
    <w:rsid w:val="00FB6386"/>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 w:type="character" w:customStyle="1" w:styleId="B5Char">
    <w:name w:val="B5 Char"/>
    <w:link w:val="B5"/>
    <w:qFormat/>
    <w:locked/>
    <w:rsid w:val="0000648B"/>
    <w:rPr>
      <w:rFonts w:ascii="Times New Roman" w:hAnsi="Times New Roman"/>
      <w:lang w:val="en-GB" w:eastAsia="en-US"/>
    </w:rPr>
  </w:style>
  <w:style w:type="paragraph" w:customStyle="1" w:styleId="B6">
    <w:name w:val="B6"/>
    <w:basedOn w:val="B5"/>
    <w:link w:val="B6Char"/>
    <w:qFormat/>
    <w:rsid w:val="0000648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00648B"/>
    <w:rPr>
      <w:rFonts w:ascii="Times New Roman" w:eastAsia="Times New Roman" w:hAnsi="Times New Roman"/>
      <w:lang w:val="x-none" w:eastAsia="ja-JP"/>
    </w:rPr>
  </w:style>
  <w:style w:type="paragraph" w:customStyle="1" w:styleId="B7">
    <w:name w:val="B7"/>
    <w:basedOn w:val="B6"/>
    <w:link w:val="B7Char"/>
    <w:qFormat/>
    <w:rsid w:val="00897AE6"/>
    <w:pPr>
      <w:ind w:left="2269"/>
    </w:pPr>
    <w:rPr>
      <w:lang w:val="en-US"/>
    </w:rPr>
  </w:style>
  <w:style w:type="character" w:customStyle="1" w:styleId="B7Char">
    <w:name w:val="B7 Char"/>
    <w:link w:val="B7"/>
    <w:qFormat/>
    <w:rsid w:val="00897AE6"/>
    <w:rPr>
      <w:rFonts w:ascii="Times New Roman" w:eastAsia="Times New Roman" w:hAnsi="Times New Roman"/>
      <w:lang w:val="en-US" w:eastAsia="ja-JP"/>
    </w:rPr>
  </w:style>
  <w:style w:type="character" w:customStyle="1" w:styleId="CommentTextChar">
    <w:name w:val="Comment Text Char"/>
    <w:basedOn w:val="DefaultParagraphFont"/>
    <w:link w:val="CommentText"/>
    <w:qFormat/>
    <w:rsid w:val="00897AE6"/>
    <w:rPr>
      <w:rFonts w:ascii="Times New Roman" w:hAnsi="Times New Roman"/>
      <w:lang w:val="en-GB" w:eastAsia="en-US"/>
    </w:rPr>
  </w:style>
  <w:style w:type="character" w:customStyle="1" w:styleId="EditorsNoteChar">
    <w:name w:val="Editor's Note Char"/>
    <w:aliases w:val="EN Char"/>
    <w:link w:val="EditorsNote"/>
    <w:qFormat/>
    <w:rsid w:val="00D53D72"/>
    <w:rPr>
      <w:rFonts w:ascii="Times New Roman" w:hAnsi="Times New Roman"/>
      <w:color w:val="FF0000"/>
      <w:lang w:val="en-GB" w:eastAsia="en-US"/>
    </w:rPr>
  </w:style>
  <w:style w:type="paragraph" w:customStyle="1" w:styleId="Doc-text2">
    <w:name w:val="Doc-text2"/>
    <w:basedOn w:val="Normal"/>
    <w:link w:val="Doc-text2Char"/>
    <w:qFormat/>
    <w:rsid w:val="007A1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A19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176578386">
      <w:bodyDiv w:val="1"/>
      <w:marLeft w:val="0"/>
      <w:marRight w:val="0"/>
      <w:marTop w:val="0"/>
      <w:marBottom w:val="0"/>
      <w:divBdr>
        <w:top w:val="none" w:sz="0" w:space="0" w:color="auto"/>
        <w:left w:val="none" w:sz="0" w:space="0" w:color="auto"/>
        <w:bottom w:val="none" w:sz="0" w:space="0" w:color="auto"/>
        <w:right w:val="none" w:sz="0" w:space="0" w:color="auto"/>
      </w:divBdr>
    </w:div>
    <w:div w:id="195043436">
      <w:bodyDiv w:val="1"/>
      <w:marLeft w:val="0"/>
      <w:marRight w:val="0"/>
      <w:marTop w:val="0"/>
      <w:marBottom w:val="0"/>
      <w:divBdr>
        <w:top w:val="none" w:sz="0" w:space="0" w:color="auto"/>
        <w:left w:val="none" w:sz="0" w:space="0" w:color="auto"/>
        <w:bottom w:val="none" w:sz="0" w:space="0" w:color="auto"/>
        <w:right w:val="none" w:sz="0" w:space="0" w:color="auto"/>
      </w:divBdr>
    </w:div>
    <w:div w:id="227082317">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553856185">
      <w:bodyDiv w:val="1"/>
      <w:marLeft w:val="0"/>
      <w:marRight w:val="0"/>
      <w:marTop w:val="0"/>
      <w:marBottom w:val="0"/>
      <w:divBdr>
        <w:top w:val="none" w:sz="0" w:space="0" w:color="auto"/>
        <w:left w:val="none" w:sz="0" w:space="0" w:color="auto"/>
        <w:bottom w:val="none" w:sz="0" w:space="0" w:color="auto"/>
        <w:right w:val="none" w:sz="0" w:space="0" w:color="auto"/>
      </w:divBdr>
    </w:div>
    <w:div w:id="650448471">
      <w:bodyDiv w:val="1"/>
      <w:marLeft w:val="0"/>
      <w:marRight w:val="0"/>
      <w:marTop w:val="0"/>
      <w:marBottom w:val="0"/>
      <w:divBdr>
        <w:top w:val="none" w:sz="0" w:space="0" w:color="auto"/>
        <w:left w:val="none" w:sz="0" w:space="0" w:color="auto"/>
        <w:bottom w:val="none" w:sz="0" w:space="0" w:color="auto"/>
        <w:right w:val="none" w:sz="0" w:space="0" w:color="auto"/>
      </w:divBdr>
    </w:div>
    <w:div w:id="927692315">
      <w:bodyDiv w:val="1"/>
      <w:marLeft w:val="0"/>
      <w:marRight w:val="0"/>
      <w:marTop w:val="0"/>
      <w:marBottom w:val="0"/>
      <w:divBdr>
        <w:top w:val="none" w:sz="0" w:space="0" w:color="auto"/>
        <w:left w:val="none" w:sz="0" w:space="0" w:color="auto"/>
        <w:bottom w:val="none" w:sz="0" w:space="0" w:color="auto"/>
        <w:right w:val="none" w:sz="0" w:space="0" w:color="auto"/>
      </w:divBdr>
    </w:div>
    <w:div w:id="935790957">
      <w:bodyDiv w:val="1"/>
      <w:marLeft w:val="0"/>
      <w:marRight w:val="0"/>
      <w:marTop w:val="0"/>
      <w:marBottom w:val="0"/>
      <w:divBdr>
        <w:top w:val="none" w:sz="0" w:space="0" w:color="auto"/>
        <w:left w:val="none" w:sz="0" w:space="0" w:color="auto"/>
        <w:bottom w:val="none" w:sz="0" w:space="0" w:color="auto"/>
        <w:right w:val="none" w:sz="0" w:space="0" w:color="auto"/>
      </w:divBdr>
    </w:div>
    <w:div w:id="1009141711">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241015833">
      <w:bodyDiv w:val="1"/>
      <w:marLeft w:val="0"/>
      <w:marRight w:val="0"/>
      <w:marTop w:val="0"/>
      <w:marBottom w:val="0"/>
      <w:divBdr>
        <w:top w:val="none" w:sz="0" w:space="0" w:color="auto"/>
        <w:left w:val="none" w:sz="0" w:space="0" w:color="auto"/>
        <w:bottom w:val="none" w:sz="0" w:space="0" w:color="auto"/>
        <w:right w:val="none" w:sz="0" w:space="0" w:color="auto"/>
      </w:divBdr>
    </w:div>
    <w:div w:id="1258060154">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531333141">
      <w:bodyDiv w:val="1"/>
      <w:marLeft w:val="0"/>
      <w:marRight w:val="0"/>
      <w:marTop w:val="0"/>
      <w:marBottom w:val="0"/>
      <w:divBdr>
        <w:top w:val="none" w:sz="0" w:space="0" w:color="auto"/>
        <w:left w:val="none" w:sz="0" w:space="0" w:color="auto"/>
        <w:bottom w:val="none" w:sz="0" w:space="0" w:color="auto"/>
        <w:right w:val="none" w:sz="0" w:space="0" w:color="auto"/>
      </w:divBdr>
    </w:div>
    <w:div w:id="1645037806">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1859733464">
      <w:bodyDiv w:val="1"/>
      <w:marLeft w:val="0"/>
      <w:marRight w:val="0"/>
      <w:marTop w:val="0"/>
      <w:marBottom w:val="0"/>
      <w:divBdr>
        <w:top w:val="none" w:sz="0" w:space="0" w:color="auto"/>
        <w:left w:val="none" w:sz="0" w:space="0" w:color="auto"/>
        <w:bottom w:val="none" w:sz="0" w:space="0" w:color="auto"/>
        <w:right w:val="none" w:sz="0" w:space="0" w:color="auto"/>
      </w:divBdr>
    </w:div>
    <w:div w:id="1895002588">
      <w:bodyDiv w:val="1"/>
      <w:marLeft w:val="0"/>
      <w:marRight w:val="0"/>
      <w:marTop w:val="0"/>
      <w:marBottom w:val="0"/>
      <w:divBdr>
        <w:top w:val="none" w:sz="0" w:space="0" w:color="auto"/>
        <w:left w:val="none" w:sz="0" w:space="0" w:color="auto"/>
        <w:bottom w:val="none" w:sz="0" w:space="0" w:color="auto"/>
        <w:right w:val="none" w:sz="0" w:space="0" w:color="auto"/>
      </w:divBdr>
    </w:div>
    <w:div w:id="2023702456">
      <w:bodyDiv w:val="1"/>
      <w:marLeft w:val="0"/>
      <w:marRight w:val="0"/>
      <w:marTop w:val="0"/>
      <w:marBottom w:val="0"/>
      <w:divBdr>
        <w:top w:val="none" w:sz="0" w:space="0" w:color="auto"/>
        <w:left w:val="none" w:sz="0" w:space="0" w:color="auto"/>
        <w:bottom w:val="none" w:sz="0" w:space="0" w:color="auto"/>
        <w:right w:val="none" w:sz="0" w:space="0" w:color="auto"/>
      </w:divBdr>
    </w:div>
    <w:div w:id="2057318451">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dmche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88679-6C62-4DB1-8CEC-96257E80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880</TotalTime>
  <Pages>6</Pages>
  <Words>1858</Words>
  <Characters>10596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3</cp:revision>
  <cp:lastPrinted>1899-12-31T23:00:00Z</cp:lastPrinted>
  <dcterms:created xsi:type="dcterms:W3CDTF">2020-08-05T12:06:00Z</dcterms:created>
  <dcterms:modified xsi:type="dcterms:W3CDTF">2020-08-07T01:29:00Z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