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E25620" w14:textId="171E390D" w:rsidR="00783B93" w:rsidRDefault="00783B93" w:rsidP="00783B93">
      <w:pPr>
        <w:widowControl w:val="0"/>
        <w:tabs>
          <w:tab w:val="right" w:pos="9639"/>
        </w:tabs>
        <w:spacing w:after="0"/>
        <w:rPr>
          <w:rFonts w:ascii="Arial" w:hAnsi="Arial" w:cs="Arial"/>
          <w:b/>
          <w:bCs/>
          <w:color w:val="000000"/>
          <w:sz w:val="26"/>
          <w:szCs w:val="26"/>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sidRPr="7F033DD9">
        <w:rPr>
          <w:rFonts w:ascii="Arial" w:eastAsia="Times New Roman" w:hAnsi="Arial"/>
          <w:b/>
          <w:bCs/>
          <w:sz w:val="24"/>
          <w:szCs w:val="24"/>
        </w:rPr>
        <w:t xml:space="preserve">WG2 </w:t>
      </w:r>
      <w:r w:rsidR="00653A6B" w:rsidRPr="7F033DD9">
        <w:rPr>
          <w:rFonts w:ascii="Arial" w:eastAsia="Times New Roman" w:hAnsi="Arial"/>
          <w:b/>
          <w:bCs/>
          <w:sz w:val="24"/>
          <w:szCs w:val="24"/>
        </w:rPr>
        <w:t xml:space="preserve">Meeting </w:t>
      </w:r>
      <w:r w:rsidRPr="7F033DD9">
        <w:rPr>
          <w:rFonts w:ascii="Arial" w:eastAsia="Times New Roman" w:hAnsi="Arial"/>
          <w:b/>
          <w:bCs/>
          <w:sz w:val="24"/>
          <w:szCs w:val="24"/>
        </w:rPr>
        <w:t>#1</w:t>
      </w:r>
      <w:r w:rsidR="00653A6B" w:rsidRPr="7F033DD9">
        <w:rPr>
          <w:rFonts w:ascii="Arial" w:eastAsia="Times New Roman" w:hAnsi="Arial"/>
          <w:b/>
          <w:bCs/>
          <w:sz w:val="24"/>
          <w:szCs w:val="24"/>
        </w:rPr>
        <w:t>1</w:t>
      </w:r>
      <w:r w:rsidR="005D6D93">
        <w:rPr>
          <w:rFonts w:ascii="Arial" w:eastAsia="Times New Roman" w:hAnsi="Arial"/>
          <w:b/>
          <w:bCs/>
          <w:sz w:val="24"/>
          <w:szCs w:val="24"/>
        </w:rPr>
        <w:t>1</w:t>
      </w:r>
      <w:r w:rsidRPr="7F033DD9">
        <w:rPr>
          <w:rFonts w:ascii="Arial" w:eastAsia="Times New Roman" w:hAnsi="Arial"/>
          <w:b/>
          <w:bCs/>
          <w:sz w:val="24"/>
          <w:szCs w:val="24"/>
        </w:rPr>
        <w:t xml:space="preserve">                                                     </w:t>
      </w:r>
      <w:r w:rsidR="006B179F">
        <w:rPr>
          <w:rFonts w:ascii="Arial" w:eastAsia="Times New Roman" w:hAnsi="Arial"/>
          <w:b/>
          <w:sz w:val="24"/>
          <w:szCs w:val="24"/>
        </w:rPr>
        <w:tab/>
      </w:r>
      <w:r w:rsidRPr="00993664">
        <w:rPr>
          <w:rFonts w:ascii="Arial" w:hAnsi="Arial" w:cs="Arial"/>
          <w:b/>
          <w:bCs/>
          <w:color w:val="000000"/>
          <w:sz w:val="26"/>
          <w:szCs w:val="26"/>
        </w:rPr>
        <w:t>R2-</w:t>
      </w:r>
      <w:r w:rsidR="00653A6B">
        <w:rPr>
          <w:rFonts w:ascii="Arial" w:hAnsi="Arial" w:cs="Arial"/>
          <w:b/>
          <w:bCs/>
          <w:color w:val="000000"/>
          <w:sz w:val="26"/>
          <w:szCs w:val="26"/>
        </w:rPr>
        <w:t>2</w:t>
      </w:r>
      <w:r w:rsidR="2ABFE37A">
        <w:rPr>
          <w:rFonts w:ascii="Arial" w:hAnsi="Arial" w:cs="Arial"/>
          <w:b/>
          <w:bCs/>
          <w:color w:val="000000"/>
          <w:sz w:val="26"/>
          <w:szCs w:val="26"/>
        </w:rPr>
        <w:t>0</w:t>
      </w:r>
      <w:r w:rsidR="00FC0B60">
        <w:rPr>
          <w:rFonts w:ascii="Arial" w:hAnsi="Arial" w:cs="Arial"/>
          <w:b/>
          <w:bCs/>
          <w:color w:val="000000"/>
          <w:sz w:val="26"/>
          <w:szCs w:val="26"/>
        </w:rPr>
        <w:t>06</w:t>
      </w:r>
      <w:r w:rsidR="00393913">
        <w:rPr>
          <w:rFonts w:ascii="Arial" w:hAnsi="Arial" w:cs="Arial"/>
          <w:b/>
          <w:bCs/>
          <w:color w:val="000000"/>
          <w:sz w:val="26"/>
          <w:szCs w:val="26"/>
        </w:rPr>
        <w:t>927</w:t>
      </w:r>
    </w:p>
    <w:p w14:paraId="110EB4B6" w14:textId="1D642062" w:rsidR="00783B93" w:rsidRDefault="5B5630AF" w:rsidP="777A394D">
      <w:pPr>
        <w:widowControl w:val="0"/>
        <w:tabs>
          <w:tab w:val="right" w:pos="9639"/>
        </w:tabs>
        <w:spacing w:after="0"/>
        <w:rPr>
          <w:rFonts w:ascii="Arial" w:eastAsia="Times New Roman" w:hAnsi="Arial"/>
          <w:b/>
          <w:bCs/>
          <w:i/>
          <w:iCs/>
          <w:sz w:val="24"/>
          <w:szCs w:val="24"/>
        </w:rPr>
      </w:pPr>
      <w:r w:rsidRPr="777A394D">
        <w:rPr>
          <w:rFonts w:ascii="Arial" w:hAnsi="Arial"/>
          <w:b/>
          <w:bCs/>
          <w:sz w:val="24"/>
          <w:szCs w:val="24"/>
          <w:lang w:eastAsia="zh-CN"/>
        </w:rPr>
        <w:t>E-</w:t>
      </w:r>
      <w:r w:rsidR="00653A6B" w:rsidRPr="777A394D">
        <w:rPr>
          <w:rFonts w:ascii="Arial" w:hAnsi="Arial"/>
          <w:b/>
          <w:bCs/>
          <w:sz w:val="24"/>
          <w:szCs w:val="24"/>
          <w:lang w:eastAsia="zh-CN"/>
        </w:rPr>
        <w:t>Meeting</w:t>
      </w:r>
      <w:r w:rsidR="00783B93" w:rsidRPr="777A394D">
        <w:rPr>
          <w:rFonts w:ascii="Arial" w:hAnsi="Arial"/>
          <w:b/>
          <w:bCs/>
          <w:sz w:val="24"/>
          <w:szCs w:val="24"/>
          <w:lang w:eastAsia="zh-CN"/>
        </w:rPr>
        <w:t xml:space="preserve">, </w:t>
      </w:r>
      <w:r w:rsidR="006B179F" w:rsidRPr="777A394D">
        <w:rPr>
          <w:rFonts w:ascii="Arial" w:hAnsi="Arial"/>
          <w:b/>
          <w:bCs/>
          <w:sz w:val="24"/>
          <w:szCs w:val="24"/>
          <w:lang w:eastAsia="zh-CN"/>
        </w:rPr>
        <w:t>USA</w:t>
      </w:r>
      <w:r w:rsidR="00783B93" w:rsidRPr="777A394D">
        <w:rPr>
          <w:rFonts w:ascii="Arial" w:hAnsi="Arial"/>
          <w:b/>
          <w:bCs/>
          <w:sz w:val="24"/>
          <w:szCs w:val="24"/>
          <w:lang w:eastAsia="zh-CN"/>
        </w:rPr>
        <w:t xml:space="preserve">, </w:t>
      </w:r>
      <w:r w:rsidR="005D6D93">
        <w:rPr>
          <w:rFonts w:ascii="Arial" w:hAnsi="Arial"/>
          <w:b/>
          <w:bCs/>
          <w:sz w:val="24"/>
          <w:szCs w:val="24"/>
          <w:lang w:eastAsia="zh-CN"/>
        </w:rPr>
        <w:t>Aug</w:t>
      </w:r>
      <w:r w:rsidR="00783B93" w:rsidRPr="777A394D">
        <w:rPr>
          <w:rFonts w:ascii="Arial" w:hAnsi="Arial"/>
          <w:b/>
          <w:bCs/>
          <w:sz w:val="24"/>
          <w:szCs w:val="24"/>
          <w:lang w:eastAsia="zh-CN"/>
        </w:rPr>
        <w:t xml:space="preserve"> 1</w:t>
      </w:r>
      <w:r w:rsidR="005D6D93">
        <w:rPr>
          <w:rFonts w:ascii="Arial" w:hAnsi="Arial"/>
          <w:b/>
          <w:bCs/>
          <w:sz w:val="24"/>
          <w:szCs w:val="24"/>
          <w:lang w:eastAsia="zh-CN"/>
        </w:rPr>
        <w:t>7</w:t>
      </w:r>
      <w:r w:rsidR="00653A6B" w:rsidRPr="777A394D">
        <w:rPr>
          <w:rFonts w:ascii="Arial" w:hAnsi="Arial"/>
          <w:b/>
          <w:bCs/>
          <w:sz w:val="24"/>
          <w:szCs w:val="24"/>
          <w:vertAlign w:val="superscript"/>
          <w:lang w:eastAsia="zh-CN"/>
        </w:rPr>
        <w:t>t</w:t>
      </w:r>
      <w:r w:rsidR="005D6D93">
        <w:rPr>
          <w:rFonts w:ascii="Arial" w:hAnsi="Arial"/>
          <w:b/>
          <w:bCs/>
          <w:sz w:val="24"/>
          <w:szCs w:val="24"/>
          <w:vertAlign w:val="superscript"/>
          <w:lang w:eastAsia="zh-CN"/>
        </w:rPr>
        <w:t>h</w:t>
      </w:r>
      <w:r w:rsidR="00783B93" w:rsidRPr="777A394D">
        <w:rPr>
          <w:rFonts w:ascii="Arial" w:hAnsi="Arial"/>
          <w:b/>
          <w:bCs/>
          <w:sz w:val="24"/>
          <w:szCs w:val="24"/>
          <w:lang w:eastAsia="zh-CN"/>
        </w:rPr>
        <w:t xml:space="preserve"> – </w:t>
      </w:r>
      <w:r w:rsidR="006B179F" w:rsidRPr="777A394D">
        <w:rPr>
          <w:rFonts w:ascii="Arial" w:hAnsi="Arial"/>
          <w:b/>
          <w:bCs/>
          <w:sz w:val="24"/>
          <w:szCs w:val="24"/>
          <w:lang w:eastAsia="zh-CN"/>
        </w:rPr>
        <w:t>2</w:t>
      </w:r>
      <w:r w:rsidR="005D6D93">
        <w:rPr>
          <w:rFonts w:ascii="Arial" w:hAnsi="Arial"/>
          <w:b/>
          <w:bCs/>
          <w:sz w:val="24"/>
          <w:szCs w:val="24"/>
          <w:lang w:eastAsia="zh-CN"/>
        </w:rPr>
        <w:t>8</w:t>
      </w:r>
      <w:r w:rsidR="00653A6B" w:rsidRPr="777A394D">
        <w:rPr>
          <w:rFonts w:ascii="Arial" w:hAnsi="Arial"/>
          <w:b/>
          <w:bCs/>
          <w:sz w:val="24"/>
          <w:szCs w:val="24"/>
          <w:vertAlign w:val="superscript"/>
          <w:lang w:eastAsia="zh-CN"/>
        </w:rPr>
        <w:t>th</w:t>
      </w:r>
      <w:r w:rsidR="00783B93" w:rsidRPr="777A394D">
        <w:rPr>
          <w:rFonts w:ascii="Arial" w:hAnsi="Arial"/>
          <w:b/>
          <w:bCs/>
          <w:sz w:val="24"/>
          <w:szCs w:val="24"/>
          <w:lang w:eastAsia="zh-CN"/>
        </w:rPr>
        <w:t>, 20</w:t>
      </w:r>
      <w:r w:rsidR="00653A6B" w:rsidRPr="777A394D">
        <w:rPr>
          <w:rFonts w:ascii="Arial" w:hAnsi="Arial"/>
          <w:b/>
          <w:bCs/>
          <w:sz w:val="24"/>
          <w:szCs w:val="24"/>
          <w:lang w:eastAsia="zh-CN"/>
        </w:rPr>
        <w:t>20</w:t>
      </w:r>
      <w:r w:rsidR="00783B93" w:rsidRPr="777A394D">
        <w:rPr>
          <w:rFonts w:ascii="Arial" w:hAnsi="Arial" w:cs="Arial"/>
          <w:b/>
          <w:bCs/>
          <w:color w:val="000000" w:themeColor="text1"/>
          <w:sz w:val="26"/>
          <w:szCs w:val="26"/>
        </w:rPr>
        <w:t xml:space="preserve">                          </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6CA79377" w:rsidR="00783B93" w:rsidRPr="006D3016" w:rsidRDefault="00783B93" w:rsidP="32EEF86C">
      <w:pPr>
        <w:tabs>
          <w:tab w:val="left" w:pos="1985"/>
        </w:tabs>
        <w:spacing w:after="120"/>
        <w:rPr>
          <w:rFonts w:ascii="Arial" w:eastAsia="MS Mincho" w:hAnsi="Arial" w:cs="Arial"/>
          <w:b/>
          <w:bCs/>
          <w:sz w:val="24"/>
          <w:szCs w:val="24"/>
        </w:rPr>
      </w:pPr>
      <w:r w:rsidRPr="32EEF86C">
        <w:rPr>
          <w:rFonts w:ascii="Arial" w:eastAsia="MS Mincho" w:hAnsi="Arial" w:cs="Arial"/>
          <w:b/>
          <w:bCs/>
          <w:sz w:val="24"/>
          <w:szCs w:val="24"/>
        </w:rPr>
        <w:t>Agenda item:</w:t>
      </w:r>
      <w:r w:rsidR="7FF23F6A" w:rsidRPr="32EEF86C">
        <w:rPr>
          <w:rFonts w:ascii="Arial" w:eastAsia="MS Mincho" w:hAnsi="Arial" w:cs="Arial"/>
          <w:b/>
          <w:bCs/>
          <w:sz w:val="24"/>
          <w:szCs w:val="24"/>
        </w:rPr>
        <w:t xml:space="preserve"> </w:t>
      </w:r>
      <w:r w:rsidR="005D6D93">
        <w:rPr>
          <w:rFonts w:ascii="Arial" w:eastAsia="MS Mincho" w:hAnsi="Arial" w:cs="Arial"/>
          <w:b/>
          <w:bCs/>
          <w:sz w:val="24"/>
          <w:szCs w:val="24"/>
        </w:rPr>
        <w:tab/>
        <w:t>8</w:t>
      </w:r>
      <w:r w:rsidR="7FF23F6A" w:rsidRPr="32EEF86C">
        <w:rPr>
          <w:rFonts w:ascii="Arial" w:eastAsia="MS Mincho" w:hAnsi="Arial" w:cs="Arial"/>
          <w:b/>
          <w:bCs/>
          <w:sz w:val="24"/>
          <w:szCs w:val="24"/>
        </w:rPr>
        <w:t>.1</w:t>
      </w:r>
      <w:r w:rsidR="005D6D93">
        <w:rPr>
          <w:rFonts w:ascii="Arial" w:eastAsia="MS Mincho" w:hAnsi="Arial" w:cs="Arial"/>
          <w:b/>
          <w:bCs/>
          <w:sz w:val="24"/>
          <w:szCs w:val="24"/>
        </w:rPr>
        <w:t>0.</w:t>
      </w:r>
      <w:r w:rsidR="00BF3DEA">
        <w:rPr>
          <w:rFonts w:ascii="Arial" w:eastAsia="MS Mincho" w:hAnsi="Arial" w:cs="Arial"/>
          <w:b/>
          <w:bCs/>
          <w:sz w:val="24"/>
          <w:szCs w:val="24"/>
        </w:rPr>
        <w:t>2.</w:t>
      </w:r>
      <w:r w:rsidR="005D6D93">
        <w:rPr>
          <w:rFonts w:ascii="Arial" w:eastAsia="MS Mincho" w:hAnsi="Arial" w:cs="Arial"/>
          <w:b/>
          <w:bCs/>
          <w:sz w:val="24"/>
          <w:szCs w:val="24"/>
        </w:rPr>
        <w:t>1</w:t>
      </w:r>
      <w:r w:rsidRPr="006D3016">
        <w:rPr>
          <w:rFonts w:ascii="Arial" w:eastAsia="MS Mincho" w:hAnsi="Arial" w:cs="Arial"/>
          <w:b/>
          <w:bCs/>
          <w:sz w:val="24"/>
        </w:rPr>
        <w:tab/>
      </w:r>
      <w:r w:rsidRPr="32EEF86C">
        <w:rPr>
          <w:rFonts w:ascii="Arial" w:eastAsia="MS Mincho" w:hAnsi="Arial" w:cs="Arial"/>
          <w:b/>
          <w:bCs/>
          <w:sz w:val="24"/>
          <w:szCs w:val="24"/>
        </w:rPr>
        <w:t xml:space="preserve"> </w:t>
      </w:r>
    </w:p>
    <w:p w14:paraId="523E2679" w14:textId="77777777"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3159C877"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rsidRPr="006D3016">
        <w:rPr>
          <w:rFonts w:ascii="Arial" w:eastAsia="Times New Roman" w:hAnsi="Arial" w:cs="Arial"/>
          <w:b/>
          <w:bCs/>
          <w:sz w:val="24"/>
        </w:rPr>
        <w:tab/>
      </w:r>
      <w:r w:rsidR="00812469">
        <w:rPr>
          <w:rFonts w:ascii="Arial" w:eastAsia="Times New Roman" w:hAnsi="Arial" w:cs="Arial"/>
          <w:b/>
          <w:bCs/>
          <w:sz w:val="24"/>
          <w:szCs w:val="24"/>
        </w:rPr>
        <w:t>MAC issues</w:t>
      </w:r>
      <w:r w:rsidR="005D6D93">
        <w:rPr>
          <w:rFonts w:ascii="Arial" w:eastAsia="Times New Roman" w:hAnsi="Arial" w:cs="Arial"/>
          <w:b/>
          <w:bCs/>
          <w:sz w:val="24"/>
          <w:szCs w:val="24"/>
        </w:rPr>
        <w:t xml:space="preserve"> for NTN</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46EECBFF" w:rsidR="00783B93" w:rsidRDefault="00783B93" w:rsidP="00783B93">
      <w:pPr>
        <w:pStyle w:val="Heading1"/>
        <w:numPr>
          <w:ilvl w:val="0"/>
          <w:numId w:val="1"/>
        </w:numPr>
        <w:pBdr>
          <w:top w:val="single" w:sz="12" w:space="2" w:color="auto"/>
        </w:pBdr>
      </w:pPr>
      <w:r>
        <w:t xml:space="preserve">Introduction </w:t>
      </w:r>
    </w:p>
    <w:p w14:paraId="57AC8353" w14:textId="77777777" w:rsidR="00812469" w:rsidRPr="00757E04" w:rsidRDefault="00812469" w:rsidP="00812469">
      <w:r>
        <w:t>NTN WI is approved in [1] and the scope of work for connect mode and mobility are as follow:</w:t>
      </w:r>
    </w:p>
    <w:p w14:paraId="1036FAD8" w14:textId="77777777" w:rsidR="00812469" w:rsidRPr="00757E04" w:rsidRDefault="00812469" w:rsidP="00812469">
      <w:pPr>
        <w:numPr>
          <w:ilvl w:val="0"/>
          <w:numId w:val="18"/>
        </w:numPr>
        <w:spacing w:after="0"/>
        <w:ind w:left="540"/>
        <w:textAlignment w:val="center"/>
        <w:rPr>
          <w:rFonts w:ascii="Calibri" w:eastAsia="Times New Roman" w:hAnsi="Calibri" w:cs="Calibri"/>
          <w:sz w:val="22"/>
          <w:szCs w:val="22"/>
          <w:lang w:val="en-US" w:eastAsia="zh-TW"/>
        </w:rPr>
      </w:pPr>
      <w:r>
        <w:t xml:space="preserve"> </w:t>
      </w:r>
      <w:r w:rsidRPr="00757E04">
        <w:rPr>
          <w:rFonts w:eastAsia="Times New Roman"/>
          <w:lang w:val="en-US" w:eastAsia="zh-TW"/>
        </w:rPr>
        <w:t>MAC</w:t>
      </w:r>
    </w:p>
    <w:p w14:paraId="2841F554" w14:textId="77777777" w:rsidR="00812469" w:rsidRPr="00757E04" w:rsidRDefault="00812469" w:rsidP="00812469">
      <w:pPr>
        <w:numPr>
          <w:ilvl w:val="1"/>
          <w:numId w:val="18"/>
        </w:numPr>
        <w:spacing w:after="0"/>
        <w:ind w:left="1080"/>
        <w:textAlignment w:val="center"/>
        <w:rPr>
          <w:rFonts w:ascii="Calibri" w:eastAsia="Times New Roman" w:hAnsi="Calibri" w:cs="Calibri"/>
          <w:sz w:val="22"/>
          <w:szCs w:val="22"/>
          <w:lang w:val="en-US" w:eastAsia="zh-TW"/>
        </w:rPr>
      </w:pPr>
      <w:r w:rsidRPr="00757E04">
        <w:rPr>
          <w:rFonts w:eastAsia="Times New Roman"/>
          <w:lang w:val="en-US" w:eastAsia="zh-TW"/>
        </w:rPr>
        <w:t>Random access:</w:t>
      </w:r>
    </w:p>
    <w:p w14:paraId="056D6E96" w14:textId="77777777" w:rsidR="00812469" w:rsidRPr="00757E04" w:rsidRDefault="00812469" w:rsidP="00812469">
      <w:pPr>
        <w:numPr>
          <w:ilvl w:val="2"/>
          <w:numId w:val="18"/>
        </w:numPr>
        <w:spacing w:after="0"/>
        <w:ind w:left="1620"/>
        <w:textAlignment w:val="center"/>
        <w:rPr>
          <w:rFonts w:ascii="Calibri" w:eastAsia="Times New Roman" w:hAnsi="Calibri" w:cs="Calibri"/>
          <w:sz w:val="22"/>
          <w:szCs w:val="22"/>
          <w:lang w:val="en-US" w:eastAsia="zh-TW"/>
        </w:rPr>
      </w:pPr>
      <w:r w:rsidRPr="00757E04">
        <w:rPr>
          <w:rFonts w:eastAsia="Times New Roman"/>
          <w:lang w:val="en-US" w:eastAsia="zh-TW"/>
        </w:rPr>
        <w:t>Definition of an offset for the start of the ra-ResponseWindow for NTN and extension of the ra-ResponseWindow duration to support UE without location information.</w:t>
      </w:r>
    </w:p>
    <w:p w14:paraId="52382684" w14:textId="77777777" w:rsidR="00812469" w:rsidRPr="00757E04" w:rsidRDefault="00812469" w:rsidP="00812469">
      <w:pPr>
        <w:numPr>
          <w:ilvl w:val="2"/>
          <w:numId w:val="18"/>
        </w:numPr>
        <w:spacing w:after="0"/>
        <w:ind w:left="1620"/>
        <w:textAlignment w:val="center"/>
        <w:rPr>
          <w:rFonts w:ascii="Calibri" w:eastAsia="Times New Roman" w:hAnsi="Calibri" w:cs="Calibri"/>
          <w:sz w:val="22"/>
          <w:szCs w:val="22"/>
          <w:lang w:val="en-US" w:eastAsia="zh-TW"/>
        </w:rPr>
      </w:pPr>
      <w:r w:rsidRPr="00757E04">
        <w:rPr>
          <w:rFonts w:eastAsia="Times New Roman"/>
          <w:lang w:val="en-US" w:eastAsia="zh-TW"/>
        </w:rPr>
        <w:t>Introduction of an offset for the start of the ra-ContentionResolutionTimer to resolve Random access contention</w:t>
      </w:r>
    </w:p>
    <w:p w14:paraId="4F2A6E5E" w14:textId="77777777" w:rsidR="00812469" w:rsidRPr="00757E04" w:rsidRDefault="00812469" w:rsidP="00812469">
      <w:pPr>
        <w:numPr>
          <w:ilvl w:val="2"/>
          <w:numId w:val="18"/>
        </w:numPr>
        <w:spacing w:after="0"/>
        <w:ind w:left="1620"/>
        <w:textAlignment w:val="center"/>
        <w:rPr>
          <w:rFonts w:ascii="Calibri" w:eastAsia="Times New Roman" w:hAnsi="Calibri" w:cs="Calibri"/>
          <w:sz w:val="22"/>
          <w:szCs w:val="22"/>
          <w:lang w:val="en-US" w:eastAsia="zh-TW"/>
        </w:rPr>
      </w:pPr>
      <w:r w:rsidRPr="00757E04">
        <w:rPr>
          <w:rFonts w:eastAsia="Times New Roman"/>
          <w:lang w:val="en-US" w:eastAsia="zh-TW"/>
        </w:rPr>
        <w:t>Solutions for resolving preamble ambiguity and extension of RAR window.</w:t>
      </w:r>
    </w:p>
    <w:p w14:paraId="29D8F2E0" w14:textId="77777777" w:rsidR="00812469" w:rsidRPr="00757E04" w:rsidRDefault="00812469" w:rsidP="00812469">
      <w:pPr>
        <w:numPr>
          <w:ilvl w:val="2"/>
          <w:numId w:val="18"/>
        </w:numPr>
        <w:spacing w:after="0"/>
        <w:ind w:left="1620"/>
        <w:textAlignment w:val="center"/>
        <w:rPr>
          <w:rFonts w:ascii="Calibri" w:eastAsia="Times New Roman" w:hAnsi="Calibri" w:cs="Calibri"/>
          <w:sz w:val="22"/>
          <w:szCs w:val="22"/>
          <w:lang w:val="en-US" w:eastAsia="zh-TW"/>
        </w:rPr>
      </w:pPr>
      <w:r w:rsidRPr="00757E04">
        <w:rPr>
          <w:rFonts w:eastAsia="Times New Roman"/>
          <w:lang w:val="en-US" w:eastAsia="zh-TW"/>
        </w:rPr>
        <w:t>Adaptations for UEs with GNSS capabilities; timing advance and msg3 scheduling.</w:t>
      </w:r>
    </w:p>
    <w:p w14:paraId="02EA5658" w14:textId="77777777" w:rsidR="00812469" w:rsidRPr="00757E04" w:rsidRDefault="00812469" w:rsidP="00812469">
      <w:pPr>
        <w:numPr>
          <w:ilvl w:val="1"/>
          <w:numId w:val="18"/>
        </w:numPr>
        <w:spacing w:after="0"/>
        <w:ind w:left="1080"/>
        <w:textAlignment w:val="center"/>
        <w:rPr>
          <w:rFonts w:ascii="Calibri" w:eastAsia="Times New Roman" w:hAnsi="Calibri" w:cs="Calibri"/>
          <w:sz w:val="22"/>
          <w:szCs w:val="22"/>
          <w:lang w:val="en-US" w:eastAsia="zh-TW"/>
        </w:rPr>
      </w:pPr>
      <w:r w:rsidRPr="00757E04">
        <w:rPr>
          <w:rFonts w:eastAsia="Times New Roman"/>
          <w:lang w:val="en-US" w:eastAsia="zh-TW"/>
        </w:rPr>
        <w:t>Timing advance: TA calculation and signaling adaptation to deal with NTN maximum round trip delay in LEO and GEO scenarios for UE with and without UE location information.</w:t>
      </w:r>
    </w:p>
    <w:p w14:paraId="72FF0EB6" w14:textId="77777777" w:rsidR="00812469" w:rsidRPr="00757E04" w:rsidRDefault="00812469" w:rsidP="00812469">
      <w:pPr>
        <w:numPr>
          <w:ilvl w:val="1"/>
          <w:numId w:val="18"/>
        </w:numPr>
        <w:spacing w:after="0"/>
        <w:ind w:left="1080"/>
        <w:textAlignment w:val="center"/>
        <w:rPr>
          <w:rFonts w:ascii="Calibri" w:eastAsia="Times New Roman" w:hAnsi="Calibri" w:cs="Calibri"/>
          <w:sz w:val="22"/>
          <w:szCs w:val="22"/>
          <w:lang w:val="en-US" w:eastAsia="zh-TW"/>
        </w:rPr>
      </w:pPr>
      <w:r w:rsidRPr="00757E04">
        <w:rPr>
          <w:rFonts w:eastAsia="Times New Roman"/>
          <w:lang w:val="en-US" w:eastAsia="zh-TW"/>
        </w:rPr>
        <w:t xml:space="preserve">DRX: </w:t>
      </w:r>
    </w:p>
    <w:p w14:paraId="3DE4446C" w14:textId="77777777" w:rsidR="00812469" w:rsidRPr="00757E04" w:rsidRDefault="00812469" w:rsidP="00812469">
      <w:pPr>
        <w:numPr>
          <w:ilvl w:val="2"/>
          <w:numId w:val="18"/>
        </w:numPr>
        <w:spacing w:after="0"/>
        <w:ind w:left="1620"/>
        <w:textAlignment w:val="center"/>
        <w:rPr>
          <w:rFonts w:ascii="Calibri" w:eastAsia="Times New Roman" w:hAnsi="Calibri" w:cs="Calibri"/>
          <w:sz w:val="22"/>
          <w:szCs w:val="22"/>
          <w:lang w:val="en-US" w:eastAsia="zh-TW"/>
        </w:rPr>
      </w:pPr>
      <w:r w:rsidRPr="00757E04">
        <w:rPr>
          <w:rFonts w:eastAsia="Times New Roman"/>
          <w:lang w:val="en-US" w:eastAsia="zh-TW"/>
        </w:rPr>
        <w:t xml:space="preserve">If HARQ feedback is enabled, an offset should be added for </w:t>
      </w:r>
      <w:r w:rsidRPr="00757E04">
        <w:rPr>
          <w:rFonts w:eastAsia="Times New Roman"/>
          <w:i/>
          <w:iCs/>
          <w:lang w:val="en-US" w:eastAsia="zh-TW"/>
        </w:rPr>
        <w:t xml:space="preserve">drx-HARQ-RTT-TimerDL </w:t>
      </w:r>
      <w:r w:rsidRPr="00757E04">
        <w:rPr>
          <w:rFonts w:eastAsia="Times New Roman"/>
          <w:lang w:val="en-US" w:eastAsia="zh-TW"/>
        </w:rPr>
        <w:t xml:space="preserve">and </w:t>
      </w:r>
      <w:r w:rsidRPr="00757E04">
        <w:rPr>
          <w:rFonts w:eastAsia="Times New Roman"/>
          <w:i/>
          <w:iCs/>
          <w:lang w:val="en-US" w:eastAsia="zh-TW"/>
        </w:rPr>
        <w:t>drx-HARQ-RTT-TimerUL</w:t>
      </w:r>
      <w:r w:rsidRPr="00757E04">
        <w:rPr>
          <w:rFonts w:eastAsia="Times New Roman"/>
          <w:lang w:val="en-US" w:eastAsia="zh-TW"/>
        </w:rPr>
        <w:t>.</w:t>
      </w:r>
    </w:p>
    <w:p w14:paraId="7921A7CA" w14:textId="77777777" w:rsidR="00812469" w:rsidRPr="00757E04" w:rsidRDefault="00812469" w:rsidP="00812469">
      <w:pPr>
        <w:numPr>
          <w:ilvl w:val="2"/>
          <w:numId w:val="18"/>
        </w:numPr>
        <w:spacing w:after="0"/>
        <w:ind w:left="1620"/>
        <w:textAlignment w:val="center"/>
        <w:rPr>
          <w:rFonts w:ascii="Calibri" w:eastAsia="Times New Roman" w:hAnsi="Calibri" w:cs="Calibri"/>
          <w:sz w:val="22"/>
          <w:szCs w:val="22"/>
          <w:lang w:val="en-US" w:eastAsia="zh-TW"/>
        </w:rPr>
      </w:pPr>
      <w:r w:rsidRPr="00757E04">
        <w:rPr>
          <w:rFonts w:eastAsia="Times New Roman"/>
          <w:lang w:val="en-US" w:eastAsia="zh-TW"/>
        </w:rPr>
        <w:t>If HARQ is turned off per HARQ process, adaptions in HARQ procedure may be required</w:t>
      </w:r>
    </w:p>
    <w:p w14:paraId="1B2EF84E" w14:textId="77777777" w:rsidR="00812469" w:rsidRPr="00757E04" w:rsidRDefault="00812469" w:rsidP="00812469">
      <w:pPr>
        <w:numPr>
          <w:ilvl w:val="2"/>
          <w:numId w:val="18"/>
        </w:numPr>
        <w:spacing w:after="0"/>
        <w:ind w:left="1620"/>
        <w:textAlignment w:val="center"/>
        <w:rPr>
          <w:rFonts w:ascii="Calibri" w:eastAsia="Times New Roman" w:hAnsi="Calibri" w:cs="Calibri"/>
          <w:sz w:val="22"/>
          <w:szCs w:val="22"/>
          <w:lang w:val="en-US" w:eastAsia="zh-TW"/>
        </w:rPr>
      </w:pPr>
      <w:r w:rsidRPr="00757E04">
        <w:rPr>
          <w:rFonts w:eastAsia="Times New Roman"/>
          <w:lang w:val="en-US" w:eastAsia="zh-TW"/>
        </w:rPr>
        <w:t>Options for UE power saving for SR and CFRA can be discussed during work item phase</w:t>
      </w:r>
    </w:p>
    <w:p w14:paraId="73F88EFE" w14:textId="77777777" w:rsidR="00812469" w:rsidRPr="00757E04" w:rsidRDefault="00812469" w:rsidP="00812469">
      <w:pPr>
        <w:numPr>
          <w:ilvl w:val="1"/>
          <w:numId w:val="18"/>
        </w:numPr>
        <w:spacing w:after="0"/>
        <w:ind w:left="1080"/>
        <w:textAlignment w:val="center"/>
        <w:rPr>
          <w:rFonts w:ascii="Calibri" w:eastAsia="Times New Roman" w:hAnsi="Calibri" w:cs="Calibri"/>
          <w:sz w:val="22"/>
          <w:szCs w:val="22"/>
          <w:lang w:val="en-US" w:eastAsia="zh-TW"/>
        </w:rPr>
      </w:pPr>
      <w:r w:rsidRPr="00757E04">
        <w:rPr>
          <w:rFonts w:eastAsia="Times New Roman"/>
          <w:lang w:val="en-US" w:eastAsia="zh-TW"/>
        </w:rPr>
        <w:t xml:space="preserve">Scheduling Request: Extension of the value range of </w:t>
      </w:r>
      <w:r w:rsidRPr="00757E04">
        <w:rPr>
          <w:rFonts w:eastAsia="Times New Roman"/>
          <w:i/>
          <w:iCs/>
          <w:lang w:val="en-US" w:eastAsia="zh-TW"/>
        </w:rPr>
        <w:t xml:space="preserve">sr-ProhibitTimer </w:t>
      </w:r>
    </w:p>
    <w:p w14:paraId="21928B21" w14:textId="77777777" w:rsidR="00812469" w:rsidRPr="00757E04" w:rsidRDefault="00812469" w:rsidP="00812469">
      <w:pPr>
        <w:numPr>
          <w:ilvl w:val="1"/>
          <w:numId w:val="18"/>
        </w:numPr>
        <w:spacing w:after="0"/>
        <w:ind w:left="1080"/>
        <w:textAlignment w:val="center"/>
        <w:rPr>
          <w:rFonts w:ascii="Calibri" w:eastAsia="Times New Roman" w:hAnsi="Calibri" w:cs="Calibri"/>
          <w:sz w:val="22"/>
          <w:szCs w:val="22"/>
          <w:lang w:val="en-US" w:eastAsia="zh-TW"/>
        </w:rPr>
      </w:pPr>
      <w:r w:rsidRPr="00757E04">
        <w:rPr>
          <w:rFonts w:eastAsia="Times New Roman"/>
          <w:lang w:val="en-US" w:eastAsia="zh-TW"/>
        </w:rPr>
        <w:t>HARQ</w:t>
      </w:r>
    </w:p>
    <w:p w14:paraId="0DF03759" w14:textId="77777777" w:rsidR="00812469" w:rsidRPr="00757E04" w:rsidRDefault="00812469" w:rsidP="00812469">
      <w:pPr>
        <w:numPr>
          <w:ilvl w:val="2"/>
          <w:numId w:val="18"/>
        </w:numPr>
        <w:spacing w:after="0"/>
        <w:ind w:left="1620"/>
        <w:textAlignment w:val="center"/>
        <w:rPr>
          <w:rFonts w:ascii="Calibri" w:eastAsia="Times New Roman" w:hAnsi="Calibri" w:cs="Calibri"/>
          <w:sz w:val="22"/>
          <w:szCs w:val="22"/>
          <w:lang w:val="en-US" w:eastAsia="zh-TW"/>
        </w:rPr>
      </w:pPr>
      <w:r w:rsidRPr="00757E04">
        <w:rPr>
          <w:rFonts w:eastAsia="Times New Roman"/>
          <w:lang w:val="en-US" w:eastAsia="zh-TW"/>
        </w:rPr>
        <w:t xml:space="preserve">enabling / disabling of uplink HARQ feedback for downlink transmission at the UE receiver should be configurable per UE and per HARQ process. </w:t>
      </w:r>
    </w:p>
    <w:p w14:paraId="53881A50" w14:textId="6C50C1A7" w:rsidR="00812469" w:rsidRPr="00757E04" w:rsidRDefault="00812469" w:rsidP="00812469">
      <w:pPr>
        <w:numPr>
          <w:ilvl w:val="2"/>
          <w:numId w:val="18"/>
        </w:numPr>
        <w:spacing w:after="0"/>
        <w:ind w:left="1620"/>
        <w:textAlignment w:val="center"/>
        <w:rPr>
          <w:rFonts w:ascii="Calibri" w:eastAsia="Times New Roman" w:hAnsi="Calibri" w:cs="Calibri"/>
          <w:sz w:val="22"/>
          <w:szCs w:val="22"/>
          <w:lang w:val="en-US" w:eastAsia="zh-TW"/>
        </w:rPr>
      </w:pPr>
      <w:r w:rsidRPr="00757E04">
        <w:rPr>
          <w:rFonts w:eastAsia="Times New Roman"/>
          <w:lang w:val="en-US" w:eastAsia="zh-TW"/>
        </w:rPr>
        <w:t>enabling / disabling of HARQ uplink retransmission should be configurable per UE or per HARQ process. The LCP impact caused by disabling the HARQ uplink retransmission configuration and its impact on UE’s uplink transmission should be discussed in the work item phase.</w:t>
      </w:r>
    </w:p>
    <w:p w14:paraId="276645C2" w14:textId="71221C13" w:rsidR="00812469" w:rsidRPr="00757E04" w:rsidRDefault="00812469" w:rsidP="00812469">
      <w:pPr>
        <w:numPr>
          <w:ilvl w:val="2"/>
          <w:numId w:val="18"/>
        </w:numPr>
        <w:spacing w:after="0"/>
        <w:ind w:left="1620"/>
        <w:textAlignment w:val="center"/>
        <w:rPr>
          <w:rFonts w:ascii="Calibri" w:eastAsia="Times New Roman" w:hAnsi="Calibri" w:cs="Calibri"/>
          <w:sz w:val="22"/>
          <w:szCs w:val="22"/>
          <w:lang w:val="en-US" w:eastAsia="zh-TW"/>
        </w:rPr>
      </w:pPr>
      <w:r w:rsidRPr="00757E04">
        <w:rPr>
          <w:rFonts w:eastAsia="Times New Roman"/>
          <w:lang w:val="en-US" w:eastAsia="zh-TW"/>
        </w:rPr>
        <w:t>Multiple transmission of the same TB to lower residual BLER should also be configured.</w:t>
      </w:r>
    </w:p>
    <w:p w14:paraId="198EDD06" w14:textId="77777777" w:rsidR="00812469" w:rsidRDefault="00812469" w:rsidP="00812469">
      <w:pPr>
        <w:rPr>
          <w:lang w:val="en-US"/>
        </w:rPr>
      </w:pPr>
    </w:p>
    <w:p w14:paraId="2B01AEBD" w14:textId="5ECF46C1" w:rsidR="00653A6B" w:rsidRPr="008143E9" w:rsidRDefault="00812469" w:rsidP="00653A6B">
      <w:pPr>
        <w:rPr>
          <w:lang w:val="en-US"/>
        </w:rPr>
      </w:pPr>
      <w:r>
        <w:rPr>
          <w:lang w:val="en-US"/>
        </w:rPr>
        <w:t>This contribution focuses on random access</w:t>
      </w:r>
      <w:r w:rsidR="0012150C">
        <w:rPr>
          <w:lang w:val="en-US"/>
        </w:rPr>
        <w:t>, DRX and HARQ</w:t>
      </w:r>
      <w:r>
        <w:rPr>
          <w:lang w:val="en-US"/>
        </w:rPr>
        <w:t xml:space="preserve"> in NTN</w:t>
      </w:r>
      <w:r w:rsidR="008143E9">
        <w:rPr>
          <w:lang w:val="en-US"/>
        </w:rPr>
        <w:t xml:space="preserve"> and provide prefer proposals</w:t>
      </w:r>
      <w:r>
        <w:rPr>
          <w:lang w:val="en-US"/>
        </w:rPr>
        <w:t xml:space="preserve">. </w:t>
      </w:r>
    </w:p>
    <w:p w14:paraId="57BF1261" w14:textId="03710323" w:rsidR="00783B93" w:rsidRDefault="00783B93" w:rsidP="00783B93">
      <w:pPr>
        <w:pStyle w:val="Heading1"/>
        <w:numPr>
          <w:ilvl w:val="0"/>
          <w:numId w:val="1"/>
        </w:numPr>
        <w:pBdr>
          <w:top w:val="single" w:sz="12" w:space="2" w:color="auto"/>
        </w:pBdr>
      </w:pPr>
      <w:r>
        <w:t xml:space="preserve">Discussion </w:t>
      </w:r>
    </w:p>
    <w:p w14:paraId="21921A5A" w14:textId="790DF787" w:rsidR="00631EC4" w:rsidRPr="00631EC4" w:rsidRDefault="00631EC4" w:rsidP="00631EC4">
      <w:pPr>
        <w:rPr>
          <w:b/>
          <w:bCs/>
          <w:u w:val="single"/>
        </w:rPr>
      </w:pPr>
      <w:r w:rsidRPr="00631EC4">
        <w:rPr>
          <w:b/>
          <w:bCs/>
          <w:u w:val="single"/>
        </w:rPr>
        <w:t>Random Access</w:t>
      </w:r>
    </w:p>
    <w:p w14:paraId="5CFA05A3" w14:textId="797168E5" w:rsidR="00990134" w:rsidRDefault="0012150C" w:rsidP="0067283C">
      <w:r>
        <w:t>During</w:t>
      </w:r>
      <w:r w:rsidR="009F518C">
        <w:t xml:space="preserve"> study item, it has been identified that RACH reception window may be overlapped at the network side when the interval </w:t>
      </w:r>
      <w:r w:rsidR="4ACA00FB">
        <w:t xml:space="preserve">between RACH occasions </w:t>
      </w:r>
      <w:r w:rsidR="009F518C">
        <w:t xml:space="preserve">is smaller than </w:t>
      </w:r>
      <w:r w:rsidR="685DD036">
        <w:t xml:space="preserve">the maximum </w:t>
      </w:r>
      <w:r w:rsidR="00166AA1">
        <w:t>delay difference *2</w:t>
      </w:r>
      <w:r w:rsidR="009F518C">
        <w:t xml:space="preserve">. </w:t>
      </w:r>
      <w:r w:rsidR="00BE4C52">
        <w:t>Option 1</w:t>
      </w:r>
      <w:r w:rsidR="009F518C">
        <w:t xml:space="preserve"> </w:t>
      </w:r>
      <w:r w:rsidR="0048126D">
        <w:t>is</w:t>
      </w:r>
      <w:r w:rsidR="009F518C">
        <w:t xml:space="preserve"> </w:t>
      </w:r>
      <w:r w:rsidR="00BB4346">
        <w:t xml:space="preserve">that the network </w:t>
      </w:r>
      <w:r w:rsidR="009F518C">
        <w:t xml:space="preserve">to make sure </w:t>
      </w:r>
      <w:r w:rsidR="0048126D">
        <w:t xml:space="preserve">that </w:t>
      </w:r>
      <w:r w:rsidR="009F518C">
        <w:t xml:space="preserve">the interval </w:t>
      </w:r>
      <w:r w:rsidR="00B952FD">
        <w:t xml:space="preserve">between RACH occasions </w:t>
      </w:r>
      <w:r w:rsidR="009F518C">
        <w:t xml:space="preserve">is larger than the maximum </w:t>
      </w:r>
      <w:r w:rsidR="00BB4346">
        <w:t>delay difference *2</w:t>
      </w:r>
      <w:r w:rsidR="009F518C">
        <w:t xml:space="preserve">. </w:t>
      </w:r>
      <w:r w:rsidR="00BE4C52">
        <w:t xml:space="preserve">Option 2 </w:t>
      </w:r>
      <w:r w:rsidR="009F518C">
        <w:t xml:space="preserve">is to divide the preamble into groups which map to different RO. </w:t>
      </w:r>
      <w:r w:rsidR="00F44017">
        <w:t xml:space="preserve">Base on study item, table 1 summarize the maximum delay difference*2 for different cell sizes. </w:t>
      </w:r>
    </w:p>
    <w:p w14:paraId="5F8D236F" w14:textId="77777777" w:rsidR="009E2B2A" w:rsidRDefault="009E2B2A" w:rsidP="0067283C"/>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
        <w:gridCol w:w="3801"/>
        <w:gridCol w:w="4553"/>
      </w:tblGrid>
      <w:tr w:rsidR="00F44017" w:rsidRPr="00B923D6" w14:paraId="5910F27F" w14:textId="77777777" w:rsidTr="002E13B1">
        <w:trPr>
          <w:jc w:val="center"/>
        </w:trPr>
        <w:tc>
          <w:tcPr>
            <w:tcW w:w="966" w:type="dxa"/>
            <w:shd w:val="clear" w:color="auto" w:fill="D9D9D9"/>
            <w:vAlign w:val="center"/>
          </w:tcPr>
          <w:p w14:paraId="7CD3B490" w14:textId="77777777" w:rsidR="00F44017" w:rsidRPr="00B923D6" w:rsidRDefault="00F44017" w:rsidP="002E13B1">
            <w:pPr>
              <w:pStyle w:val="TAH"/>
            </w:pPr>
          </w:p>
        </w:tc>
        <w:tc>
          <w:tcPr>
            <w:tcW w:w="3688" w:type="dxa"/>
            <w:shd w:val="clear" w:color="auto" w:fill="D9D9D9"/>
            <w:vAlign w:val="center"/>
          </w:tcPr>
          <w:p w14:paraId="60C2E123" w14:textId="77777777" w:rsidR="00F44017" w:rsidRPr="00B923D6" w:rsidRDefault="00F44017" w:rsidP="002E13B1">
            <w:pPr>
              <w:pStyle w:val="TAH"/>
            </w:pPr>
            <w:r w:rsidRPr="00B923D6">
              <w:t>Typical cell size</w:t>
            </w:r>
          </w:p>
        </w:tc>
        <w:tc>
          <w:tcPr>
            <w:tcW w:w="4417" w:type="dxa"/>
            <w:shd w:val="clear" w:color="auto" w:fill="D9D9D9"/>
            <w:vAlign w:val="center"/>
          </w:tcPr>
          <w:p w14:paraId="2F43DA0D" w14:textId="77777777" w:rsidR="00F44017" w:rsidRPr="00B923D6" w:rsidRDefault="00F44017" w:rsidP="002E13B1">
            <w:pPr>
              <w:pStyle w:val="TAH"/>
            </w:pPr>
            <w:r w:rsidRPr="00B923D6">
              <w:t xml:space="preserve">Maximum delay difference*2 </w:t>
            </w:r>
          </w:p>
        </w:tc>
      </w:tr>
      <w:tr w:rsidR="00F44017" w:rsidRPr="00B923D6" w14:paraId="1C789FDB" w14:textId="77777777" w:rsidTr="002E13B1">
        <w:trPr>
          <w:jc w:val="center"/>
        </w:trPr>
        <w:tc>
          <w:tcPr>
            <w:tcW w:w="966" w:type="dxa"/>
            <w:vMerge w:val="restart"/>
            <w:vAlign w:val="center"/>
          </w:tcPr>
          <w:p w14:paraId="7A33E0CD" w14:textId="77777777" w:rsidR="00F44017" w:rsidRPr="00B923D6" w:rsidRDefault="00F44017" w:rsidP="002E13B1">
            <w:pPr>
              <w:pStyle w:val="TAC"/>
            </w:pPr>
            <w:r w:rsidRPr="00B923D6">
              <w:rPr>
                <w:rStyle w:val="Strong"/>
                <w:b w:val="0"/>
                <w:bCs w:val="0"/>
              </w:rPr>
              <w:t>GEO</w:t>
            </w:r>
          </w:p>
        </w:tc>
        <w:tc>
          <w:tcPr>
            <w:tcW w:w="3688" w:type="dxa"/>
            <w:vAlign w:val="center"/>
          </w:tcPr>
          <w:p w14:paraId="3344238A" w14:textId="77777777" w:rsidR="00F44017" w:rsidRPr="00B923D6" w:rsidRDefault="00F44017" w:rsidP="002E13B1">
            <w:pPr>
              <w:pStyle w:val="TAC"/>
              <w:rPr>
                <w:rStyle w:val="Strong"/>
                <w:b w:val="0"/>
                <w:bCs w:val="0"/>
              </w:rPr>
            </w:pPr>
            <w:r w:rsidRPr="00B923D6">
              <w:rPr>
                <w:rStyle w:val="Strong"/>
                <w:b w:val="0"/>
                <w:bCs w:val="0"/>
              </w:rPr>
              <w:t>1000 km</w:t>
            </w:r>
          </w:p>
        </w:tc>
        <w:tc>
          <w:tcPr>
            <w:tcW w:w="4417" w:type="dxa"/>
            <w:vAlign w:val="center"/>
          </w:tcPr>
          <w:p w14:paraId="581443C4" w14:textId="77777777" w:rsidR="00F44017" w:rsidRPr="00B923D6" w:rsidRDefault="00F44017" w:rsidP="002E13B1">
            <w:pPr>
              <w:pStyle w:val="TAC"/>
              <w:rPr>
                <w:rStyle w:val="Strong"/>
                <w:b w:val="0"/>
                <w:bCs w:val="0"/>
              </w:rPr>
            </w:pPr>
            <w:r w:rsidRPr="00B923D6">
              <w:rPr>
                <w:rStyle w:val="Strong"/>
                <w:b w:val="0"/>
                <w:bCs w:val="0"/>
              </w:rPr>
              <w:t>6.44ms</w:t>
            </w:r>
          </w:p>
        </w:tc>
      </w:tr>
      <w:tr w:rsidR="00F44017" w:rsidRPr="00B923D6" w14:paraId="6627D789" w14:textId="77777777" w:rsidTr="002E13B1">
        <w:trPr>
          <w:jc w:val="center"/>
        </w:trPr>
        <w:tc>
          <w:tcPr>
            <w:tcW w:w="966" w:type="dxa"/>
            <w:vMerge/>
            <w:vAlign w:val="center"/>
          </w:tcPr>
          <w:p w14:paraId="5A994C61" w14:textId="77777777" w:rsidR="00F44017" w:rsidRPr="00B923D6" w:rsidRDefault="00F44017" w:rsidP="002E13B1">
            <w:pPr>
              <w:pStyle w:val="TAC"/>
            </w:pPr>
          </w:p>
        </w:tc>
        <w:tc>
          <w:tcPr>
            <w:tcW w:w="3688" w:type="dxa"/>
            <w:vAlign w:val="center"/>
          </w:tcPr>
          <w:p w14:paraId="46140B71" w14:textId="77777777" w:rsidR="00F44017" w:rsidRPr="00B923D6" w:rsidRDefault="00F44017" w:rsidP="002E13B1">
            <w:pPr>
              <w:pStyle w:val="TAC"/>
              <w:rPr>
                <w:rStyle w:val="Strong"/>
                <w:b w:val="0"/>
                <w:bCs w:val="0"/>
              </w:rPr>
            </w:pPr>
            <w:r w:rsidRPr="00B923D6">
              <w:rPr>
                <w:rStyle w:val="Strong"/>
                <w:b w:val="0"/>
                <w:bCs w:val="0"/>
              </w:rPr>
              <w:t>500km</w:t>
            </w:r>
          </w:p>
        </w:tc>
        <w:tc>
          <w:tcPr>
            <w:tcW w:w="4417" w:type="dxa"/>
            <w:vAlign w:val="center"/>
          </w:tcPr>
          <w:p w14:paraId="0A07BE9A" w14:textId="77777777" w:rsidR="00F44017" w:rsidRPr="00B923D6" w:rsidRDefault="00F44017" w:rsidP="002E13B1">
            <w:pPr>
              <w:pStyle w:val="TAC"/>
              <w:rPr>
                <w:rStyle w:val="Strong"/>
                <w:b w:val="0"/>
                <w:bCs w:val="0"/>
              </w:rPr>
            </w:pPr>
            <w:r w:rsidRPr="00B923D6">
              <w:rPr>
                <w:rStyle w:val="Strong"/>
                <w:b w:val="0"/>
                <w:bCs w:val="0"/>
              </w:rPr>
              <w:t>3.26ms</w:t>
            </w:r>
          </w:p>
        </w:tc>
      </w:tr>
      <w:tr w:rsidR="00F44017" w:rsidRPr="00B923D6" w14:paraId="64689A3A" w14:textId="77777777" w:rsidTr="002E13B1">
        <w:trPr>
          <w:jc w:val="center"/>
        </w:trPr>
        <w:tc>
          <w:tcPr>
            <w:tcW w:w="966" w:type="dxa"/>
            <w:vMerge w:val="restart"/>
            <w:vAlign w:val="center"/>
          </w:tcPr>
          <w:p w14:paraId="21848873" w14:textId="77777777" w:rsidR="00F44017" w:rsidRPr="00B923D6" w:rsidRDefault="00F44017" w:rsidP="002E13B1">
            <w:pPr>
              <w:pStyle w:val="TAC"/>
            </w:pPr>
            <w:r w:rsidRPr="00B923D6">
              <w:t>LEO</w:t>
            </w:r>
          </w:p>
        </w:tc>
        <w:tc>
          <w:tcPr>
            <w:tcW w:w="3688" w:type="dxa"/>
            <w:vAlign w:val="center"/>
          </w:tcPr>
          <w:p w14:paraId="747369E8" w14:textId="77777777" w:rsidR="00F44017" w:rsidRPr="00B923D6" w:rsidRDefault="00F44017" w:rsidP="002E13B1">
            <w:pPr>
              <w:pStyle w:val="TAC"/>
              <w:rPr>
                <w:rStyle w:val="Strong"/>
                <w:b w:val="0"/>
                <w:bCs w:val="0"/>
              </w:rPr>
            </w:pPr>
            <w:r w:rsidRPr="00B923D6">
              <w:rPr>
                <w:rStyle w:val="Strong"/>
                <w:b w:val="0"/>
                <w:bCs w:val="0"/>
              </w:rPr>
              <w:t>200 km</w:t>
            </w:r>
          </w:p>
        </w:tc>
        <w:tc>
          <w:tcPr>
            <w:tcW w:w="4417" w:type="dxa"/>
            <w:vAlign w:val="center"/>
          </w:tcPr>
          <w:p w14:paraId="0AB2EA16" w14:textId="77777777" w:rsidR="00F44017" w:rsidRPr="00450CE8" w:rsidRDefault="00F44017" w:rsidP="002E13B1">
            <w:pPr>
              <w:pStyle w:val="TAC"/>
            </w:pPr>
            <w:r w:rsidRPr="00B923D6">
              <w:rPr>
                <w:rStyle w:val="Strong"/>
                <w:b w:val="0"/>
                <w:bCs w:val="0"/>
              </w:rPr>
              <w:t>LEO600:1.306ms</w:t>
            </w:r>
          </w:p>
          <w:p w14:paraId="0CCB0AC3" w14:textId="77777777" w:rsidR="00F44017" w:rsidRPr="00450CE8" w:rsidRDefault="00F44017" w:rsidP="002E13B1">
            <w:pPr>
              <w:pStyle w:val="TAC"/>
              <w:rPr>
                <w:rFonts w:eastAsia="SimSun"/>
              </w:rPr>
            </w:pPr>
            <w:r w:rsidRPr="00B923D6">
              <w:rPr>
                <w:rStyle w:val="Strong"/>
                <w:b w:val="0"/>
                <w:bCs w:val="0"/>
              </w:rPr>
              <w:t>LEO1200: 1.308ms</w:t>
            </w:r>
          </w:p>
        </w:tc>
      </w:tr>
      <w:tr w:rsidR="00F44017" w:rsidRPr="00B923D6" w14:paraId="5E3CC01E" w14:textId="77777777" w:rsidTr="002E13B1">
        <w:trPr>
          <w:jc w:val="center"/>
        </w:trPr>
        <w:tc>
          <w:tcPr>
            <w:tcW w:w="966" w:type="dxa"/>
            <w:vMerge/>
            <w:vAlign w:val="center"/>
          </w:tcPr>
          <w:p w14:paraId="1BF1968A" w14:textId="77777777" w:rsidR="00F44017" w:rsidRPr="00B923D6" w:rsidRDefault="00F44017" w:rsidP="002E13B1">
            <w:pPr>
              <w:pStyle w:val="TAC"/>
            </w:pPr>
          </w:p>
        </w:tc>
        <w:tc>
          <w:tcPr>
            <w:tcW w:w="3688" w:type="dxa"/>
            <w:vAlign w:val="center"/>
          </w:tcPr>
          <w:p w14:paraId="1E28DC17" w14:textId="77777777" w:rsidR="00F44017" w:rsidRPr="00B923D6" w:rsidRDefault="00F44017" w:rsidP="002E13B1">
            <w:pPr>
              <w:pStyle w:val="TAC"/>
              <w:rPr>
                <w:rStyle w:val="Strong"/>
                <w:b w:val="0"/>
                <w:bCs w:val="0"/>
              </w:rPr>
            </w:pPr>
            <w:r w:rsidRPr="00B923D6">
              <w:rPr>
                <w:rStyle w:val="Strong"/>
                <w:b w:val="0"/>
                <w:bCs w:val="0"/>
              </w:rPr>
              <w:t>100 km</w:t>
            </w:r>
          </w:p>
        </w:tc>
        <w:tc>
          <w:tcPr>
            <w:tcW w:w="4417" w:type="dxa"/>
            <w:vAlign w:val="center"/>
          </w:tcPr>
          <w:p w14:paraId="20901B6D" w14:textId="77777777" w:rsidR="00F44017" w:rsidRPr="00450CE8" w:rsidRDefault="00F44017" w:rsidP="002E13B1">
            <w:pPr>
              <w:pStyle w:val="TAC"/>
            </w:pPr>
            <w:r w:rsidRPr="00B923D6">
              <w:rPr>
                <w:rStyle w:val="Strong"/>
                <w:b w:val="0"/>
                <w:bCs w:val="0"/>
              </w:rPr>
              <w:t>LEO600: 0.654ms</w:t>
            </w:r>
          </w:p>
          <w:p w14:paraId="5378D97F" w14:textId="77777777" w:rsidR="00F44017" w:rsidRPr="00B923D6" w:rsidRDefault="00F44017" w:rsidP="002E13B1">
            <w:pPr>
              <w:pStyle w:val="TAC"/>
              <w:rPr>
                <w:rStyle w:val="Strong"/>
                <w:b w:val="0"/>
                <w:bCs w:val="0"/>
              </w:rPr>
            </w:pPr>
            <w:r w:rsidRPr="00B923D6">
              <w:rPr>
                <w:rStyle w:val="Strong"/>
                <w:b w:val="0"/>
                <w:bCs w:val="0"/>
              </w:rPr>
              <w:t>LEO1200:0.654ms</w:t>
            </w:r>
          </w:p>
        </w:tc>
      </w:tr>
    </w:tbl>
    <w:p w14:paraId="6759D881" w14:textId="1B6774C1" w:rsidR="00F44017" w:rsidRDefault="00F44017" w:rsidP="00F44017">
      <w:pPr>
        <w:jc w:val="center"/>
        <w:rPr>
          <w:b/>
          <w:bCs/>
        </w:rPr>
      </w:pPr>
      <w:r w:rsidRPr="00F44017">
        <w:rPr>
          <w:b/>
          <w:bCs/>
        </w:rPr>
        <w:t>Table 1: Maximum delay difference*2 for typical GEO and LEO cell [2]</w:t>
      </w:r>
    </w:p>
    <w:p w14:paraId="6AF6C4B6" w14:textId="3CAF65A1" w:rsidR="00F44017" w:rsidRDefault="00F44017" w:rsidP="00F44017">
      <w:r>
        <w:t xml:space="preserve">So far, we can </w:t>
      </w:r>
      <w:r w:rsidR="723973E8">
        <w:t>rely</w:t>
      </w:r>
      <w:r>
        <w:t xml:space="preserve"> on network configuration to make sure that for different cell size, the RACH interval will be configuration correctly such that there is no overlapping.</w:t>
      </w:r>
    </w:p>
    <w:p w14:paraId="4AC12465" w14:textId="320D9FE3" w:rsidR="00670606" w:rsidRDefault="00F44017" w:rsidP="00F44017">
      <w:pPr>
        <w:rPr>
          <w:b/>
          <w:bCs/>
        </w:rPr>
      </w:pPr>
      <w:r w:rsidRPr="00850251">
        <w:rPr>
          <w:b/>
          <w:bCs/>
        </w:rPr>
        <w:t xml:space="preserve">Proposal 1: Rely on network </w:t>
      </w:r>
      <w:r w:rsidR="00670606" w:rsidRPr="00850251">
        <w:rPr>
          <w:b/>
          <w:bCs/>
        </w:rPr>
        <w:t xml:space="preserve">implementation to make sure that the </w:t>
      </w:r>
      <w:r w:rsidR="002C1605" w:rsidRPr="00850251">
        <w:rPr>
          <w:b/>
          <w:bCs/>
        </w:rPr>
        <w:t xml:space="preserve">RACH </w:t>
      </w:r>
      <w:r w:rsidR="00670606" w:rsidRPr="00850251">
        <w:rPr>
          <w:b/>
          <w:bCs/>
        </w:rPr>
        <w:t xml:space="preserve">interval </w:t>
      </w:r>
      <w:r w:rsidR="00B952FD" w:rsidRPr="00850251">
        <w:rPr>
          <w:b/>
          <w:bCs/>
        </w:rPr>
        <w:t xml:space="preserve">between RACH occasions </w:t>
      </w:r>
      <w:r w:rsidR="00670606" w:rsidRPr="00850251">
        <w:rPr>
          <w:b/>
          <w:bCs/>
        </w:rPr>
        <w:t xml:space="preserve">is larger than the maximum delay difference </w:t>
      </w:r>
      <w:r w:rsidR="002C1605" w:rsidRPr="00850251">
        <w:rPr>
          <w:b/>
          <w:bCs/>
        </w:rPr>
        <w:t xml:space="preserve">(based on cell size) </w:t>
      </w:r>
      <w:r w:rsidR="00670606" w:rsidRPr="00850251">
        <w:rPr>
          <w:b/>
          <w:bCs/>
        </w:rPr>
        <w:t>*2</w:t>
      </w:r>
      <w:r w:rsidR="00850251" w:rsidRPr="00850251">
        <w:rPr>
          <w:b/>
          <w:bCs/>
        </w:rPr>
        <w:t xml:space="preserve"> such that there is no overlapping.</w:t>
      </w:r>
    </w:p>
    <w:p w14:paraId="0BDAC2D7" w14:textId="3397BA0F" w:rsidR="003F729C" w:rsidRDefault="006C017B" w:rsidP="00F44017">
      <w:r>
        <w:t>In terrestrial communication, UE usually receives RAR within few milliseconds after UE send</w:t>
      </w:r>
      <w:r w:rsidR="0048126D">
        <w:t>s</w:t>
      </w:r>
      <w:r>
        <w:t xml:space="preserve"> RACH. Unlike terrestrial communication, it will take much longer for the UE to receive RAR due to the long propagation delay in NTN. It is suggested to introduce an offset for </w:t>
      </w:r>
      <w:r w:rsidRPr="11F9231D">
        <w:rPr>
          <w:i/>
          <w:iCs/>
        </w:rPr>
        <w:t>ra-ResponseWindow</w:t>
      </w:r>
      <w:r>
        <w:t>.  This offset may be estimate by the network based on the height of the satell</w:t>
      </w:r>
      <w:r w:rsidR="0048126D">
        <w:t>it</w:t>
      </w:r>
      <w:r>
        <w:t xml:space="preserve">e and can be the minimum one-way communication *2. This common offset can be broadcasted by network. </w:t>
      </w:r>
    </w:p>
    <w:p w14:paraId="5EC99303" w14:textId="558B1D60" w:rsidR="00494344" w:rsidRPr="00C52A75" w:rsidRDefault="00494344" w:rsidP="00F44017">
      <w:pPr>
        <w:rPr>
          <w:b/>
          <w:bCs/>
        </w:rPr>
      </w:pPr>
      <w:r w:rsidRPr="00C52A75">
        <w:rPr>
          <w:b/>
          <w:bCs/>
        </w:rPr>
        <w:t>Proposal 2: Introduce a</w:t>
      </w:r>
      <w:r w:rsidR="00601A78" w:rsidRPr="00C52A75">
        <w:rPr>
          <w:b/>
          <w:bCs/>
        </w:rPr>
        <w:t xml:space="preserve"> common</w:t>
      </w:r>
      <w:r w:rsidRPr="00C52A75">
        <w:rPr>
          <w:b/>
          <w:bCs/>
        </w:rPr>
        <w:t xml:space="preserve"> offset for </w:t>
      </w:r>
      <w:r w:rsidR="00601A78" w:rsidRPr="00C52A75">
        <w:rPr>
          <w:b/>
          <w:bCs/>
        </w:rPr>
        <w:t xml:space="preserve">RA </w:t>
      </w:r>
      <w:r w:rsidRPr="00C52A75">
        <w:rPr>
          <w:b/>
          <w:bCs/>
        </w:rPr>
        <w:t>Response</w:t>
      </w:r>
      <w:r w:rsidR="00601A78" w:rsidRPr="00C52A75">
        <w:rPr>
          <w:b/>
          <w:bCs/>
        </w:rPr>
        <w:t xml:space="preserve"> window. Network will estimate this offset based on </w:t>
      </w:r>
      <w:r w:rsidR="00C52A75" w:rsidRPr="00C52A75">
        <w:rPr>
          <w:b/>
          <w:bCs/>
        </w:rPr>
        <w:t>the height of the satellite.</w:t>
      </w:r>
      <w:r w:rsidR="00601A78" w:rsidRPr="00C52A75">
        <w:rPr>
          <w:b/>
          <w:bCs/>
        </w:rPr>
        <w:t xml:space="preserve"> </w:t>
      </w:r>
    </w:p>
    <w:p w14:paraId="47F4D482" w14:textId="76371134" w:rsidR="00F44017" w:rsidRDefault="00C52A75" w:rsidP="00F44017">
      <w:proofErr w:type="gramStart"/>
      <w:r>
        <w:t>Similar to</w:t>
      </w:r>
      <w:proofErr w:type="gramEnd"/>
      <w:r>
        <w:t xml:space="preserve"> TA, </w:t>
      </w:r>
      <w:r w:rsidR="00073C34">
        <w:t xml:space="preserve">network can pre-configure a mapping of </w:t>
      </w:r>
      <w:r>
        <w:t xml:space="preserve">a </w:t>
      </w:r>
      <w:r w:rsidR="00073C34">
        <w:t xml:space="preserve">set of </w:t>
      </w:r>
      <w:r>
        <w:t xml:space="preserve">UE specific offset </w:t>
      </w:r>
      <w:r w:rsidR="00FD56C3">
        <w:t xml:space="preserve">based on distance. Then UE can apply the UE specific offset based on the </w:t>
      </w:r>
      <w:r w:rsidR="00967C31">
        <w:t>calculate</w:t>
      </w:r>
      <w:r w:rsidR="00FD56C3">
        <w:t>d</w:t>
      </w:r>
      <w:r w:rsidR="006C017B">
        <w:t xml:space="preserve"> </w:t>
      </w:r>
      <w:r w:rsidR="00967C31">
        <w:t xml:space="preserve">distance </w:t>
      </w:r>
      <w:r w:rsidR="00FD56C3">
        <w:t>between the network and UE. The final offset for the RA Response window will be common offset + UE specific offset.</w:t>
      </w:r>
    </w:p>
    <w:p w14:paraId="399BDCD2" w14:textId="6B811C29" w:rsidR="00FD56C3" w:rsidRPr="00FD56C3" w:rsidRDefault="00FD56C3" w:rsidP="00F44017">
      <w:pPr>
        <w:rPr>
          <w:b/>
          <w:bCs/>
        </w:rPr>
      </w:pPr>
      <w:r w:rsidRPr="00FD56C3">
        <w:rPr>
          <w:b/>
          <w:bCs/>
        </w:rPr>
        <w:t>Proposal 3: FFS on UE specific offset based on distance</w:t>
      </w:r>
      <w:r>
        <w:rPr>
          <w:b/>
          <w:bCs/>
        </w:rPr>
        <w:t xml:space="preserve"> between the UE and satellite</w:t>
      </w:r>
      <w:r w:rsidRPr="00FD56C3">
        <w:rPr>
          <w:b/>
          <w:bCs/>
        </w:rPr>
        <w:t xml:space="preserve">. </w:t>
      </w:r>
    </w:p>
    <w:p w14:paraId="19A67665" w14:textId="66DA20AD" w:rsidR="00967C31" w:rsidRDefault="00967C31" w:rsidP="00F44017">
      <w:r>
        <w:t xml:space="preserve">If both common offset and UE specific offset are introduced for </w:t>
      </w:r>
      <w:r w:rsidRPr="006C017B">
        <w:rPr>
          <w:i/>
          <w:iCs/>
        </w:rPr>
        <w:t>ra-ResponseWindow</w:t>
      </w:r>
      <w:r>
        <w:t xml:space="preserve">, then the RAR window size may not need to be extended for UE with location capability. </w:t>
      </w:r>
    </w:p>
    <w:p w14:paraId="6455F99B" w14:textId="7722AFAE" w:rsidR="002367D6" w:rsidRDefault="00967C31" w:rsidP="00F44017">
      <w:pPr>
        <w:rPr>
          <w:b/>
          <w:bCs/>
        </w:rPr>
      </w:pPr>
      <w:r w:rsidRPr="00967C31">
        <w:rPr>
          <w:b/>
          <w:bCs/>
        </w:rPr>
        <w:t xml:space="preserve">Proposal </w:t>
      </w:r>
      <w:r w:rsidR="00A30225">
        <w:rPr>
          <w:b/>
          <w:bCs/>
        </w:rPr>
        <w:t>4</w:t>
      </w:r>
      <w:r w:rsidRPr="00967C31">
        <w:rPr>
          <w:b/>
          <w:bCs/>
        </w:rPr>
        <w:t xml:space="preserve">: </w:t>
      </w:r>
      <w:r w:rsidRPr="00967C31">
        <w:rPr>
          <w:b/>
          <w:bCs/>
          <w:i/>
          <w:iCs/>
        </w:rPr>
        <w:t>ra-ResponseWindow</w:t>
      </w:r>
      <w:r w:rsidRPr="00967C31">
        <w:rPr>
          <w:b/>
          <w:bCs/>
        </w:rPr>
        <w:t xml:space="preserve"> does not need to be extended</w:t>
      </w:r>
      <w:r w:rsidR="002367D6">
        <w:rPr>
          <w:b/>
          <w:bCs/>
        </w:rPr>
        <w:t>.</w:t>
      </w:r>
    </w:p>
    <w:p w14:paraId="20D1B600" w14:textId="0CF733C9" w:rsidR="00631EC4" w:rsidRDefault="00557EEB" w:rsidP="00F44017">
      <w:r>
        <w:t>The contention resolution timer</w:t>
      </w:r>
      <w:r w:rsidR="00631EC4">
        <w:t xml:space="preserve"> is large enough for the roundtrip delay for NTN. During the study item, potenti</w:t>
      </w:r>
      <w:r w:rsidR="1EB4456B">
        <w:t>al</w:t>
      </w:r>
      <w:r w:rsidR="00631EC4">
        <w:t xml:space="preserve"> solution </w:t>
      </w:r>
      <w:r w:rsidR="25FC4415">
        <w:t>considered</w:t>
      </w:r>
      <w:r w:rsidR="00631EC4">
        <w:t xml:space="preserve"> to save UE power </w:t>
      </w:r>
      <w:r w:rsidR="3171B5BA">
        <w:t>was</w:t>
      </w:r>
      <w:r w:rsidR="00EA7B64">
        <w:t xml:space="preserve"> </w:t>
      </w:r>
      <w:r w:rsidR="00631EC4">
        <w:t>to introduce an offset to start the time</w:t>
      </w:r>
      <w:r w:rsidR="000C6F1F">
        <w:t>r</w:t>
      </w:r>
      <w:r w:rsidR="00631EC4">
        <w:t xml:space="preserve">. </w:t>
      </w:r>
      <w:r w:rsidR="008E5BB5">
        <w:t xml:space="preserve">We think that it is reasonable to </w:t>
      </w:r>
      <w:r w:rsidR="005E1F82">
        <w:t>introduce such offset</w:t>
      </w:r>
      <w:r w:rsidR="00631EC4" w:rsidRPr="0256D878">
        <w:rPr>
          <w:i/>
          <w:iCs/>
        </w:rPr>
        <w:t>.</w:t>
      </w:r>
    </w:p>
    <w:p w14:paraId="02D5B6FD" w14:textId="7BF0BDDB" w:rsidR="009100D3" w:rsidRDefault="00631EC4" w:rsidP="00547E1B">
      <w:pPr>
        <w:rPr>
          <w:b/>
          <w:bCs/>
        </w:rPr>
      </w:pPr>
      <w:r w:rsidRPr="00631EC4">
        <w:rPr>
          <w:b/>
          <w:bCs/>
        </w:rPr>
        <w:t xml:space="preserve">Proposal </w:t>
      </w:r>
      <w:r w:rsidR="00A30225">
        <w:rPr>
          <w:b/>
          <w:bCs/>
        </w:rPr>
        <w:t>5</w:t>
      </w:r>
      <w:r w:rsidRPr="00631EC4">
        <w:rPr>
          <w:b/>
          <w:bCs/>
        </w:rPr>
        <w:t xml:space="preserve">: </w:t>
      </w:r>
      <w:r w:rsidR="005E1F82">
        <w:rPr>
          <w:b/>
          <w:bCs/>
        </w:rPr>
        <w:t xml:space="preserve">Introduce an offset </w:t>
      </w:r>
      <w:r w:rsidR="00547E1B">
        <w:rPr>
          <w:b/>
          <w:bCs/>
        </w:rPr>
        <w:t xml:space="preserve">for the </w:t>
      </w:r>
      <w:r w:rsidRPr="00631EC4">
        <w:rPr>
          <w:b/>
          <w:bCs/>
        </w:rPr>
        <w:t xml:space="preserve">UE </w:t>
      </w:r>
      <w:r w:rsidR="00547E1B">
        <w:rPr>
          <w:b/>
          <w:bCs/>
        </w:rPr>
        <w:t xml:space="preserve">to </w:t>
      </w:r>
      <w:r w:rsidRPr="00631EC4">
        <w:rPr>
          <w:b/>
          <w:bCs/>
        </w:rPr>
        <w:t>start the contention resolution timer</w:t>
      </w:r>
      <w:r w:rsidR="00547E1B">
        <w:rPr>
          <w:b/>
          <w:bCs/>
        </w:rPr>
        <w:t>.</w:t>
      </w:r>
      <w:r w:rsidRPr="00631EC4">
        <w:rPr>
          <w:b/>
          <w:bCs/>
        </w:rPr>
        <w:t xml:space="preserve"> </w:t>
      </w:r>
    </w:p>
    <w:p w14:paraId="7162A94C" w14:textId="77777777" w:rsidR="00547E1B" w:rsidRPr="00631EC4" w:rsidRDefault="00547E1B" w:rsidP="00547E1B">
      <w:pPr>
        <w:rPr>
          <w:b/>
          <w:bCs/>
          <w:i/>
          <w:iCs/>
        </w:rPr>
      </w:pPr>
    </w:p>
    <w:p w14:paraId="6E8A65F6" w14:textId="5A51E575" w:rsidR="00631EC4" w:rsidRPr="00631EC4" w:rsidRDefault="00631EC4" w:rsidP="00F44017">
      <w:pPr>
        <w:rPr>
          <w:b/>
          <w:bCs/>
          <w:u w:val="single"/>
        </w:rPr>
      </w:pPr>
      <w:r w:rsidRPr="00631EC4">
        <w:rPr>
          <w:b/>
          <w:bCs/>
          <w:u w:val="single"/>
        </w:rPr>
        <w:t>DRX</w:t>
      </w:r>
    </w:p>
    <w:p w14:paraId="67BF4215" w14:textId="1A3CBA15" w:rsidR="00D10AE3" w:rsidRDefault="00034120" w:rsidP="00872482">
      <w:r>
        <w:t xml:space="preserve">During study item, </w:t>
      </w:r>
      <w:r w:rsidR="005C30EA">
        <w:t>it has been</w:t>
      </w:r>
      <w:r>
        <w:t xml:space="preserve"> identified that DRX can be enhanced</w:t>
      </w:r>
      <w:r w:rsidR="005C30EA">
        <w:t xml:space="preserve"> to save UE power consumption </w:t>
      </w:r>
      <w:r w:rsidR="006C5334">
        <w:t xml:space="preserve">so that UE doesn’t have to continuously monitoring PDCCH during long propagation delay timing (during this time, it </w:t>
      </w:r>
      <w:bookmarkStart w:id="1" w:name="_GoBack"/>
      <w:bookmarkEnd w:id="1"/>
      <w:r w:rsidR="006C5334">
        <w:t>expect</w:t>
      </w:r>
      <w:r w:rsidR="5520E481">
        <w:t>s</w:t>
      </w:r>
      <w:r w:rsidR="006C5334">
        <w:t xml:space="preserve"> no downlink traffic). </w:t>
      </w:r>
      <w:r w:rsidR="00D10AE3">
        <w:t>The potential solution suggested that network can configure an offset after UE send</w:t>
      </w:r>
      <w:r w:rsidR="6BBA73B3">
        <w:t>s</w:t>
      </w:r>
      <w:r w:rsidR="00D10AE3">
        <w:t xml:space="preserve"> SR or repl</w:t>
      </w:r>
      <w:r w:rsidR="1E7F7D4B">
        <w:t>ies</w:t>
      </w:r>
      <w:r w:rsidR="00D10AE3">
        <w:t xml:space="preserve"> to the RAR in CFRA. Figure below shows the active time window for legacy UE required to monitor PDCCH after the SR is sent and waiting for an UL grant. However, in NTN scenario, </w:t>
      </w:r>
      <w:r w:rsidR="001F7201">
        <w:t xml:space="preserve">if the </w:t>
      </w:r>
      <w:r w:rsidR="005C674C">
        <w:t xml:space="preserve">active time starts immediately upon transmission of the SR, </w:t>
      </w:r>
      <w:r w:rsidR="00D10AE3">
        <w:t>this active time can be very long</w:t>
      </w:r>
      <w:r w:rsidR="00626859">
        <w:t xml:space="preserve"> due to the long propagation delay</w:t>
      </w:r>
      <w:r w:rsidR="00D10AE3">
        <w:t xml:space="preserve"> </w:t>
      </w:r>
      <w:r w:rsidR="007A1B90">
        <w:t xml:space="preserve">(e.g. </w:t>
      </w:r>
      <w:r w:rsidR="005941BF">
        <w:t>270</w:t>
      </w:r>
      <w:r w:rsidR="001D4C93">
        <w:t xml:space="preserve">ms for </w:t>
      </w:r>
      <w:r w:rsidR="005941BF">
        <w:t xml:space="preserve">GEO </w:t>
      </w:r>
      <w:r w:rsidR="00206298">
        <w:t>and 41ms for LEO</w:t>
      </w:r>
      <w:r w:rsidR="001D4C93">
        <w:t>)</w:t>
      </w:r>
      <w:r w:rsidR="00206298">
        <w:t xml:space="preserve"> </w:t>
      </w:r>
      <w:r w:rsidR="00D10AE3">
        <w:t>and hence</w:t>
      </w:r>
      <w:r w:rsidR="496E36D4">
        <w:t xml:space="preserve"> can</w:t>
      </w:r>
      <w:r w:rsidR="00D10AE3">
        <w:t xml:space="preserve"> consume more UE power. It is reasonable to use an offset </w:t>
      </w:r>
      <w:r w:rsidR="00DE5DBD">
        <w:t>propagation delay</w:t>
      </w:r>
      <w:r w:rsidR="00AA0E4F">
        <w:t xml:space="preserve"> </w:t>
      </w:r>
      <w:r w:rsidR="00C17864">
        <w:t>that is equal to twice the propagation delay</w:t>
      </w:r>
      <w:r w:rsidR="00D10AE3">
        <w:t xml:space="preserve"> </w:t>
      </w:r>
      <w:r w:rsidR="008A1D9F">
        <w:t xml:space="preserve"> </w:t>
      </w:r>
    </w:p>
    <w:p w14:paraId="363E3CD0" w14:textId="30EB7222" w:rsidR="006331A1" w:rsidRDefault="008A1D9F" w:rsidP="008A1D9F">
      <w:pPr>
        <w:jc w:val="center"/>
      </w:pPr>
      <w:r>
        <w:rPr>
          <w:noProof/>
        </w:rPr>
        <w:lastRenderedPageBreak/>
        <w:drawing>
          <wp:inline distT="0" distB="0" distL="0" distR="0" wp14:anchorId="258B6D48" wp14:editId="0A5821AD">
            <wp:extent cx="3692525" cy="2391410"/>
            <wp:effectExtent l="0" t="0" r="3175" b="0"/>
            <wp:docPr id="3559532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0">
                      <a:extLst>
                        <a:ext uri="{28A0092B-C50C-407E-A947-70E740481C1C}">
                          <a14:useLocalDpi xmlns:a14="http://schemas.microsoft.com/office/drawing/2010/main" val="0"/>
                        </a:ext>
                      </a:extLst>
                    </a:blip>
                    <a:stretch>
                      <a:fillRect/>
                    </a:stretch>
                  </pic:blipFill>
                  <pic:spPr>
                    <a:xfrm>
                      <a:off x="0" y="0"/>
                      <a:ext cx="3692525" cy="2391410"/>
                    </a:xfrm>
                    <a:prstGeom prst="rect">
                      <a:avLst/>
                    </a:prstGeom>
                  </pic:spPr>
                </pic:pic>
              </a:graphicData>
            </a:graphic>
          </wp:inline>
        </w:drawing>
      </w:r>
    </w:p>
    <w:p w14:paraId="1E464597" w14:textId="2E183B0B" w:rsidR="00E1416F" w:rsidRPr="00A90872" w:rsidRDefault="00E1416F" w:rsidP="00E1416F">
      <w:pPr>
        <w:pStyle w:val="TF"/>
      </w:pPr>
      <w:r w:rsidRPr="00A90872">
        <w:t>Figure 7.2.1.2-1: Example of UE-initiated active period time after sending SR</w:t>
      </w:r>
      <w:r>
        <w:t xml:space="preserve"> [2]</w:t>
      </w:r>
    </w:p>
    <w:p w14:paraId="53865F30" w14:textId="77777777" w:rsidR="008A1D9F" w:rsidRPr="00872482" w:rsidRDefault="008A1D9F" w:rsidP="008A1D9F">
      <w:pPr>
        <w:jc w:val="center"/>
      </w:pPr>
    </w:p>
    <w:p w14:paraId="7BE31162" w14:textId="18F3F5A2" w:rsidR="009638A3" w:rsidRDefault="00B5097A" w:rsidP="00B5097A">
      <w:pPr>
        <w:rPr>
          <w:b/>
          <w:bCs/>
        </w:rPr>
      </w:pPr>
      <w:r>
        <w:rPr>
          <w:b/>
          <w:bCs/>
        </w:rPr>
        <w:t xml:space="preserve">Proposal </w:t>
      </w:r>
      <w:r w:rsidR="00A30225">
        <w:rPr>
          <w:b/>
          <w:bCs/>
        </w:rPr>
        <w:t>6</w:t>
      </w:r>
      <w:r>
        <w:rPr>
          <w:b/>
          <w:bCs/>
        </w:rPr>
        <w:t xml:space="preserve">: </w:t>
      </w:r>
      <w:r w:rsidR="00872482">
        <w:rPr>
          <w:b/>
          <w:bCs/>
        </w:rPr>
        <w:t xml:space="preserve">Introduce an offset </w:t>
      </w:r>
      <w:r w:rsidR="00EA604C">
        <w:rPr>
          <w:b/>
          <w:bCs/>
        </w:rPr>
        <w:t>after the UE send</w:t>
      </w:r>
      <w:r w:rsidR="00972741">
        <w:rPr>
          <w:b/>
          <w:bCs/>
        </w:rPr>
        <w:t>s</w:t>
      </w:r>
      <w:r w:rsidR="00EA604C">
        <w:rPr>
          <w:b/>
          <w:bCs/>
        </w:rPr>
        <w:t xml:space="preserve"> SR </w:t>
      </w:r>
      <w:r w:rsidR="00A3181A">
        <w:rPr>
          <w:b/>
          <w:bCs/>
        </w:rPr>
        <w:t xml:space="preserve">or </w:t>
      </w:r>
      <w:r w:rsidR="00EA604C">
        <w:rPr>
          <w:b/>
          <w:bCs/>
        </w:rPr>
        <w:t xml:space="preserve">replies to the RAR to start </w:t>
      </w:r>
      <w:r w:rsidR="00633018">
        <w:rPr>
          <w:b/>
          <w:bCs/>
        </w:rPr>
        <w:t xml:space="preserve">monitoring PDCCH to save UE power consumption. </w:t>
      </w:r>
    </w:p>
    <w:p w14:paraId="38CF2A1D" w14:textId="77777777" w:rsidR="00633018" w:rsidRDefault="00633018" w:rsidP="00B5097A">
      <w:pPr>
        <w:rPr>
          <w:b/>
          <w:bCs/>
        </w:rPr>
      </w:pPr>
    </w:p>
    <w:p w14:paraId="5A7206C4" w14:textId="1D21E808" w:rsidR="009638A3" w:rsidRPr="009638A3" w:rsidRDefault="009638A3" w:rsidP="00B5097A">
      <w:pPr>
        <w:rPr>
          <w:b/>
          <w:bCs/>
          <w:u w:val="single"/>
        </w:rPr>
      </w:pPr>
      <w:r w:rsidRPr="009638A3">
        <w:rPr>
          <w:b/>
          <w:bCs/>
          <w:u w:val="single"/>
        </w:rPr>
        <w:t>HARQ</w:t>
      </w:r>
    </w:p>
    <w:p w14:paraId="1CFDC506" w14:textId="23A90BAB" w:rsidR="00F514EA" w:rsidRDefault="00B332B0" w:rsidP="00B5097A">
      <w:r>
        <w:t>HARQ is supported in NR release 15 to provide error repetition transmission in the physical layer. Du</w:t>
      </w:r>
      <w:r w:rsidR="086A310F">
        <w:t>e</w:t>
      </w:r>
      <w:r>
        <w:t xml:space="preserve"> to long propagation delay in NTN, it will be too long for the UE to send HARQ feedback. Therefore, there w</w:t>
      </w:r>
      <w:r w:rsidR="003BB213">
        <w:t>as</w:t>
      </w:r>
      <w:r>
        <w:t xml:space="preserve"> some</w:t>
      </w:r>
      <w:r w:rsidR="001C5268">
        <w:t xml:space="preserve"> discussion regarding support of HARQ for NTN</w:t>
      </w:r>
      <w:r>
        <w:t xml:space="preserve"> during the study item</w:t>
      </w:r>
      <w:r w:rsidR="001C5268">
        <w:t xml:space="preserve">. </w:t>
      </w:r>
      <w:r>
        <w:t>One of the proposal</w:t>
      </w:r>
      <w:r w:rsidR="008143E9">
        <w:t>s</w:t>
      </w:r>
      <w:r w:rsidR="001C5268">
        <w:t xml:space="preserve"> was to disable HARQ feedback on uplink while maintaining </w:t>
      </w:r>
      <w:r>
        <w:t xml:space="preserve">the </w:t>
      </w:r>
      <w:r w:rsidR="001C5268">
        <w:t>HARQ processes.</w:t>
      </w:r>
      <w:r>
        <w:t xml:space="preserve"> </w:t>
      </w:r>
      <w:r w:rsidR="008143E9">
        <w:t>That way, network can maintain the HARQ repetition during NTN communication. Network should be able to disable the HARQ feedback via RRC message per UE or per HARQ process.</w:t>
      </w:r>
      <w:r w:rsidR="00A135B2">
        <w:t xml:space="preserve"> </w:t>
      </w:r>
      <w:r w:rsidR="00550004">
        <w:t xml:space="preserve">One may argue that </w:t>
      </w:r>
      <w:r w:rsidR="00A135B2">
        <w:t xml:space="preserve">if there is a problem due to propagation delay, it applies to all HARQ processes within the UE, therefore, </w:t>
      </w:r>
      <w:r w:rsidR="001F42F4">
        <w:t>per HARQ process</w:t>
      </w:r>
      <w:r w:rsidR="00213EB3">
        <w:t xml:space="preserve"> disabling may not be needed</w:t>
      </w:r>
      <w:r w:rsidR="001F42F4">
        <w:t>.</w:t>
      </w:r>
      <w:r w:rsidR="00213EB3">
        <w:t xml:space="preserve"> On the other hand, some service is not so time sensitive and some other does, therefore, </w:t>
      </w:r>
      <w:r w:rsidR="00D20710">
        <w:t xml:space="preserve">it is useful to </w:t>
      </w:r>
      <w:r w:rsidR="00F514EA">
        <w:t xml:space="preserve">be able to disable HARQ </w:t>
      </w:r>
      <w:r w:rsidR="003316ED">
        <w:t xml:space="preserve">feedback for </w:t>
      </w:r>
      <w:r w:rsidR="00D20710">
        <w:t>some subset of HARQ processes</w:t>
      </w:r>
      <w:r w:rsidR="00F514EA">
        <w:t xml:space="preserve">. </w:t>
      </w:r>
      <w:r w:rsidR="00D20710">
        <w:t>For downlink traffic, this allows the network to map less time sensitive traffic to HARQ processes with HARQ feedback.</w:t>
      </w:r>
    </w:p>
    <w:p w14:paraId="63D5984F" w14:textId="2E9F9754" w:rsidR="008143E9" w:rsidRPr="008143E9" w:rsidRDefault="008143E9" w:rsidP="00B5097A">
      <w:pPr>
        <w:rPr>
          <w:b/>
          <w:bCs/>
        </w:rPr>
      </w:pPr>
      <w:r w:rsidRPr="0256D878">
        <w:rPr>
          <w:b/>
          <w:bCs/>
        </w:rPr>
        <w:t xml:space="preserve">Proposal </w:t>
      </w:r>
      <w:r w:rsidR="00A30225">
        <w:rPr>
          <w:b/>
          <w:bCs/>
        </w:rPr>
        <w:t>7</w:t>
      </w:r>
      <w:r w:rsidRPr="0256D878">
        <w:rPr>
          <w:b/>
          <w:bCs/>
        </w:rPr>
        <w:t xml:space="preserve">: </w:t>
      </w:r>
      <w:r w:rsidR="005E434B">
        <w:rPr>
          <w:b/>
          <w:bCs/>
        </w:rPr>
        <w:t>Introduce</w:t>
      </w:r>
      <w:r w:rsidRPr="0256D878">
        <w:rPr>
          <w:b/>
          <w:bCs/>
        </w:rPr>
        <w:t xml:space="preserve"> HARQ feedback disabling by per UE or per HARQ process in RRC configuration</w:t>
      </w:r>
    </w:p>
    <w:p w14:paraId="280EE20E" w14:textId="77777777" w:rsidR="005E434B" w:rsidRDefault="00A52C48" w:rsidP="00B5097A">
      <w:r>
        <w:t xml:space="preserve">In order to support per HARQ process disabling. One may </w:t>
      </w:r>
      <w:r w:rsidR="005E434B">
        <w:t xml:space="preserve">need to introduce DRB and HARQ process mapping. </w:t>
      </w:r>
    </w:p>
    <w:p w14:paraId="13A4ED95" w14:textId="273174D7" w:rsidR="00C75504" w:rsidRPr="007B0A99" w:rsidRDefault="005E434B" w:rsidP="00B5097A">
      <w:pPr>
        <w:rPr>
          <w:b/>
          <w:bCs/>
        </w:rPr>
      </w:pPr>
      <w:r w:rsidRPr="007B0A99">
        <w:rPr>
          <w:b/>
          <w:bCs/>
        </w:rPr>
        <w:t xml:space="preserve">Proposal </w:t>
      </w:r>
      <w:r w:rsidR="00A30225">
        <w:rPr>
          <w:b/>
          <w:bCs/>
        </w:rPr>
        <w:t>8</w:t>
      </w:r>
      <w:r w:rsidRPr="007B0A99">
        <w:rPr>
          <w:b/>
          <w:bCs/>
        </w:rPr>
        <w:t xml:space="preserve">: FFS how DRB and HARQ process mapping works in order to </w:t>
      </w:r>
      <w:r w:rsidR="00894BD5">
        <w:rPr>
          <w:b/>
          <w:bCs/>
        </w:rPr>
        <w:t xml:space="preserve">apply different mapping </w:t>
      </w:r>
      <w:r w:rsidR="00F24EAB">
        <w:rPr>
          <w:b/>
          <w:bCs/>
        </w:rPr>
        <w:t>considering QoS in case of</w:t>
      </w:r>
      <w:r w:rsidRPr="007B0A99">
        <w:rPr>
          <w:b/>
          <w:bCs/>
        </w:rPr>
        <w:t xml:space="preserve"> per HARQ process feedback disabling.</w:t>
      </w:r>
    </w:p>
    <w:p w14:paraId="23A8CAB2" w14:textId="79456981" w:rsidR="009F6669" w:rsidRDefault="009F6669" w:rsidP="00F17084">
      <w:pPr>
        <w:pStyle w:val="Heading1"/>
        <w:numPr>
          <w:ilvl w:val="0"/>
          <w:numId w:val="1"/>
        </w:numPr>
      </w:pPr>
      <w:r>
        <w:t>Conclusion</w:t>
      </w:r>
    </w:p>
    <w:p w14:paraId="7468DF9F" w14:textId="77777777" w:rsidR="007B0A99" w:rsidRPr="007B0A99" w:rsidRDefault="007B0A99" w:rsidP="007B0A99">
      <w:pPr>
        <w:rPr>
          <w:b/>
          <w:bCs/>
        </w:rPr>
      </w:pPr>
      <w:r w:rsidRPr="007B0A99">
        <w:rPr>
          <w:b/>
          <w:bCs/>
        </w:rPr>
        <w:t>Proposal 1: Rely on network implementation to make sure that the RACH interval between RACH occasions is larger than the maximum delay difference (based on cell size) *2 such that there is no overlapping.</w:t>
      </w:r>
    </w:p>
    <w:p w14:paraId="26236E19" w14:textId="77777777" w:rsidR="007B0A99" w:rsidRPr="00C52A75" w:rsidRDefault="007B0A99" w:rsidP="007B0A99">
      <w:pPr>
        <w:rPr>
          <w:b/>
          <w:bCs/>
        </w:rPr>
      </w:pPr>
      <w:r w:rsidRPr="00C52A75">
        <w:rPr>
          <w:b/>
          <w:bCs/>
        </w:rPr>
        <w:t xml:space="preserve">Proposal 2: Introduce a common offset for RA Response window. Network will estimate this offset based on the height of the satellite. </w:t>
      </w:r>
    </w:p>
    <w:p w14:paraId="11677593" w14:textId="77777777" w:rsidR="007B0A99" w:rsidRPr="00FD56C3" w:rsidRDefault="007B0A99" w:rsidP="007B0A99">
      <w:pPr>
        <w:rPr>
          <w:b/>
          <w:bCs/>
        </w:rPr>
      </w:pPr>
      <w:r w:rsidRPr="00FD56C3">
        <w:rPr>
          <w:b/>
          <w:bCs/>
        </w:rPr>
        <w:t>Proposal 3: FFS on UE specific offset based on distance</w:t>
      </w:r>
      <w:r>
        <w:rPr>
          <w:b/>
          <w:bCs/>
        </w:rPr>
        <w:t xml:space="preserve"> between the UE and satellite</w:t>
      </w:r>
      <w:r w:rsidRPr="00FD56C3">
        <w:rPr>
          <w:b/>
          <w:bCs/>
        </w:rPr>
        <w:t xml:space="preserve">. </w:t>
      </w:r>
    </w:p>
    <w:p w14:paraId="77683CDC" w14:textId="77777777" w:rsidR="007B0A99" w:rsidRDefault="007B0A99" w:rsidP="007B0A99">
      <w:pPr>
        <w:rPr>
          <w:b/>
          <w:bCs/>
        </w:rPr>
      </w:pPr>
      <w:r w:rsidRPr="00967C31">
        <w:rPr>
          <w:b/>
          <w:bCs/>
        </w:rPr>
        <w:t xml:space="preserve">Proposal </w:t>
      </w:r>
      <w:r>
        <w:rPr>
          <w:b/>
          <w:bCs/>
        </w:rPr>
        <w:t>4</w:t>
      </w:r>
      <w:r w:rsidRPr="00967C31">
        <w:rPr>
          <w:b/>
          <w:bCs/>
        </w:rPr>
        <w:t xml:space="preserve">: </w:t>
      </w:r>
      <w:r w:rsidRPr="00967C31">
        <w:rPr>
          <w:b/>
          <w:bCs/>
          <w:i/>
          <w:iCs/>
        </w:rPr>
        <w:t>ra-ResponseWindow</w:t>
      </w:r>
      <w:r w:rsidRPr="00967C31">
        <w:rPr>
          <w:b/>
          <w:bCs/>
        </w:rPr>
        <w:t xml:space="preserve"> does not need to be extended</w:t>
      </w:r>
      <w:r>
        <w:rPr>
          <w:b/>
          <w:bCs/>
        </w:rPr>
        <w:t>.</w:t>
      </w:r>
    </w:p>
    <w:p w14:paraId="487DFF07" w14:textId="77777777" w:rsidR="007B0A99" w:rsidRDefault="007B0A99" w:rsidP="007B0A99">
      <w:pPr>
        <w:rPr>
          <w:b/>
          <w:bCs/>
        </w:rPr>
      </w:pPr>
      <w:r w:rsidRPr="00631EC4">
        <w:rPr>
          <w:b/>
          <w:bCs/>
        </w:rPr>
        <w:lastRenderedPageBreak/>
        <w:t xml:space="preserve">Proposal </w:t>
      </w:r>
      <w:r>
        <w:rPr>
          <w:b/>
          <w:bCs/>
        </w:rPr>
        <w:t>5</w:t>
      </w:r>
      <w:r w:rsidRPr="00631EC4">
        <w:rPr>
          <w:b/>
          <w:bCs/>
        </w:rPr>
        <w:t xml:space="preserve">: </w:t>
      </w:r>
      <w:r>
        <w:rPr>
          <w:b/>
          <w:bCs/>
        </w:rPr>
        <w:t xml:space="preserve">Introduce an offset for the </w:t>
      </w:r>
      <w:r w:rsidRPr="00631EC4">
        <w:rPr>
          <w:b/>
          <w:bCs/>
        </w:rPr>
        <w:t xml:space="preserve">UE </w:t>
      </w:r>
      <w:r>
        <w:rPr>
          <w:b/>
          <w:bCs/>
        </w:rPr>
        <w:t xml:space="preserve">to </w:t>
      </w:r>
      <w:r w:rsidRPr="00631EC4">
        <w:rPr>
          <w:b/>
          <w:bCs/>
        </w:rPr>
        <w:t>start the contention resolution timer</w:t>
      </w:r>
      <w:r>
        <w:rPr>
          <w:b/>
          <w:bCs/>
        </w:rPr>
        <w:t>.</w:t>
      </w:r>
      <w:r w:rsidRPr="00631EC4">
        <w:rPr>
          <w:b/>
          <w:bCs/>
        </w:rPr>
        <w:t xml:space="preserve"> </w:t>
      </w:r>
    </w:p>
    <w:p w14:paraId="3356656D" w14:textId="77777777" w:rsidR="007B0A99" w:rsidRDefault="007B0A99" w:rsidP="007B0A99">
      <w:pPr>
        <w:rPr>
          <w:b/>
          <w:bCs/>
        </w:rPr>
      </w:pPr>
      <w:r>
        <w:rPr>
          <w:b/>
          <w:bCs/>
        </w:rPr>
        <w:t xml:space="preserve">Proposal 6: Introduce an offset after the UE sends SR or replies to the RAR to start monitoring PDCCH to save UE power consumption. </w:t>
      </w:r>
    </w:p>
    <w:p w14:paraId="3A630E04" w14:textId="77777777" w:rsidR="007B0A99" w:rsidRPr="008143E9" w:rsidRDefault="007B0A99" w:rsidP="007B0A99">
      <w:pPr>
        <w:rPr>
          <w:b/>
          <w:bCs/>
        </w:rPr>
      </w:pPr>
      <w:r w:rsidRPr="0256D878">
        <w:rPr>
          <w:b/>
          <w:bCs/>
        </w:rPr>
        <w:t xml:space="preserve">Proposal </w:t>
      </w:r>
      <w:r>
        <w:rPr>
          <w:b/>
          <w:bCs/>
        </w:rPr>
        <w:t>7</w:t>
      </w:r>
      <w:r w:rsidRPr="0256D878">
        <w:rPr>
          <w:b/>
          <w:bCs/>
        </w:rPr>
        <w:t xml:space="preserve">: </w:t>
      </w:r>
      <w:r>
        <w:rPr>
          <w:b/>
          <w:bCs/>
        </w:rPr>
        <w:t>Introduce</w:t>
      </w:r>
      <w:r w:rsidRPr="0256D878">
        <w:rPr>
          <w:b/>
          <w:bCs/>
        </w:rPr>
        <w:t xml:space="preserve"> HARQ feedback disabling by per UE or per HARQ process in RRC configuration</w:t>
      </w:r>
    </w:p>
    <w:p w14:paraId="5AFA7EF7" w14:textId="77777777" w:rsidR="007B0A99" w:rsidRPr="007B0A99" w:rsidRDefault="007B0A99" w:rsidP="007B0A99">
      <w:pPr>
        <w:rPr>
          <w:b/>
          <w:bCs/>
        </w:rPr>
      </w:pPr>
      <w:r w:rsidRPr="007B0A99">
        <w:rPr>
          <w:b/>
          <w:bCs/>
        </w:rPr>
        <w:t xml:space="preserve">Proposal </w:t>
      </w:r>
      <w:r>
        <w:rPr>
          <w:b/>
          <w:bCs/>
        </w:rPr>
        <w:t>8</w:t>
      </w:r>
      <w:r w:rsidRPr="007B0A99">
        <w:rPr>
          <w:b/>
          <w:bCs/>
        </w:rPr>
        <w:t xml:space="preserve">: FFS how DRB and HARQ process mapping works in order to </w:t>
      </w:r>
      <w:r>
        <w:rPr>
          <w:b/>
          <w:bCs/>
        </w:rPr>
        <w:t>apply different mapping considering QoS in case of</w:t>
      </w:r>
      <w:r w:rsidRPr="007B0A99">
        <w:rPr>
          <w:b/>
          <w:bCs/>
        </w:rPr>
        <w:t xml:space="preserve"> per HARQ process feedback disabling.</w:t>
      </w:r>
    </w:p>
    <w:p w14:paraId="460BA9CD" w14:textId="77777777" w:rsidR="007B0A99" w:rsidRDefault="007B0A99" w:rsidP="007B0A99">
      <w:pPr>
        <w:rPr>
          <w:b/>
          <w:bCs/>
        </w:rPr>
      </w:pPr>
    </w:p>
    <w:p w14:paraId="76ED6E4D" w14:textId="19412D05" w:rsidR="00B12EAE" w:rsidRPr="00B12EAE" w:rsidRDefault="00B12EAE" w:rsidP="00B12EAE"/>
    <w:p w14:paraId="65A83208" w14:textId="77777777" w:rsidR="00812469" w:rsidRDefault="00812469" w:rsidP="00812469">
      <w:pPr>
        <w:pStyle w:val="Heading1"/>
        <w:numPr>
          <w:ilvl w:val="0"/>
          <w:numId w:val="1"/>
        </w:numPr>
      </w:pPr>
      <w:r>
        <w:t>Reference</w:t>
      </w:r>
    </w:p>
    <w:p w14:paraId="009445F6" w14:textId="77777777" w:rsidR="00812469" w:rsidRDefault="00812469" w:rsidP="00812469">
      <w:r>
        <w:t>[1] “</w:t>
      </w:r>
      <w:r w:rsidRPr="0053095B">
        <w:t>Solutions for NR to support non-terrestrial networks</w:t>
      </w:r>
      <w:r>
        <w:t>”, Thales,</w:t>
      </w:r>
      <w:r w:rsidRPr="0053095B">
        <w:t xml:space="preserve"> </w:t>
      </w:r>
      <w:r>
        <w:t>RP-201256</w:t>
      </w:r>
    </w:p>
    <w:p w14:paraId="534C94CE" w14:textId="2F5C2E27" w:rsidR="00812469" w:rsidRPr="0053095B" w:rsidRDefault="00812469" w:rsidP="00812469">
      <w:r>
        <w:t>[2] “Solutions for NR to support non-terrestrial networks (NTN)”, TS38.</w:t>
      </w:r>
      <w:r w:rsidR="6343FDE1">
        <w:t>8</w:t>
      </w:r>
      <w:r>
        <w:t>21</w:t>
      </w:r>
    </w:p>
    <w:p w14:paraId="42FC5726" w14:textId="77777777" w:rsidR="00812469" w:rsidRPr="003A04F1" w:rsidRDefault="00812469">
      <w:pPr>
        <w:rPr>
          <w:b/>
          <w:bCs/>
        </w:rPr>
      </w:pPr>
    </w:p>
    <w:sectPr w:rsidR="00812469" w:rsidRPr="003A04F1">
      <w:footerReference w:type="default" r:id="rId11"/>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525A8CD3" w16cex:dateUtc="2020-08-05T03:30:00Z"/>
  <w16cex:commentExtensible w16cex:durableId="6D84271D" w16cex:dateUtc="2020-08-05T03:3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2A3DF2" w14:textId="77777777" w:rsidR="00E87EED" w:rsidRDefault="00E87EED" w:rsidP="00F44017">
      <w:pPr>
        <w:spacing w:after="0"/>
      </w:pPr>
      <w:r>
        <w:separator/>
      </w:r>
    </w:p>
  </w:endnote>
  <w:endnote w:type="continuationSeparator" w:id="0">
    <w:p w14:paraId="65E3BC07" w14:textId="77777777" w:rsidR="00E87EED" w:rsidRDefault="00E87EED" w:rsidP="00F44017">
      <w:pPr>
        <w:spacing w:after="0"/>
      </w:pPr>
      <w:r>
        <w:continuationSeparator/>
      </w:r>
    </w:p>
  </w:endnote>
  <w:endnote w:type="continuationNotice" w:id="1">
    <w:p w14:paraId="65B2C217" w14:textId="77777777" w:rsidR="00E87EED" w:rsidRDefault="00E87E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8F268" w14:textId="4758BD13" w:rsidR="00F44017" w:rsidRDefault="00F44017">
    <w:pPr>
      <w:pStyle w:val="Footer"/>
    </w:pPr>
  </w:p>
  <w:p w14:paraId="325A608A" w14:textId="77777777" w:rsidR="00F44017" w:rsidRDefault="00F440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F875E5" w14:textId="77777777" w:rsidR="00E87EED" w:rsidRDefault="00E87EED" w:rsidP="00F44017">
      <w:pPr>
        <w:spacing w:after="0"/>
      </w:pPr>
      <w:r>
        <w:separator/>
      </w:r>
    </w:p>
  </w:footnote>
  <w:footnote w:type="continuationSeparator" w:id="0">
    <w:p w14:paraId="7FD4C7F6" w14:textId="77777777" w:rsidR="00E87EED" w:rsidRDefault="00E87EED" w:rsidP="00F44017">
      <w:pPr>
        <w:spacing w:after="0"/>
      </w:pPr>
      <w:r>
        <w:continuationSeparator/>
      </w:r>
    </w:p>
  </w:footnote>
  <w:footnote w:type="continuationNotice" w:id="1">
    <w:p w14:paraId="52ACE7E7" w14:textId="77777777" w:rsidR="00E87EED" w:rsidRDefault="00E87E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1" w15:restartNumberingAfterBreak="0">
    <w:nsid w:val="14221317"/>
    <w:multiLevelType w:val="hybridMultilevel"/>
    <w:tmpl w:val="045A3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063FC4"/>
    <w:multiLevelType w:val="hybridMultilevel"/>
    <w:tmpl w:val="22766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4B0D67"/>
    <w:multiLevelType w:val="hybridMultilevel"/>
    <w:tmpl w:val="B470A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cs="Times New Roman" w:hint="default"/>
      </w:rPr>
    </w:lvl>
    <w:lvl w:ilvl="1" w:tplc="FEE67E3A">
      <w:numFmt w:val="bullet"/>
      <w:lvlText w:val="–"/>
      <w:lvlJc w:val="left"/>
      <w:pPr>
        <w:tabs>
          <w:tab w:val="num" w:pos="1440"/>
        </w:tabs>
        <w:ind w:left="1440" w:hanging="360"/>
      </w:pPr>
      <w:rPr>
        <w:rFonts w:ascii="Arial" w:hAnsi="Arial" w:cs="Times New Roman" w:hint="default"/>
      </w:rPr>
    </w:lvl>
    <w:lvl w:ilvl="2" w:tplc="F66C355C">
      <w:start w:val="1"/>
      <w:numFmt w:val="bullet"/>
      <w:lvlText w:val="•"/>
      <w:lvlJc w:val="left"/>
      <w:pPr>
        <w:tabs>
          <w:tab w:val="num" w:pos="2160"/>
        </w:tabs>
        <w:ind w:left="2160" w:hanging="360"/>
      </w:pPr>
      <w:rPr>
        <w:rFonts w:ascii="Arial" w:hAnsi="Arial" w:cs="Times New Roman" w:hint="default"/>
      </w:rPr>
    </w:lvl>
    <w:lvl w:ilvl="3" w:tplc="961C528E">
      <w:start w:val="1"/>
      <w:numFmt w:val="bullet"/>
      <w:lvlText w:val="•"/>
      <w:lvlJc w:val="left"/>
      <w:pPr>
        <w:tabs>
          <w:tab w:val="num" w:pos="2880"/>
        </w:tabs>
        <w:ind w:left="2880" w:hanging="360"/>
      </w:pPr>
      <w:rPr>
        <w:rFonts w:ascii="Arial" w:hAnsi="Arial" w:cs="Times New Roman" w:hint="default"/>
      </w:rPr>
    </w:lvl>
    <w:lvl w:ilvl="4" w:tplc="663EC892">
      <w:start w:val="1"/>
      <w:numFmt w:val="bullet"/>
      <w:lvlText w:val="•"/>
      <w:lvlJc w:val="left"/>
      <w:pPr>
        <w:tabs>
          <w:tab w:val="num" w:pos="3600"/>
        </w:tabs>
        <w:ind w:left="3600" w:hanging="360"/>
      </w:pPr>
      <w:rPr>
        <w:rFonts w:ascii="Arial" w:hAnsi="Arial" w:cs="Times New Roman" w:hint="default"/>
      </w:rPr>
    </w:lvl>
    <w:lvl w:ilvl="5" w:tplc="1A8E273E">
      <w:start w:val="1"/>
      <w:numFmt w:val="bullet"/>
      <w:lvlText w:val="•"/>
      <w:lvlJc w:val="left"/>
      <w:pPr>
        <w:tabs>
          <w:tab w:val="num" w:pos="4320"/>
        </w:tabs>
        <w:ind w:left="4320" w:hanging="360"/>
      </w:pPr>
      <w:rPr>
        <w:rFonts w:ascii="Arial" w:hAnsi="Arial" w:cs="Times New Roman" w:hint="default"/>
      </w:rPr>
    </w:lvl>
    <w:lvl w:ilvl="6" w:tplc="D15C2CAE">
      <w:start w:val="1"/>
      <w:numFmt w:val="bullet"/>
      <w:lvlText w:val="•"/>
      <w:lvlJc w:val="left"/>
      <w:pPr>
        <w:tabs>
          <w:tab w:val="num" w:pos="5040"/>
        </w:tabs>
        <w:ind w:left="5040" w:hanging="360"/>
      </w:pPr>
      <w:rPr>
        <w:rFonts w:ascii="Arial" w:hAnsi="Arial" w:cs="Times New Roman" w:hint="default"/>
      </w:rPr>
    </w:lvl>
    <w:lvl w:ilvl="7" w:tplc="611A7E12">
      <w:start w:val="1"/>
      <w:numFmt w:val="bullet"/>
      <w:lvlText w:val="•"/>
      <w:lvlJc w:val="left"/>
      <w:pPr>
        <w:tabs>
          <w:tab w:val="num" w:pos="5760"/>
        </w:tabs>
        <w:ind w:left="5760" w:hanging="360"/>
      </w:pPr>
      <w:rPr>
        <w:rFonts w:ascii="Arial" w:hAnsi="Arial" w:cs="Times New Roman" w:hint="default"/>
      </w:rPr>
    </w:lvl>
    <w:lvl w:ilvl="8" w:tplc="F3F0D224">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2DDB6565"/>
    <w:multiLevelType w:val="multilevel"/>
    <w:tmpl w:val="410008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2676534"/>
    <w:multiLevelType w:val="hybridMultilevel"/>
    <w:tmpl w:val="778CC1BC"/>
    <w:lvl w:ilvl="0" w:tplc="573C145C">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cs="Times New Roman" w:hint="default"/>
      </w:rPr>
    </w:lvl>
    <w:lvl w:ilvl="1" w:tplc="F3884D96">
      <w:numFmt w:val="bullet"/>
      <w:lvlText w:val="–"/>
      <w:lvlJc w:val="left"/>
      <w:pPr>
        <w:tabs>
          <w:tab w:val="num" w:pos="1440"/>
        </w:tabs>
        <w:ind w:left="1440" w:hanging="360"/>
      </w:pPr>
      <w:rPr>
        <w:rFonts w:ascii="Arial" w:hAnsi="Arial" w:cs="Times New Roman" w:hint="default"/>
      </w:rPr>
    </w:lvl>
    <w:lvl w:ilvl="2" w:tplc="017099F4">
      <w:numFmt w:val="bullet"/>
      <w:lvlText w:val="•"/>
      <w:lvlJc w:val="left"/>
      <w:pPr>
        <w:tabs>
          <w:tab w:val="num" w:pos="2160"/>
        </w:tabs>
        <w:ind w:left="2160" w:hanging="360"/>
      </w:pPr>
      <w:rPr>
        <w:rFonts w:ascii="Arial" w:hAnsi="Arial" w:cs="Times New Roman" w:hint="default"/>
      </w:rPr>
    </w:lvl>
    <w:lvl w:ilvl="3" w:tplc="8B8AA9A6">
      <w:start w:val="1"/>
      <w:numFmt w:val="bullet"/>
      <w:lvlText w:val="•"/>
      <w:lvlJc w:val="left"/>
      <w:pPr>
        <w:tabs>
          <w:tab w:val="num" w:pos="2880"/>
        </w:tabs>
        <w:ind w:left="2880" w:hanging="360"/>
      </w:pPr>
      <w:rPr>
        <w:rFonts w:ascii="Arial" w:hAnsi="Arial" w:cs="Times New Roman" w:hint="default"/>
      </w:rPr>
    </w:lvl>
    <w:lvl w:ilvl="4" w:tplc="AFE67CF8">
      <w:start w:val="1"/>
      <w:numFmt w:val="bullet"/>
      <w:lvlText w:val="•"/>
      <w:lvlJc w:val="left"/>
      <w:pPr>
        <w:tabs>
          <w:tab w:val="num" w:pos="3600"/>
        </w:tabs>
        <w:ind w:left="3600" w:hanging="360"/>
      </w:pPr>
      <w:rPr>
        <w:rFonts w:ascii="Arial" w:hAnsi="Arial" w:cs="Times New Roman" w:hint="default"/>
      </w:rPr>
    </w:lvl>
    <w:lvl w:ilvl="5" w:tplc="9F7AA342">
      <w:start w:val="1"/>
      <w:numFmt w:val="bullet"/>
      <w:lvlText w:val="•"/>
      <w:lvlJc w:val="left"/>
      <w:pPr>
        <w:tabs>
          <w:tab w:val="num" w:pos="4320"/>
        </w:tabs>
        <w:ind w:left="4320" w:hanging="360"/>
      </w:pPr>
      <w:rPr>
        <w:rFonts w:ascii="Arial" w:hAnsi="Arial" w:cs="Times New Roman" w:hint="default"/>
      </w:rPr>
    </w:lvl>
    <w:lvl w:ilvl="6" w:tplc="A5BE054E">
      <w:start w:val="1"/>
      <w:numFmt w:val="bullet"/>
      <w:lvlText w:val="•"/>
      <w:lvlJc w:val="left"/>
      <w:pPr>
        <w:tabs>
          <w:tab w:val="num" w:pos="5040"/>
        </w:tabs>
        <w:ind w:left="5040" w:hanging="360"/>
      </w:pPr>
      <w:rPr>
        <w:rFonts w:ascii="Arial" w:hAnsi="Arial" w:cs="Times New Roman" w:hint="default"/>
      </w:rPr>
    </w:lvl>
    <w:lvl w:ilvl="7" w:tplc="E580F284">
      <w:start w:val="1"/>
      <w:numFmt w:val="bullet"/>
      <w:lvlText w:val="•"/>
      <w:lvlJc w:val="left"/>
      <w:pPr>
        <w:tabs>
          <w:tab w:val="num" w:pos="5760"/>
        </w:tabs>
        <w:ind w:left="5760" w:hanging="360"/>
      </w:pPr>
      <w:rPr>
        <w:rFonts w:ascii="Arial" w:hAnsi="Arial" w:cs="Times New Roman" w:hint="default"/>
      </w:rPr>
    </w:lvl>
    <w:lvl w:ilvl="8" w:tplc="68E0F2A0">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1866E2B"/>
    <w:multiLevelType w:val="hybridMultilevel"/>
    <w:tmpl w:val="47FCF232"/>
    <w:lvl w:ilvl="0" w:tplc="0F5240E6">
      <w:start w:val="1"/>
      <w:numFmt w:val="bullet"/>
      <w:lvlText w:val="•"/>
      <w:lvlJc w:val="left"/>
      <w:pPr>
        <w:tabs>
          <w:tab w:val="num" w:pos="720"/>
        </w:tabs>
        <w:ind w:left="720" w:hanging="360"/>
      </w:pPr>
      <w:rPr>
        <w:rFonts w:ascii="Arial" w:hAnsi="Arial" w:hint="default"/>
      </w:rPr>
    </w:lvl>
    <w:lvl w:ilvl="1" w:tplc="4274C37E">
      <w:start w:val="1"/>
      <w:numFmt w:val="bullet"/>
      <w:lvlText w:val="•"/>
      <w:lvlJc w:val="left"/>
      <w:pPr>
        <w:tabs>
          <w:tab w:val="num" w:pos="1440"/>
        </w:tabs>
        <w:ind w:left="1440" w:hanging="360"/>
      </w:pPr>
      <w:rPr>
        <w:rFonts w:ascii="Arial" w:hAnsi="Arial" w:hint="default"/>
      </w:rPr>
    </w:lvl>
    <w:lvl w:ilvl="2" w:tplc="49269F5A">
      <w:numFmt w:val="bullet"/>
      <w:lvlText w:val="•"/>
      <w:lvlJc w:val="left"/>
      <w:pPr>
        <w:tabs>
          <w:tab w:val="num" w:pos="2160"/>
        </w:tabs>
        <w:ind w:left="2160" w:hanging="360"/>
      </w:pPr>
      <w:rPr>
        <w:rFonts w:ascii="Arial" w:hAnsi="Arial" w:hint="default"/>
      </w:rPr>
    </w:lvl>
    <w:lvl w:ilvl="3" w:tplc="C0C03C58" w:tentative="1">
      <w:start w:val="1"/>
      <w:numFmt w:val="bullet"/>
      <w:lvlText w:val="•"/>
      <w:lvlJc w:val="left"/>
      <w:pPr>
        <w:tabs>
          <w:tab w:val="num" w:pos="2880"/>
        </w:tabs>
        <w:ind w:left="2880" w:hanging="360"/>
      </w:pPr>
      <w:rPr>
        <w:rFonts w:ascii="Arial" w:hAnsi="Arial" w:hint="default"/>
      </w:rPr>
    </w:lvl>
    <w:lvl w:ilvl="4" w:tplc="63CC22E2" w:tentative="1">
      <w:start w:val="1"/>
      <w:numFmt w:val="bullet"/>
      <w:lvlText w:val="•"/>
      <w:lvlJc w:val="left"/>
      <w:pPr>
        <w:tabs>
          <w:tab w:val="num" w:pos="3600"/>
        </w:tabs>
        <w:ind w:left="3600" w:hanging="360"/>
      </w:pPr>
      <w:rPr>
        <w:rFonts w:ascii="Arial" w:hAnsi="Arial" w:hint="default"/>
      </w:rPr>
    </w:lvl>
    <w:lvl w:ilvl="5" w:tplc="841A5270" w:tentative="1">
      <w:start w:val="1"/>
      <w:numFmt w:val="bullet"/>
      <w:lvlText w:val="•"/>
      <w:lvlJc w:val="left"/>
      <w:pPr>
        <w:tabs>
          <w:tab w:val="num" w:pos="4320"/>
        </w:tabs>
        <w:ind w:left="4320" w:hanging="360"/>
      </w:pPr>
      <w:rPr>
        <w:rFonts w:ascii="Arial" w:hAnsi="Arial" w:hint="default"/>
      </w:rPr>
    </w:lvl>
    <w:lvl w:ilvl="6" w:tplc="03BA31AA" w:tentative="1">
      <w:start w:val="1"/>
      <w:numFmt w:val="bullet"/>
      <w:lvlText w:val="•"/>
      <w:lvlJc w:val="left"/>
      <w:pPr>
        <w:tabs>
          <w:tab w:val="num" w:pos="5040"/>
        </w:tabs>
        <w:ind w:left="5040" w:hanging="360"/>
      </w:pPr>
      <w:rPr>
        <w:rFonts w:ascii="Arial" w:hAnsi="Arial" w:hint="default"/>
      </w:rPr>
    </w:lvl>
    <w:lvl w:ilvl="7" w:tplc="C706DCEA" w:tentative="1">
      <w:start w:val="1"/>
      <w:numFmt w:val="bullet"/>
      <w:lvlText w:val="•"/>
      <w:lvlJc w:val="left"/>
      <w:pPr>
        <w:tabs>
          <w:tab w:val="num" w:pos="5760"/>
        </w:tabs>
        <w:ind w:left="5760" w:hanging="360"/>
      </w:pPr>
      <w:rPr>
        <w:rFonts w:ascii="Arial" w:hAnsi="Arial" w:hint="default"/>
      </w:rPr>
    </w:lvl>
    <w:lvl w:ilvl="8" w:tplc="97726D0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CD6740D"/>
    <w:multiLevelType w:val="hybridMultilevel"/>
    <w:tmpl w:val="2D2694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2E00F5"/>
    <w:multiLevelType w:val="hybridMultilevel"/>
    <w:tmpl w:val="E9AC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E45C46"/>
    <w:multiLevelType w:val="hybridMultilevel"/>
    <w:tmpl w:val="423A2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cs="Times New Roman" w:hint="default"/>
      </w:rPr>
    </w:lvl>
    <w:lvl w:ilvl="1" w:tplc="57A8318C">
      <w:start w:val="1"/>
      <w:numFmt w:val="bullet"/>
      <w:lvlText w:val="•"/>
      <w:lvlJc w:val="left"/>
      <w:pPr>
        <w:tabs>
          <w:tab w:val="num" w:pos="1440"/>
        </w:tabs>
        <w:ind w:left="1440" w:hanging="360"/>
      </w:pPr>
      <w:rPr>
        <w:rFonts w:ascii="Arial" w:hAnsi="Arial" w:cs="Times New Roman" w:hint="default"/>
      </w:rPr>
    </w:lvl>
    <w:lvl w:ilvl="2" w:tplc="4146A2E0">
      <w:start w:val="1"/>
      <w:numFmt w:val="bullet"/>
      <w:lvlText w:val="•"/>
      <w:lvlJc w:val="left"/>
      <w:pPr>
        <w:tabs>
          <w:tab w:val="num" w:pos="2160"/>
        </w:tabs>
        <w:ind w:left="2160" w:hanging="360"/>
      </w:pPr>
      <w:rPr>
        <w:rFonts w:ascii="Arial" w:hAnsi="Arial" w:cs="Times New Roman" w:hint="default"/>
      </w:rPr>
    </w:lvl>
    <w:lvl w:ilvl="3" w:tplc="EB1AEB00">
      <w:start w:val="1"/>
      <w:numFmt w:val="bullet"/>
      <w:lvlText w:val="•"/>
      <w:lvlJc w:val="left"/>
      <w:pPr>
        <w:tabs>
          <w:tab w:val="num" w:pos="2880"/>
        </w:tabs>
        <w:ind w:left="2880" w:hanging="360"/>
      </w:pPr>
      <w:rPr>
        <w:rFonts w:ascii="Arial" w:hAnsi="Arial" w:cs="Times New Roman" w:hint="default"/>
      </w:rPr>
    </w:lvl>
    <w:lvl w:ilvl="4" w:tplc="02ACD6EE">
      <w:start w:val="1"/>
      <w:numFmt w:val="bullet"/>
      <w:lvlText w:val="•"/>
      <w:lvlJc w:val="left"/>
      <w:pPr>
        <w:tabs>
          <w:tab w:val="num" w:pos="3600"/>
        </w:tabs>
        <w:ind w:left="3600" w:hanging="360"/>
      </w:pPr>
      <w:rPr>
        <w:rFonts w:ascii="Arial" w:hAnsi="Arial" w:cs="Times New Roman" w:hint="default"/>
      </w:rPr>
    </w:lvl>
    <w:lvl w:ilvl="5" w:tplc="159096C6">
      <w:start w:val="1"/>
      <w:numFmt w:val="bullet"/>
      <w:lvlText w:val="•"/>
      <w:lvlJc w:val="left"/>
      <w:pPr>
        <w:tabs>
          <w:tab w:val="num" w:pos="4320"/>
        </w:tabs>
        <w:ind w:left="4320" w:hanging="360"/>
      </w:pPr>
      <w:rPr>
        <w:rFonts w:ascii="Arial" w:hAnsi="Arial" w:cs="Times New Roman" w:hint="default"/>
      </w:rPr>
    </w:lvl>
    <w:lvl w:ilvl="6" w:tplc="BBD8D214">
      <w:start w:val="1"/>
      <w:numFmt w:val="bullet"/>
      <w:lvlText w:val="•"/>
      <w:lvlJc w:val="left"/>
      <w:pPr>
        <w:tabs>
          <w:tab w:val="num" w:pos="5040"/>
        </w:tabs>
        <w:ind w:left="5040" w:hanging="360"/>
      </w:pPr>
      <w:rPr>
        <w:rFonts w:ascii="Arial" w:hAnsi="Arial" w:cs="Times New Roman" w:hint="default"/>
      </w:rPr>
    </w:lvl>
    <w:lvl w:ilvl="7" w:tplc="E4FE7E16">
      <w:start w:val="1"/>
      <w:numFmt w:val="bullet"/>
      <w:lvlText w:val="•"/>
      <w:lvlJc w:val="left"/>
      <w:pPr>
        <w:tabs>
          <w:tab w:val="num" w:pos="5760"/>
        </w:tabs>
        <w:ind w:left="5760" w:hanging="360"/>
      </w:pPr>
      <w:rPr>
        <w:rFonts w:ascii="Arial" w:hAnsi="Arial" w:cs="Times New Roman" w:hint="default"/>
      </w:rPr>
    </w:lvl>
    <w:lvl w:ilvl="8" w:tplc="8174AA86">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cs="Times New Roman" w:hint="default"/>
      </w:rPr>
    </w:lvl>
    <w:lvl w:ilvl="1" w:tplc="4F921970">
      <w:numFmt w:val="bullet"/>
      <w:lvlText w:val="–"/>
      <w:lvlJc w:val="left"/>
      <w:pPr>
        <w:tabs>
          <w:tab w:val="num" w:pos="1440"/>
        </w:tabs>
        <w:ind w:left="1440" w:hanging="360"/>
      </w:pPr>
      <w:rPr>
        <w:rFonts w:ascii="Arial" w:hAnsi="Arial" w:cs="Times New Roman" w:hint="default"/>
      </w:rPr>
    </w:lvl>
    <w:lvl w:ilvl="2" w:tplc="6116DD82">
      <w:numFmt w:val="bullet"/>
      <w:lvlText w:val="•"/>
      <w:lvlJc w:val="left"/>
      <w:pPr>
        <w:tabs>
          <w:tab w:val="num" w:pos="2160"/>
        </w:tabs>
        <w:ind w:left="2160" w:hanging="360"/>
      </w:pPr>
      <w:rPr>
        <w:rFonts w:ascii="Arial" w:hAnsi="Arial" w:cs="Times New Roman" w:hint="default"/>
      </w:rPr>
    </w:lvl>
    <w:lvl w:ilvl="3" w:tplc="681A2DDC">
      <w:start w:val="1"/>
      <w:numFmt w:val="bullet"/>
      <w:lvlText w:val="•"/>
      <w:lvlJc w:val="left"/>
      <w:pPr>
        <w:tabs>
          <w:tab w:val="num" w:pos="2880"/>
        </w:tabs>
        <w:ind w:left="2880" w:hanging="360"/>
      </w:pPr>
      <w:rPr>
        <w:rFonts w:ascii="Arial" w:hAnsi="Arial" w:cs="Times New Roman" w:hint="default"/>
      </w:rPr>
    </w:lvl>
    <w:lvl w:ilvl="4" w:tplc="98C2E406">
      <w:start w:val="1"/>
      <w:numFmt w:val="bullet"/>
      <w:lvlText w:val="•"/>
      <w:lvlJc w:val="left"/>
      <w:pPr>
        <w:tabs>
          <w:tab w:val="num" w:pos="3600"/>
        </w:tabs>
        <w:ind w:left="3600" w:hanging="360"/>
      </w:pPr>
      <w:rPr>
        <w:rFonts w:ascii="Arial" w:hAnsi="Arial" w:cs="Times New Roman" w:hint="default"/>
      </w:rPr>
    </w:lvl>
    <w:lvl w:ilvl="5" w:tplc="75DE41D2">
      <w:start w:val="1"/>
      <w:numFmt w:val="bullet"/>
      <w:lvlText w:val="•"/>
      <w:lvlJc w:val="left"/>
      <w:pPr>
        <w:tabs>
          <w:tab w:val="num" w:pos="4320"/>
        </w:tabs>
        <w:ind w:left="4320" w:hanging="360"/>
      </w:pPr>
      <w:rPr>
        <w:rFonts w:ascii="Arial" w:hAnsi="Arial" w:cs="Times New Roman" w:hint="default"/>
      </w:rPr>
    </w:lvl>
    <w:lvl w:ilvl="6" w:tplc="67A45CFA">
      <w:start w:val="1"/>
      <w:numFmt w:val="bullet"/>
      <w:lvlText w:val="•"/>
      <w:lvlJc w:val="left"/>
      <w:pPr>
        <w:tabs>
          <w:tab w:val="num" w:pos="5040"/>
        </w:tabs>
        <w:ind w:left="5040" w:hanging="360"/>
      </w:pPr>
      <w:rPr>
        <w:rFonts w:ascii="Arial" w:hAnsi="Arial" w:cs="Times New Roman" w:hint="default"/>
      </w:rPr>
    </w:lvl>
    <w:lvl w:ilvl="7" w:tplc="6FC8B960">
      <w:start w:val="1"/>
      <w:numFmt w:val="bullet"/>
      <w:lvlText w:val="•"/>
      <w:lvlJc w:val="left"/>
      <w:pPr>
        <w:tabs>
          <w:tab w:val="num" w:pos="5760"/>
        </w:tabs>
        <w:ind w:left="5760" w:hanging="360"/>
      </w:pPr>
      <w:rPr>
        <w:rFonts w:ascii="Arial" w:hAnsi="Arial" w:cs="Times New Roman" w:hint="default"/>
      </w:rPr>
    </w:lvl>
    <w:lvl w:ilvl="8" w:tplc="23F4BC80">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6EFE4994"/>
    <w:multiLevelType w:val="hybridMultilevel"/>
    <w:tmpl w:val="FE907022"/>
    <w:lvl w:ilvl="0" w:tplc="D4B8253E">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A19519D"/>
    <w:multiLevelType w:val="hybridMultilevel"/>
    <w:tmpl w:val="D8C0FFE6"/>
    <w:lvl w:ilvl="0" w:tplc="F70ADD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E61E46"/>
    <w:multiLevelType w:val="hybridMultilevel"/>
    <w:tmpl w:val="497A3D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1"/>
  </w:num>
  <w:num w:numId="3">
    <w:abstractNumId w:val="14"/>
  </w:num>
  <w:num w:numId="4">
    <w:abstractNumId w:val="7"/>
  </w:num>
  <w:num w:numId="5">
    <w:abstractNumId w:val="15"/>
  </w:num>
  <w:num w:numId="6">
    <w:abstractNumId w:val="4"/>
  </w:num>
  <w:num w:numId="7">
    <w:abstractNumId w:val="13"/>
  </w:num>
  <w:num w:numId="8">
    <w:abstractNumId w:val="1"/>
  </w:num>
  <w:num w:numId="9">
    <w:abstractNumId w:val="17"/>
  </w:num>
  <w:num w:numId="10">
    <w:abstractNumId w:val="16"/>
  </w:num>
  <w:num w:numId="11">
    <w:abstractNumId w:val="0"/>
  </w:num>
  <w:num w:numId="12">
    <w:abstractNumId w:val="18"/>
  </w:num>
  <w:num w:numId="13">
    <w:abstractNumId w:val="10"/>
  </w:num>
  <w:num w:numId="14">
    <w:abstractNumId w:val="12"/>
  </w:num>
  <w:num w:numId="15">
    <w:abstractNumId w:val="2"/>
  </w:num>
  <w:num w:numId="16">
    <w:abstractNumId w:val="9"/>
  </w:num>
  <w:num w:numId="17">
    <w:abstractNumId w:val="3"/>
  </w:num>
  <w:num w:numId="18">
    <w:abstractNumId w:val="5"/>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5DEF"/>
    <w:rsid w:val="00014AC2"/>
    <w:rsid w:val="00014DAE"/>
    <w:rsid w:val="00023715"/>
    <w:rsid w:val="00034120"/>
    <w:rsid w:val="00034B89"/>
    <w:rsid w:val="0003549F"/>
    <w:rsid w:val="0004058E"/>
    <w:rsid w:val="00053154"/>
    <w:rsid w:val="00056290"/>
    <w:rsid w:val="00073C34"/>
    <w:rsid w:val="00076193"/>
    <w:rsid w:val="00083979"/>
    <w:rsid w:val="00085CBE"/>
    <w:rsid w:val="00091D9D"/>
    <w:rsid w:val="000A3B5F"/>
    <w:rsid w:val="000C3887"/>
    <w:rsid w:val="000C6F1F"/>
    <w:rsid w:val="000C789F"/>
    <w:rsid w:val="000D1350"/>
    <w:rsid w:val="000E5944"/>
    <w:rsid w:val="000F1CE8"/>
    <w:rsid w:val="000F59EB"/>
    <w:rsid w:val="001013D3"/>
    <w:rsid w:val="00104CFA"/>
    <w:rsid w:val="00116CF7"/>
    <w:rsid w:val="00117071"/>
    <w:rsid w:val="0012150C"/>
    <w:rsid w:val="00134957"/>
    <w:rsid w:val="0014360E"/>
    <w:rsid w:val="0016090C"/>
    <w:rsid w:val="00165EDA"/>
    <w:rsid w:val="001660D1"/>
    <w:rsid w:val="00166AA1"/>
    <w:rsid w:val="00170383"/>
    <w:rsid w:val="0017383D"/>
    <w:rsid w:val="00174C46"/>
    <w:rsid w:val="001772FB"/>
    <w:rsid w:val="00190069"/>
    <w:rsid w:val="001966B4"/>
    <w:rsid w:val="0019776A"/>
    <w:rsid w:val="00197B66"/>
    <w:rsid w:val="001A163D"/>
    <w:rsid w:val="001A2090"/>
    <w:rsid w:val="001A21C9"/>
    <w:rsid w:val="001A4BCF"/>
    <w:rsid w:val="001B2FB0"/>
    <w:rsid w:val="001C5268"/>
    <w:rsid w:val="001C6ADE"/>
    <w:rsid w:val="001D4C93"/>
    <w:rsid w:val="001E38EE"/>
    <w:rsid w:val="001F3EA7"/>
    <w:rsid w:val="001F42F4"/>
    <w:rsid w:val="001F7201"/>
    <w:rsid w:val="00201241"/>
    <w:rsid w:val="0020420D"/>
    <w:rsid w:val="00206298"/>
    <w:rsid w:val="0021028E"/>
    <w:rsid w:val="00210698"/>
    <w:rsid w:val="00213EB3"/>
    <w:rsid w:val="00215DD9"/>
    <w:rsid w:val="00220E7C"/>
    <w:rsid w:val="0022320F"/>
    <w:rsid w:val="0022376B"/>
    <w:rsid w:val="0023158B"/>
    <w:rsid w:val="002367D6"/>
    <w:rsid w:val="00244AA0"/>
    <w:rsid w:val="00244F38"/>
    <w:rsid w:val="00245B02"/>
    <w:rsid w:val="002474F5"/>
    <w:rsid w:val="00256178"/>
    <w:rsid w:val="002565B9"/>
    <w:rsid w:val="00256C02"/>
    <w:rsid w:val="00261763"/>
    <w:rsid w:val="002716BD"/>
    <w:rsid w:val="00274DED"/>
    <w:rsid w:val="002761C6"/>
    <w:rsid w:val="00276A9B"/>
    <w:rsid w:val="00281CC0"/>
    <w:rsid w:val="002847C8"/>
    <w:rsid w:val="002A160F"/>
    <w:rsid w:val="002A5DA7"/>
    <w:rsid w:val="002A7291"/>
    <w:rsid w:val="002B2CAA"/>
    <w:rsid w:val="002B51CF"/>
    <w:rsid w:val="002C1605"/>
    <w:rsid w:val="002C4433"/>
    <w:rsid w:val="002E13B1"/>
    <w:rsid w:val="002E33B4"/>
    <w:rsid w:val="002F7FE2"/>
    <w:rsid w:val="003066F1"/>
    <w:rsid w:val="003122B1"/>
    <w:rsid w:val="00315E35"/>
    <w:rsid w:val="003225DD"/>
    <w:rsid w:val="0032642A"/>
    <w:rsid w:val="003269F7"/>
    <w:rsid w:val="00326B03"/>
    <w:rsid w:val="003316ED"/>
    <w:rsid w:val="0033308E"/>
    <w:rsid w:val="00334980"/>
    <w:rsid w:val="00340CC5"/>
    <w:rsid w:val="00340FDF"/>
    <w:rsid w:val="00347526"/>
    <w:rsid w:val="003517AC"/>
    <w:rsid w:val="00352554"/>
    <w:rsid w:val="003534AA"/>
    <w:rsid w:val="003548B9"/>
    <w:rsid w:val="00357146"/>
    <w:rsid w:val="00371B07"/>
    <w:rsid w:val="00373ADD"/>
    <w:rsid w:val="00375400"/>
    <w:rsid w:val="003764AC"/>
    <w:rsid w:val="00390861"/>
    <w:rsid w:val="00391E07"/>
    <w:rsid w:val="00393913"/>
    <w:rsid w:val="003951F7"/>
    <w:rsid w:val="003A04F1"/>
    <w:rsid w:val="003A04FC"/>
    <w:rsid w:val="003B5218"/>
    <w:rsid w:val="003B7C3C"/>
    <w:rsid w:val="003BB213"/>
    <w:rsid w:val="003C0EA9"/>
    <w:rsid w:val="003C2F04"/>
    <w:rsid w:val="003C72EB"/>
    <w:rsid w:val="003C7822"/>
    <w:rsid w:val="003D2D12"/>
    <w:rsid w:val="003D53AC"/>
    <w:rsid w:val="003E1BE6"/>
    <w:rsid w:val="003E3F40"/>
    <w:rsid w:val="003E6C26"/>
    <w:rsid w:val="003F0846"/>
    <w:rsid w:val="003F4268"/>
    <w:rsid w:val="003F4495"/>
    <w:rsid w:val="003F5128"/>
    <w:rsid w:val="003F729C"/>
    <w:rsid w:val="00402757"/>
    <w:rsid w:val="00420DCA"/>
    <w:rsid w:val="00422837"/>
    <w:rsid w:val="00425160"/>
    <w:rsid w:val="004252BB"/>
    <w:rsid w:val="00440A84"/>
    <w:rsid w:val="004429AA"/>
    <w:rsid w:val="00442BAD"/>
    <w:rsid w:val="00443603"/>
    <w:rsid w:val="0044554C"/>
    <w:rsid w:val="00446D38"/>
    <w:rsid w:val="00461815"/>
    <w:rsid w:val="00463A36"/>
    <w:rsid w:val="00471A72"/>
    <w:rsid w:val="00473872"/>
    <w:rsid w:val="004809FB"/>
    <w:rsid w:val="0048126D"/>
    <w:rsid w:val="00492997"/>
    <w:rsid w:val="0049311E"/>
    <w:rsid w:val="00494344"/>
    <w:rsid w:val="00495E98"/>
    <w:rsid w:val="004A055C"/>
    <w:rsid w:val="004A3F4E"/>
    <w:rsid w:val="004B1E82"/>
    <w:rsid w:val="004B3CF6"/>
    <w:rsid w:val="004C1E8F"/>
    <w:rsid w:val="004C4E4E"/>
    <w:rsid w:val="004D4620"/>
    <w:rsid w:val="004E4F0D"/>
    <w:rsid w:val="004E522E"/>
    <w:rsid w:val="004E5EAB"/>
    <w:rsid w:val="004E6B41"/>
    <w:rsid w:val="004F02F5"/>
    <w:rsid w:val="005022DC"/>
    <w:rsid w:val="0050388E"/>
    <w:rsid w:val="0051638C"/>
    <w:rsid w:val="00521810"/>
    <w:rsid w:val="00523B51"/>
    <w:rsid w:val="00537CE7"/>
    <w:rsid w:val="00537D9E"/>
    <w:rsid w:val="00541708"/>
    <w:rsid w:val="00542579"/>
    <w:rsid w:val="005432BA"/>
    <w:rsid w:val="00546D77"/>
    <w:rsid w:val="00547E1B"/>
    <w:rsid w:val="00550004"/>
    <w:rsid w:val="005508EC"/>
    <w:rsid w:val="00557EEB"/>
    <w:rsid w:val="005839B8"/>
    <w:rsid w:val="00584213"/>
    <w:rsid w:val="00587D46"/>
    <w:rsid w:val="00591212"/>
    <w:rsid w:val="00591AE5"/>
    <w:rsid w:val="005941BF"/>
    <w:rsid w:val="005975D7"/>
    <w:rsid w:val="005A66B6"/>
    <w:rsid w:val="005C30EA"/>
    <w:rsid w:val="005C4EF5"/>
    <w:rsid w:val="005C674C"/>
    <w:rsid w:val="005D2FEF"/>
    <w:rsid w:val="005D3F8A"/>
    <w:rsid w:val="005D6D93"/>
    <w:rsid w:val="005E1F82"/>
    <w:rsid w:val="005E3E10"/>
    <w:rsid w:val="005E434B"/>
    <w:rsid w:val="005E5913"/>
    <w:rsid w:val="005E6967"/>
    <w:rsid w:val="005F7E10"/>
    <w:rsid w:val="006010EE"/>
    <w:rsid w:val="00601A78"/>
    <w:rsid w:val="006059CA"/>
    <w:rsid w:val="00607E82"/>
    <w:rsid w:val="006155F2"/>
    <w:rsid w:val="00615666"/>
    <w:rsid w:val="00617413"/>
    <w:rsid w:val="00621EDA"/>
    <w:rsid w:val="00622D9D"/>
    <w:rsid w:val="00625843"/>
    <w:rsid w:val="00625F58"/>
    <w:rsid w:val="00626859"/>
    <w:rsid w:val="00627143"/>
    <w:rsid w:val="00627B3C"/>
    <w:rsid w:val="00631EC4"/>
    <w:rsid w:val="00632F75"/>
    <w:rsid w:val="00633018"/>
    <w:rsid w:val="006331A1"/>
    <w:rsid w:val="006356A6"/>
    <w:rsid w:val="00640949"/>
    <w:rsid w:val="006474DB"/>
    <w:rsid w:val="00651BB8"/>
    <w:rsid w:val="00653A6B"/>
    <w:rsid w:val="00660CD2"/>
    <w:rsid w:val="00663BF6"/>
    <w:rsid w:val="006647BF"/>
    <w:rsid w:val="00670606"/>
    <w:rsid w:val="0067283C"/>
    <w:rsid w:val="00677ACE"/>
    <w:rsid w:val="00682D66"/>
    <w:rsid w:val="00683235"/>
    <w:rsid w:val="00694075"/>
    <w:rsid w:val="006A4027"/>
    <w:rsid w:val="006B0EE4"/>
    <w:rsid w:val="006B179F"/>
    <w:rsid w:val="006C017B"/>
    <w:rsid w:val="006C1720"/>
    <w:rsid w:val="006C5334"/>
    <w:rsid w:val="006C5B8D"/>
    <w:rsid w:val="006C7500"/>
    <w:rsid w:val="006C7F13"/>
    <w:rsid w:val="006D1E33"/>
    <w:rsid w:val="006D3C89"/>
    <w:rsid w:val="006D654A"/>
    <w:rsid w:val="006E39F2"/>
    <w:rsid w:val="006F2AD9"/>
    <w:rsid w:val="007003A3"/>
    <w:rsid w:val="00707C83"/>
    <w:rsid w:val="0071757D"/>
    <w:rsid w:val="00722F34"/>
    <w:rsid w:val="00727829"/>
    <w:rsid w:val="00743548"/>
    <w:rsid w:val="0074587A"/>
    <w:rsid w:val="007537AD"/>
    <w:rsid w:val="00755E80"/>
    <w:rsid w:val="00761C9B"/>
    <w:rsid w:val="00764F51"/>
    <w:rsid w:val="007676DD"/>
    <w:rsid w:val="00770179"/>
    <w:rsid w:val="00772D07"/>
    <w:rsid w:val="00772DFC"/>
    <w:rsid w:val="00783B93"/>
    <w:rsid w:val="0078518E"/>
    <w:rsid w:val="007860B2"/>
    <w:rsid w:val="007863DD"/>
    <w:rsid w:val="00790C76"/>
    <w:rsid w:val="00791A87"/>
    <w:rsid w:val="007A1B90"/>
    <w:rsid w:val="007A1EEF"/>
    <w:rsid w:val="007A5134"/>
    <w:rsid w:val="007B0A99"/>
    <w:rsid w:val="007B1DBF"/>
    <w:rsid w:val="007B703F"/>
    <w:rsid w:val="007B777D"/>
    <w:rsid w:val="007C0355"/>
    <w:rsid w:val="007C4D1B"/>
    <w:rsid w:val="007D4ADD"/>
    <w:rsid w:val="007D4D82"/>
    <w:rsid w:val="007E297D"/>
    <w:rsid w:val="007E4180"/>
    <w:rsid w:val="007F4243"/>
    <w:rsid w:val="007F510D"/>
    <w:rsid w:val="00812469"/>
    <w:rsid w:val="008143E9"/>
    <w:rsid w:val="00817CE3"/>
    <w:rsid w:val="008206B7"/>
    <w:rsid w:val="00824D06"/>
    <w:rsid w:val="00826415"/>
    <w:rsid w:val="00832F01"/>
    <w:rsid w:val="00836B29"/>
    <w:rsid w:val="00850251"/>
    <w:rsid w:val="008577BD"/>
    <w:rsid w:val="00857B19"/>
    <w:rsid w:val="00862017"/>
    <w:rsid w:val="0086738C"/>
    <w:rsid w:val="00872482"/>
    <w:rsid w:val="00873652"/>
    <w:rsid w:val="00873C76"/>
    <w:rsid w:val="008826AE"/>
    <w:rsid w:val="00882B71"/>
    <w:rsid w:val="008871C0"/>
    <w:rsid w:val="008875F2"/>
    <w:rsid w:val="008917FE"/>
    <w:rsid w:val="00894BD5"/>
    <w:rsid w:val="0089769B"/>
    <w:rsid w:val="008A1D9F"/>
    <w:rsid w:val="008B43E9"/>
    <w:rsid w:val="008C0B7D"/>
    <w:rsid w:val="008D47FB"/>
    <w:rsid w:val="008D59AB"/>
    <w:rsid w:val="008E0213"/>
    <w:rsid w:val="008E1A86"/>
    <w:rsid w:val="008E1FA2"/>
    <w:rsid w:val="008E2ABE"/>
    <w:rsid w:val="008E5BB5"/>
    <w:rsid w:val="008F0D3D"/>
    <w:rsid w:val="008F55A1"/>
    <w:rsid w:val="009028BB"/>
    <w:rsid w:val="00902AAD"/>
    <w:rsid w:val="00903D28"/>
    <w:rsid w:val="009100D3"/>
    <w:rsid w:val="0091330E"/>
    <w:rsid w:val="0093559E"/>
    <w:rsid w:val="00937E67"/>
    <w:rsid w:val="00940149"/>
    <w:rsid w:val="0094058D"/>
    <w:rsid w:val="00940C83"/>
    <w:rsid w:val="00944376"/>
    <w:rsid w:val="00950C60"/>
    <w:rsid w:val="00954387"/>
    <w:rsid w:val="00961CB5"/>
    <w:rsid w:val="009638A3"/>
    <w:rsid w:val="00963CEC"/>
    <w:rsid w:val="00967C31"/>
    <w:rsid w:val="00972741"/>
    <w:rsid w:val="0097735C"/>
    <w:rsid w:val="009831CE"/>
    <w:rsid w:val="00990134"/>
    <w:rsid w:val="00990D58"/>
    <w:rsid w:val="00991A9E"/>
    <w:rsid w:val="0099276B"/>
    <w:rsid w:val="00992DB0"/>
    <w:rsid w:val="009A0F49"/>
    <w:rsid w:val="009A2463"/>
    <w:rsid w:val="009A2FE3"/>
    <w:rsid w:val="009A5832"/>
    <w:rsid w:val="009A7F30"/>
    <w:rsid w:val="009B0969"/>
    <w:rsid w:val="009B2B44"/>
    <w:rsid w:val="009B4B31"/>
    <w:rsid w:val="009B7656"/>
    <w:rsid w:val="009C0FEE"/>
    <w:rsid w:val="009D1B5C"/>
    <w:rsid w:val="009E2B2A"/>
    <w:rsid w:val="009E35F2"/>
    <w:rsid w:val="009E6101"/>
    <w:rsid w:val="009E7ED2"/>
    <w:rsid w:val="009F518C"/>
    <w:rsid w:val="009F6669"/>
    <w:rsid w:val="009F7551"/>
    <w:rsid w:val="00A10FD7"/>
    <w:rsid w:val="00A135B2"/>
    <w:rsid w:val="00A2293E"/>
    <w:rsid w:val="00A25130"/>
    <w:rsid w:val="00A25B95"/>
    <w:rsid w:val="00A277CB"/>
    <w:rsid w:val="00A30225"/>
    <w:rsid w:val="00A3181A"/>
    <w:rsid w:val="00A32836"/>
    <w:rsid w:val="00A41CC6"/>
    <w:rsid w:val="00A45EFB"/>
    <w:rsid w:val="00A52C48"/>
    <w:rsid w:val="00A536F3"/>
    <w:rsid w:val="00A564C4"/>
    <w:rsid w:val="00A56DBE"/>
    <w:rsid w:val="00A5727A"/>
    <w:rsid w:val="00A578AB"/>
    <w:rsid w:val="00A64B71"/>
    <w:rsid w:val="00A73C0C"/>
    <w:rsid w:val="00A75296"/>
    <w:rsid w:val="00A87A2D"/>
    <w:rsid w:val="00A93A9C"/>
    <w:rsid w:val="00A95A86"/>
    <w:rsid w:val="00AA0E4F"/>
    <w:rsid w:val="00AA62A5"/>
    <w:rsid w:val="00AA63EB"/>
    <w:rsid w:val="00AB338A"/>
    <w:rsid w:val="00AB4752"/>
    <w:rsid w:val="00AC0A20"/>
    <w:rsid w:val="00AC0B67"/>
    <w:rsid w:val="00AD0E38"/>
    <w:rsid w:val="00AD5D9F"/>
    <w:rsid w:val="00AD6A5B"/>
    <w:rsid w:val="00AD7A92"/>
    <w:rsid w:val="00AE3F8B"/>
    <w:rsid w:val="00AE5685"/>
    <w:rsid w:val="00AF3BB2"/>
    <w:rsid w:val="00AF6414"/>
    <w:rsid w:val="00AF7260"/>
    <w:rsid w:val="00B06EA4"/>
    <w:rsid w:val="00B12EAE"/>
    <w:rsid w:val="00B21EB9"/>
    <w:rsid w:val="00B233FD"/>
    <w:rsid w:val="00B2508B"/>
    <w:rsid w:val="00B3230D"/>
    <w:rsid w:val="00B332B0"/>
    <w:rsid w:val="00B34C26"/>
    <w:rsid w:val="00B5097A"/>
    <w:rsid w:val="00B532EF"/>
    <w:rsid w:val="00B53453"/>
    <w:rsid w:val="00B6091B"/>
    <w:rsid w:val="00B72693"/>
    <w:rsid w:val="00B755BF"/>
    <w:rsid w:val="00B80721"/>
    <w:rsid w:val="00B86353"/>
    <w:rsid w:val="00B952FD"/>
    <w:rsid w:val="00B96108"/>
    <w:rsid w:val="00BA10BD"/>
    <w:rsid w:val="00BA3EF9"/>
    <w:rsid w:val="00BA4BF4"/>
    <w:rsid w:val="00BA6B09"/>
    <w:rsid w:val="00BB4346"/>
    <w:rsid w:val="00BB5BA6"/>
    <w:rsid w:val="00BB6256"/>
    <w:rsid w:val="00BC23B6"/>
    <w:rsid w:val="00BC7322"/>
    <w:rsid w:val="00BD12EB"/>
    <w:rsid w:val="00BD16BC"/>
    <w:rsid w:val="00BE4C52"/>
    <w:rsid w:val="00BE68FC"/>
    <w:rsid w:val="00BF3DEA"/>
    <w:rsid w:val="00BF53A2"/>
    <w:rsid w:val="00BF6B4C"/>
    <w:rsid w:val="00BF7AED"/>
    <w:rsid w:val="00C007AD"/>
    <w:rsid w:val="00C052A4"/>
    <w:rsid w:val="00C10851"/>
    <w:rsid w:val="00C15F27"/>
    <w:rsid w:val="00C17864"/>
    <w:rsid w:val="00C17877"/>
    <w:rsid w:val="00C204F9"/>
    <w:rsid w:val="00C273BF"/>
    <w:rsid w:val="00C31DCE"/>
    <w:rsid w:val="00C32711"/>
    <w:rsid w:val="00C4148F"/>
    <w:rsid w:val="00C5089F"/>
    <w:rsid w:val="00C52A75"/>
    <w:rsid w:val="00C53ECF"/>
    <w:rsid w:val="00C551FD"/>
    <w:rsid w:val="00C57794"/>
    <w:rsid w:val="00C624ED"/>
    <w:rsid w:val="00C633BB"/>
    <w:rsid w:val="00C70292"/>
    <w:rsid w:val="00C71703"/>
    <w:rsid w:val="00C75504"/>
    <w:rsid w:val="00C77783"/>
    <w:rsid w:val="00C84068"/>
    <w:rsid w:val="00C86715"/>
    <w:rsid w:val="00C90F33"/>
    <w:rsid w:val="00C94B98"/>
    <w:rsid w:val="00CA1776"/>
    <w:rsid w:val="00CA605D"/>
    <w:rsid w:val="00CB065B"/>
    <w:rsid w:val="00CC11E7"/>
    <w:rsid w:val="00CC48BE"/>
    <w:rsid w:val="00CD010D"/>
    <w:rsid w:val="00CD7A35"/>
    <w:rsid w:val="00CE348D"/>
    <w:rsid w:val="00CF1431"/>
    <w:rsid w:val="00CF15D2"/>
    <w:rsid w:val="00CF167B"/>
    <w:rsid w:val="00D00686"/>
    <w:rsid w:val="00D02038"/>
    <w:rsid w:val="00D03397"/>
    <w:rsid w:val="00D0404A"/>
    <w:rsid w:val="00D10AE3"/>
    <w:rsid w:val="00D10F1F"/>
    <w:rsid w:val="00D1631B"/>
    <w:rsid w:val="00D20710"/>
    <w:rsid w:val="00D224BD"/>
    <w:rsid w:val="00D2723C"/>
    <w:rsid w:val="00D36D5B"/>
    <w:rsid w:val="00D37315"/>
    <w:rsid w:val="00D44B68"/>
    <w:rsid w:val="00D464EF"/>
    <w:rsid w:val="00D46979"/>
    <w:rsid w:val="00D54DA2"/>
    <w:rsid w:val="00D61C33"/>
    <w:rsid w:val="00D63BDF"/>
    <w:rsid w:val="00D64851"/>
    <w:rsid w:val="00D7232F"/>
    <w:rsid w:val="00D72C4B"/>
    <w:rsid w:val="00D82B75"/>
    <w:rsid w:val="00D9215B"/>
    <w:rsid w:val="00D97732"/>
    <w:rsid w:val="00DC70C0"/>
    <w:rsid w:val="00DE3DCF"/>
    <w:rsid w:val="00DE48E8"/>
    <w:rsid w:val="00DE5114"/>
    <w:rsid w:val="00DE5DBD"/>
    <w:rsid w:val="00DF1AA5"/>
    <w:rsid w:val="00DF33A6"/>
    <w:rsid w:val="00DF47F1"/>
    <w:rsid w:val="00DF4A22"/>
    <w:rsid w:val="00DF7957"/>
    <w:rsid w:val="00E1024A"/>
    <w:rsid w:val="00E11296"/>
    <w:rsid w:val="00E1416F"/>
    <w:rsid w:val="00E15953"/>
    <w:rsid w:val="00E16B31"/>
    <w:rsid w:val="00E22394"/>
    <w:rsid w:val="00E23096"/>
    <w:rsid w:val="00E231F9"/>
    <w:rsid w:val="00E24EF3"/>
    <w:rsid w:val="00E27C93"/>
    <w:rsid w:val="00E34ED3"/>
    <w:rsid w:val="00E35C95"/>
    <w:rsid w:val="00E370FB"/>
    <w:rsid w:val="00E37A50"/>
    <w:rsid w:val="00E429D6"/>
    <w:rsid w:val="00E4746C"/>
    <w:rsid w:val="00E474BB"/>
    <w:rsid w:val="00E5105B"/>
    <w:rsid w:val="00E516E3"/>
    <w:rsid w:val="00E51F63"/>
    <w:rsid w:val="00E53A35"/>
    <w:rsid w:val="00E544C3"/>
    <w:rsid w:val="00E66B56"/>
    <w:rsid w:val="00E7234E"/>
    <w:rsid w:val="00E8182D"/>
    <w:rsid w:val="00E85E2C"/>
    <w:rsid w:val="00E878C8"/>
    <w:rsid w:val="00E87EED"/>
    <w:rsid w:val="00E903B3"/>
    <w:rsid w:val="00E944FF"/>
    <w:rsid w:val="00EA13CD"/>
    <w:rsid w:val="00EA604C"/>
    <w:rsid w:val="00EA7B64"/>
    <w:rsid w:val="00EB1174"/>
    <w:rsid w:val="00EB6F39"/>
    <w:rsid w:val="00EB72BF"/>
    <w:rsid w:val="00EC1071"/>
    <w:rsid w:val="00EC3F34"/>
    <w:rsid w:val="00EC504E"/>
    <w:rsid w:val="00EC574D"/>
    <w:rsid w:val="00EE0F4C"/>
    <w:rsid w:val="00EE3BB5"/>
    <w:rsid w:val="00EE64E9"/>
    <w:rsid w:val="00EF3E28"/>
    <w:rsid w:val="00F03865"/>
    <w:rsid w:val="00F17084"/>
    <w:rsid w:val="00F24943"/>
    <w:rsid w:val="00F24AAA"/>
    <w:rsid w:val="00F24EAB"/>
    <w:rsid w:val="00F44017"/>
    <w:rsid w:val="00F476CE"/>
    <w:rsid w:val="00F5147A"/>
    <w:rsid w:val="00F514EA"/>
    <w:rsid w:val="00F634C2"/>
    <w:rsid w:val="00F64A14"/>
    <w:rsid w:val="00F75ADB"/>
    <w:rsid w:val="00F80A4A"/>
    <w:rsid w:val="00F80ED4"/>
    <w:rsid w:val="00F87275"/>
    <w:rsid w:val="00FA0141"/>
    <w:rsid w:val="00FA4F68"/>
    <w:rsid w:val="00FA6FF9"/>
    <w:rsid w:val="00FB0E4B"/>
    <w:rsid w:val="00FB3B25"/>
    <w:rsid w:val="00FB6349"/>
    <w:rsid w:val="00FC0B60"/>
    <w:rsid w:val="00FC490E"/>
    <w:rsid w:val="00FD56C3"/>
    <w:rsid w:val="00FE2C54"/>
    <w:rsid w:val="00FE71A3"/>
    <w:rsid w:val="00FE7B16"/>
    <w:rsid w:val="00FF6D27"/>
    <w:rsid w:val="00FF7034"/>
    <w:rsid w:val="01902FAD"/>
    <w:rsid w:val="0256D878"/>
    <w:rsid w:val="0370B994"/>
    <w:rsid w:val="08175DDC"/>
    <w:rsid w:val="086A310F"/>
    <w:rsid w:val="0EFFCBA4"/>
    <w:rsid w:val="0FC4AD4D"/>
    <w:rsid w:val="10D1BC93"/>
    <w:rsid w:val="11F9231D"/>
    <w:rsid w:val="19C071A6"/>
    <w:rsid w:val="1A99177C"/>
    <w:rsid w:val="1B8E5CF3"/>
    <w:rsid w:val="1E7F7D4B"/>
    <w:rsid w:val="1EB4456B"/>
    <w:rsid w:val="25FC4415"/>
    <w:rsid w:val="2ABFE37A"/>
    <w:rsid w:val="2D3D9FAA"/>
    <w:rsid w:val="3171B5BA"/>
    <w:rsid w:val="320A60DB"/>
    <w:rsid w:val="32EEF86C"/>
    <w:rsid w:val="3522ED75"/>
    <w:rsid w:val="3FD4FEDF"/>
    <w:rsid w:val="4324BD11"/>
    <w:rsid w:val="45A0017B"/>
    <w:rsid w:val="47A1AC71"/>
    <w:rsid w:val="496E36D4"/>
    <w:rsid w:val="4ACA00FB"/>
    <w:rsid w:val="4B73CD5D"/>
    <w:rsid w:val="4D076837"/>
    <w:rsid w:val="4EB47872"/>
    <w:rsid w:val="53D5D3DB"/>
    <w:rsid w:val="54C43BFB"/>
    <w:rsid w:val="5520E481"/>
    <w:rsid w:val="5B5630AF"/>
    <w:rsid w:val="5B776CBC"/>
    <w:rsid w:val="5E5C894B"/>
    <w:rsid w:val="5F7369C7"/>
    <w:rsid w:val="5FFF6EF8"/>
    <w:rsid w:val="6343FDE1"/>
    <w:rsid w:val="64D11C05"/>
    <w:rsid w:val="6673B3A7"/>
    <w:rsid w:val="685DD036"/>
    <w:rsid w:val="69E2D599"/>
    <w:rsid w:val="6B8E5F48"/>
    <w:rsid w:val="6BBA73B3"/>
    <w:rsid w:val="6FC23591"/>
    <w:rsid w:val="6FEEB127"/>
    <w:rsid w:val="723973E8"/>
    <w:rsid w:val="72ED365B"/>
    <w:rsid w:val="777A394D"/>
    <w:rsid w:val="7D8D7A75"/>
    <w:rsid w:val="7F033DD9"/>
    <w:rsid w:val="7F4703E8"/>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90C18"/>
  <w15:chartTrackingRefBased/>
  <w15:docId w15:val="{2C8FF900-C523-49A8-B209-BA76F4F1A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basedOn w:val="Normal"/>
    <w:uiPriority w:val="34"/>
    <w:qFormat/>
    <w:rsid w:val="00C624ED"/>
    <w:pPr>
      <w:ind w:left="720"/>
      <w:contextualSpacing/>
    </w:pPr>
  </w:style>
  <w:style w:type="character" w:styleId="CommentReference">
    <w:name w:val="annotation reference"/>
    <w:basedOn w:val="DefaultParagraphFont"/>
    <w:uiPriority w:val="99"/>
    <w:semiHidden/>
    <w:unhideWhenUsed/>
    <w:rsid w:val="00256C02"/>
    <w:rPr>
      <w:sz w:val="16"/>
      <w:szCs w:val="16"/>
    </w:rPr>
  </w:style>
  <w:style w:type="paragraph" w:styleId="CommentText">
    <w:name w:val="annotation text"/>
    <w:basedOn w:val="Normal"/>
    <w:link w:val="CommentTextChar"/>
    <w:uiPriority w:val="99"/>
    <w:semiHidden/>
    <w:unhideWhenUsed/>
    <w:rsid w:val="00256C02"/>
  </w:style>
  <w:style w:type="character" w:customStyle="1" w:styleId="CommentTextChar">
    <w:name w:val="Comment Text Char"/>
    <w:basedOn w:val="DefaultParagraphFont"/>
    <w:link w:val="CommentText"/>
    <w:uiPriority w:val="99"/>
    <w:semiHidden/>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Header">
    <w:name w:val="header"/>
    <w:basedOn w:val="Normal"/>
    <w:link w:val="HeaderChar"/>
    <w:uiPriority w:val="99"/>
    <w:unhideWhenUsed/>
    <w:rsid w:val="00F44017"/>
    <w:pPr>
      <w:tabs>
        <w:tab w:val="center" w:pos="4680"/>
        <w:tab w:val="right" w:pos="9360"/>
      </w:tabs>
      <w:spacing w:after="0"/>
    </w:pPr>
  </w:style>
  <w:style w:type="character" w:customStyle="1" w:styleId="HeaderChar">
    <w:name w:val="Header Char"/>
    <w:basedOn w:val="DefaultParagraphFont"/>
    <w:link w:val="Header"/>
    <w:uiPriority w:val="99"/>
    <w:rsid w:val="00F44017"/>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F44017"/>
    <w:pPr>
      <w:tabs>
        <w:tab w:val="center" w:pos="4680"/>
        <w:tab w:val="right" w:pos="9360"/>
      </w:tabs>
      <w:spacing w:after="0"/>
    </w:pPr>
  </w:style>
  <w:style w:type="character" w:customStyle="1" w:styleId="FooterChar">
    <w:name w:val="Footer Char"/>
    <w:basedOn w:val="DefaultParagraphFont"/>
    <w:link w:val="Footer"/>
    <w:uiPriority w:val="99"/>
    <w:rsid w:val="00F44017"/>
    <w:rPr>
      <w:rFonts w:ascii="Times New Roman" w:eastAsia="Malgun Gothic" w:hAnsi="Times New Roman" w:cs="Times New Roman"/>
      <w:sz w:val="20"/>
      <w:szCs w:val="20"/>
      <w:lang w:val="en-GB" w:eastAsia="en-US"/>
    </w:rPr>
  </w:style>
  <w:style w:type="paragraph" w:customStyle="1" w:styleId="TAH">
    <w:name w:val="TAH"/>
    <w:basedOn w:val="TAC"/>
    <w:link w:val="TAHCar"/>
    <w:qFormat/>
    <w:rsid w:val="00F44017"/>
    <w:rPr>
      <w:b/>
    </w:rPr>
  </w:style>
  <w:style w:type="paragraph" w:customStyle="1" w:styleId="TAC">
    <w:name w:val="TAC"/>
    <w:basedOn w:val="Normal"/>
    <w:link w:val="TACChar"/>
    <w:qFormat/>
    <w:rsid w:val="00F44017"/>
    <w:pPr>
      <w:keepNext/>
      <w:keepLines/>
      <w:spacing w:after="0"/>
      <w:jc w:val="center"/>
    </w:pPr>
    <w:rPr>
      <w:rFonts w:ascii="Arial" w:eastAsia="Times New Roman" w:hAnsi="Arial"/>
      <w:sz w:val="18"/>
    </w:rPr>
  </w:style>
  <w:style w:type="character" w:styleId="Strong">
    <w:name w:val="Strong"/>
    <w:uiPriority w:val="22"/>
    <w:qFormat/>
    <w:rsid w:val="00F44017"/>
    <w:rPr>
      <w:b/>
      <w:bCs/>
      <w:spacing w:val="0"/>
    </w:rPr>
  </w:style>
  <w:style w:type="character" w:customStyle="1" w:styleId="TAHCar">
    <w:name w:val="TAH Car"/>
    <w:link w:val="TAH"/>
    <w:qFormat/>
    <w:locked/>
    <w:rsid w:val="00F44017"/>
    <w:rPr>
      <w:rFonts w:ascii="Arial" w:eastAsia="Times New Roman" w:hAnsi="Arial" w:cs="Times New Roman"/>
      <w:b/>
      <w:sz w:val="18"/>
      <w:szCs w:val="20"/>
      <w:lang w:val="en-GB" w:eastAsia="en-US"/>
    </w:rPr>
  </w:style>
  <w:style w:type="character" w:customStyle="1" w:styleId="TACChar">
    <w:name w:val="TAC Char"/>
    <w:link w:val="TAC"/>
    <w:qFormat/>
    <w:locked/>
    <w:rsid w:val="00F44017"/>
    <w:rPr>
      <w:rFonts w:ascii="Arial" w:eastAsia="Times New Roman" w:hAnsi="Arial" w:cs="Times New Roman"/>
      <w:sz w:val="18"/>
      <w:szCs w:val="20"/>
      <w:lang w:val="en-GB" w:eastAsia="en-US"/>
    </w:rPr>
  </w:style>
  <w:style w:type="paragraph" w:customStyle="1" w:styleId="TF">
    <w:name w:val="TF"/>
    <w:basedOn w:val="Normal"/>
    <w:link w:val="TFChar"/>
    <w:qFormat/>
    <w:rsid w:val="00E1416F"/>
    <w:pPr>
      <w:keepLines/>
      <w:spacing w:after="240"/>
      <w:jc w:val="center"/>
    </w:pPr>
    <w:rPr>
      <w:rFonts w:ascii="Arial" w:eastAsia="Times New Roman" w:hAnsi="Arial"/>
      <w:b/>
    </w:rPr>
  </w:style>
  <w:style w:type="character" w:customStyle="1" w:styleId="TFChar">
    <w:name w:val="TF Char"/>
    <w:link w:val="TF"/>
    <w:rsid w:val="00E1416F"/>
    <w:rPr>
      <w:rFonts w:ascii="Arial" w:eastAsia="Times New Roman" w:hAnsi="Arial" w:cs="Times New Roman"/>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2.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CFE50426-0C75-437D-89F8-922166B574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1339</Words>
  <Characters>6776</Characters>
  <Application>Microsoft Office Word</Application>
  <DocSecurity>0</DocSecurity>
  <Lines>132</Lines>
  <Paragraphs>74</Paragraphs>
  <ScaleCrop>false</ScaleCrop>
  <Company>Intel Corporation</Company>
  <LinksUpToDate>false</LinksUpToDate>
  <CharactersWithSpaces>8165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Intel - Candy</cp:lastModifiedBy>
  <cp:revision>4</cp:revision>
  <dcterms:created xsi:type="dcterms:W3CDTF">2020-08-07T04:29:00Z</dcterms:created>
  <dcterms:modified xsi:type="dcterms:W3CDTF">2020-08-07T04:29:00Z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f2632737-27e5-489f-972e-6a9fd710df68</vt:lpwstr>
  </property>
  <property fmtid="{D5CDD505-2E9C-101B-9397-08002B2CF9AE}" pid="4" name="CTP_TimeStamp">
    <vt:lpwstr>2020-08-07 04:29:33Z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