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60C0D9E3"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11-e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070606" w:rsidRPr="00070606">
        <w:rPr>
          <w:bCs/>
          <w:noProof w:val="0"/>
          <w:sz w:val="24"/>
        </w:rPr>
        <w:t>R2-2006748</w:t>
      </w:r>
    </w:p>
    <w:p w14:paraId="2B60AF3C" w14:textId="11BBB71B"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F84281">
        <w:rPr>
          <w:b/>
          <w:sz w:val="24"/>
        </w:rPr>
        <w:t>17</w:t>
      </w:r>
      <w:r w:rsidR="00F73A55" w:rsidRPr="00F73A55">
        <w:rPr>
          <w:b/>
          <w:sz w:val="24"/>
        </w:rPr>
        <w:t xml:space="preserve">th-28th </w:t>
      </w:r>
      <w:r w:rsidR="00F84281">
        <w:rPr>
          <w:b/>
          <w:sz w:val="24"/>
        </w:rPr>
        <w:t>August</w:t>
      </w:r>
      <w:r w:rsidR="00F73A55" w:rsidRPr="00F73A55">
        <w:rPr>
          <w:b/>
          <w:sz w:val="24"/>
        </w:rPr>
        <w:t xml:space="preserve"> 20</w:t>
      </w:r>
      <w:r>
        <w:rPr>
          <w:b/>
          <w:sz w:val="24"/>
        </w:rPr>
        <w:t>20</w:t>
      </w:r>
    </w:p>
    <w:p w14:paraId="372F5655" w14:textId="6173CAE8"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280784">
        <w:rPr>
          <w:rFonts w:cs="Arial"/>
          <w:bCs/>
          <w:sz w:val="24"/>
          <w:lang w:val="en-US"/>
        </w:rPr>
        <w:t>8.12.3</w:t>
      </w:r>
    </w:p>
    <w:p w14:paraId="2E0FC3EF"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323C0045"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21018A">
        <w:rPr>
          <w:rFonts w:ascii="Arial" w:hAnsi="Arial" w:cs="Arial"/>
          <w:bCs/>
          <w:sz w:val="24"/>
        </w:rPr>
        <w:t xml:space="preserve">Use cases </w:t>
      </w:r>
      <w:r w:rsidR="00EF3FE8">
        <w:rPr>
          <w:rFonts w:ascii="Arial" w:hAnsi="Arial" w:cs="Arial"/>
          <w:bCs/>
          <w:sz w:val="24"/>
        </w:rPr>
        <w:t>target to e</w:t>
      </w:r>
      <w:r w:rsidR="00D762F0">
        <w:rPr>
          <w:rFonts w:ascii="Arial" w:hAnsi="Arial" w:cs="Arial"/>
          <w:bCs/>
          <w:sz w:val="24"/>
        </w:rPr>
        <w:t xml:space="preserve">xtend paging DRX cycle and </w:t>
      </w:r>
      <w:r w:rsidR="009C7244">
        <w:rPr>
          <w:rFonts w:ascii="Arial" w:hAnsi="Arial" w:cs="Arial"/>
          <w:bCs/>
          <w:sz w:val="24"/>
        </w:rPr>
        <w:t xml:space="preserve">relax </w:t>
      </w:r>
      <w:r w:rsidR="008E0387">
        <w:rPr>
          <w:rFonts w:ascii="Arial" w:hAnsi="Arial" w:cs="Arial"/>
          <w:bCs/>
          <w:sz w:val="24"/>
        </w:rPr>
        <w:t xml:space="preserve">measurement </w:t>
      </w:r>
      <w:r w:rsidR="00EF3FE8">
        <w:rPr>
          <w:rFonts w:ascii="Arial" w:hAnsi="Arial" w:cs="Arial"/>
          <w:bCs/>
          <w:sz w:val="24"/>
        </w:rPr>
        <w:t>for stationary devices</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numPr>
          <w:ilvl w:val="0"/>
          <w:numId w:val="2"/>
        </w:numPr>
      </w:pPr>
      <w:r>
        <w:t>Introduction</w:t>
      </w:r>
    </w:p>
    <w:p w14:paraId="001A8E44" w14:textId="7EC9D91E" w:rsidR="00EB410E" w:rsidRDefault="00523112" w:rsidP="00523112">
      <w:pPr>
        <w:spacing w:after="120"/>
        <w:jc w:val="both"/>
        <w:rPr>
          <w:lang w:val="en-GB"/>
        </w:rPr>
      </w:pPr>
      <w:bookmarkStart w:id="1" w:name="Proposal_Pattern_Length"/>
      <w:r>
        <w:rPr>
          <w:lang w:val="en-GB"/>
        </w:rPr>
        <w:t xml:space="preserve">This contribution discusses desirable enhancements for Rel-17 to reduce UE’s power consumption according to the following objective </w:t>
      </w:r>
      <w:r>
        <w:rPr>
          <w:lang w:val="en-GB"/>
        </w:rPr>
        <w:fldChar w:fldCharType="begin"/>
      </w:r>
      <w:r>
        <w:rPr>
          <w:lang w:val="en-GB"/>
        </w:rPr>
        <w:instrText xml:space="preserve"> REF _Ref47297521 \r \h </w:instrText>
      </w:r>
      <w:r>
        <w:rPr>
          <w:lang w:val="en-GB"/>
        </w:rPr>
      </w:r>
      <w:r>
        <w:rPr>
          <w:lang w:val="en-GB"/>
        </w:rPr>
        <w:fldChar w:fldCharType="separate"/>
      </w:r>
      <w:r>
        <w:rPr>
          <w:lang w:val="en-GB"/>
        </w:rPr>
        <w:t>[1]</w:t>
      </w:r>
      <w:r>
        <w:rPr>
          <w:lang w:val="en-GB"/>
        </w:rPr>
        <w:fldChar w:fldCharType="end"/>
      </w:r>
      <w:r>
        <w:rPr>
          <w:lang w:val="en-GB"/>
        </w:rPr>
        <w:t xml:space="preserve"> and considering the related study/work done in Rel-16 Power Saving SI/WI.</w:t>
      </w:r>
    </w:p>
    <w:p w14:paraId="04C2B2F4" w14:textId="77777777" w:rsidR="00523112" w:rsidRPr="00523112" w:rsidRDefault="00523112" w:rsidP="00523112">
      <w:pPr>
        <w:tabs>
          <w:tab w:val="left" w:pos="1327"/>
        </w:tabs>
        <w:spacing w:after="60"/>
        <w:ind w:left="360"/>
        <w:jc w:val="both"/>
        <w:rPr>
          <w:i/>
          <w:iCs/>
          <w:lang w:val="en-GB"/>
        </w:rPr>
      </w:pPr>
      <w:r w:rsidRPr="00523112">
        <w:rPr>
          <w:i/>
          <w:iCs/>
          <w:lang w:val="en-GB"/>
        </w:rPr>
        <w:t xml:space="preserve">Study UE power saving and battery lifetime enhancement for reduced capability UEs in applicable use cases (e.g. delay tolerant) [RAN2, RAN1]: </w:t>
      </w:r>
    </w:p>
    <w:p w14:paraId="132EB3E5" w14:textId="3CF52030" w:rsidR="00523112" w:rsidRPr="00523112" w:rsidRDefault="00523112" w:rsidP="00523112">
      <w:pPr>
        <w:pStyle w:val="ListParagraph"/>
        <w:numPr>
          <w:ilvl w:val="0"/>
          <w:numId w:val="8"/>
        </w:numPr>
        <w:tabs>
          <w:tab w:val="left" w:pos="1327"/>
        </w:tabs>
        <w:spacing w:after="60"/>
        <w:ind w:left="1080"/>
        <w:contextualSpacing w:val="0"/>
        <w:jc w:val="both"/>
        <w:rPr>
          <w:i/>
          <w:iCs/>
          <w:lang w:val="en-GB"/>
        </w:rPr>
      </w:pPr>
      <w:r w:rsidRPr="00523112">
        <w:rPr>
          <w:i/>
          <w:iCs/>
          <w:lang w:val="en-GB"/>
        </w:rPr>
        <w:t>Extended DRX for RRC Inactive and/or Idle [RAN2]</w:t>
      </w:r>
    </w:p>
    <w:p w14:paraId="15D0784F" w14:textId="0FFB2471" w:rsidR="00EB410E" w:rsidRDefault="00523112" w:rsidP="004854BF">
      <w:pPr>
        <w:pStyle w:val="ListParagraph"/>
        <w:numPr>
          <w:ilvl w:val="0"/>
          <w:numId w:val="8"/>
        </w:numPr>
        <w:tabs>
          <w:tab w:val="left" w:pos="1327"/>
        </w:tabs>
        <w:ind w:left="1080"/>
        <w:contextualSpacing w:val="0"/>
        <w:jc w:val="both"/>
        <w:rPr>
          <w:i/>
          <w:iCs/>
          <w:lang w:val="en-GB"/>
        </w:rPr>
      </w:pPr>
      <w:r w:rsidRPr="00523112">
        <w:rPr>
          <w:i/>
          <w:iCs/>
          <w:lang w:val="en-GB"/>
        </w:rPr>
        <w:t>RRM relaxation for stationary devices [RAN2]</w:t>
      </w:r>
    </w:p>
    <w:p w14:paraId="30B1C211" w14:textId="00949246" w:rsidR="004854BF" w:rsidRDefault="004854BF" w:rsidP="004854BF">
      <w:pPr>
        <w:tabs>
          <w:tab w:val="left" w:pos="1327"/>
        </w:tabs>
        <w:spacing w:after="60"/>
        <w:jc w:val="both"/>
        <w:rPr>
          <w:lang w:val="en-GB"/>
        </w:rPr>
      </w:pPr>
      <w:r>
        <w:rPr>
          <w:lang w:val="en-GB"/>
        </w:rPr>
        <w:t xml:space="preserve">It is also important to keep in mind the target use cases as summarized below </w:t>
      </w:r>
      <w:r>
        <w:rPr>
          <w:lang w:val="en-GB"/>
        </w:rPr>
        <w:fldChar w:fldCharType="begin"/>
      </w:r>
      <w:r>
        <w:rPr>
          <w:lang w:val="en-GB"/>
        </w:rPr>
        <w:instrText xml:space="preserve"> REF _Ref47297521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4666" w:type="pct"/>
        <w:jc w:val="center"/>
        <w:tblLook w:val="04A0" w:firstRow="1" w:lastRow="0" w:firstColumn="1" w:lastColumn="0" w:noHBand="0" w:noVBand="1"/>
      </w:tblPr>
      <w:tblGrid>
        <w:gridCol w:w="1254"/>
        <w:gridCol w:w="3061"/>
        <w:gridCol w:w="2609"/>
        <w:gridCol w:w="1801"/>
      </w:tblGrid>
      <w:tr w:rsidR="004854BF" w:rsidRPr="004854BF" w14:paraId="5CF746D0" w14:textId="77777777" w:rsidTr="004854BF">
        <w:trPr>
          <w:jc w:val="center"/>
        </w:trPr>
        <w:tc>
          <w:tcPr>
            <w:tcW w:w="719" w:type="pct"/>
            <w:shd w:val="clear" w:color="auto" w:fill="D0CECE" w:themeFill="background2" w:themeFillShade="E6"/>
            <w:hideMark/>
          </w:tcPr>
          <w:p w14:paraId="30A29F71" w14:textId="77777777" w:rsidR="004854BF" w:rsidRPr="004854BF" w:rsidRDefault="004854BF" w:rsidP="004854BF">
            <w:pPr>
              <w:tabs>
                <w:tab w:val="left" w:pos="1327"/>
              </w:tabs>
              <w:spacing w:after="60"/>
              <w:jc w:val="both"/>
            </w:pPr>
            <w:r w:rsidRPr="004854BF">
              <w:rPr>
                <w:b/>
                <w:bCs/>
              </w:rPr>
              <w:t>Use case</w:t>
            </w:r>
          </w:p>
        </w:tc>
        <w:tc>
          <w:tcPr>
            <w:tcW w:w="1754" w:type="pct"/>
            <w:shd w:val="clear" w:color="auto" w:fill="D0CECE" w:themeFill="background2" w:themeFillShade="E6"/>
            <w:hideMark/>
          </w:tcPr>
          <w:p w14:paraId="69CB7FF9" w14:textId="77777777" w:rsidR="004854BF" w:rsidRPr="004854BF" w:rsidRDefault="004854BF" w:rsidP="004854BF">
            <w:pPr>
              <w:tabs>
                <w:tab w:val="left" w:pos="1327"/>
              </w:tabs>
              <w:spacing w:after="60"/>
              <w:jc w:val="both"/>
            </w:pPr>
            <w:r w:rsidRPr="004854BF">
              <w:rPr>
                <w:b/>
                <w:bCs/>
              </w:rPr>
              <w:t>Reference data rates</w:t>
            </w:r>
          </w:p>
        </w:tc>
        <w:tc>
          <w:tcPr>
            <w:tcW w:w="1495" w:type="pct"/>
            <w:shd w:val="clear" w:color="auto" w:fill="D0CECE" w:themeFill="background2" w:themeFillShade="E6"/>
            <w:hideMark/>
          </w:tcPr>
          <w:p w14:paraId="3EF97010" w14:textId="77777777" w:rsidR="004854BF" w:rsidRPr="004854BF" w:rsidRDefault="004854BF" w:rsidP="004854BF">
            <w:pPr>
              <w:tabs>
                <w:tab w:val="left" w:pos="1327"/>
              </w:tabs>
              <w:spacing w:after="60"/>
              <w:jc w:val="both"/>
            </w:pPr>
            <w:r w:rsidRPr="004854BF">
              <w:rPr>
                <w:b/>
                <w:bCs/>
              </w:rPr>
              <w:t>E2E Latency</w:t>
            </w:r>
          </w:p>
        </w:tc>
        <w:tc>
          <w:tcPr>
            <w:tcW w:w="1032" w:type="pct"/>
            <w:shd w:val="clear" w:color="auto" w:fill="D0CECE" w:themeFill="background2" w:themeFillShade="E6"/>
            <w:hideMark/>
          </w:tcPr>
          <w:p w14:paraId="024CF247" w14:textId="77777777" w:rsidR="004854BF" w:rsidRPr="004854BF" w:rsidRDefault="004854BF" w:rsidP="004854BF">
            <w:pPr>
              <w:tabs>
                <w:tab w:val="left" w:pos="1327"/>
              </w:tabs>
              <w:spacing w:after="60"/>
              <w:jc w:val="both"/>
            </w:pPr>
            <w:r w:rsidRPr="004854BF">
              <w:rPr>
                <w:b/>
                <w:bCs/>
              </w:rPr>
              <w:t>Target battery life</w:t>
            </w:r>
          </w:p>
        </w:tc>
      </w:tr>
      <w:tr w:rsidR="004854BF" w:rsidRPr="004854BF" w14:paraId="7C09EB85" w14:textId="77777777" w:rsidTr="004854BF">
        <w:trPr>
          <w:jc w:val="center"/>
        </w:trPr>
        <w:tc>
          <w:tcPr>
            <w:tcW w:w="719" w:type="pct"/>
            <w:hideMark/>
          </w:tcPr>
          <w:p w14:paraId="15647C2C" w14:textId="77777777" w:rsidR="004854BF" w:rsidRPr="004854BF" w:rsidRDefault="004854BF" w:rsidP="004854BF">
            <w:pPr>
              <w:tabs>
                <w:tab w:val="left" w:pos="1327"/>
              </w:tabs>
              <w:spacing w:after="60"/>
              <w:jc w:val="both"/>
            </w:pPr>
            <w:r w:rsidRPr="004854BF">
              <w:rPr>
                <w:b/>
                <w:bCs/>
              </w:rPr>
              <w:t>Industrial WSN</w:t>
            </w:r>
          </w:p>
        </w:tc>
        <w:tc>
          <w:tcPr>
            <w:tcW w:w="1754" w:type="pct"/>
            <w:hideMark/>
          </w:tcPr>
          <w:p w14:paraId="51601140" w14:textId="4BD5DC66" w:rsidR="004854BF" w:rsidRPr="004854BF" w:rsidRDefault="004854BF" w:rsidP="004854BF">
            <w:pPr>
              <w:tabs>
                <w:tab w:val="left" w:pos="1327"/>
              </w:tabs>
              <w:spacing w:after="60"/>
            </w:pPr>
            <w:r w:rsidRPr="004854BF">
              <w:t>2 Mbps (potentially asymmetric e.g. UL heavy traffic)</w:t>
            </w:r>
          </w:p>
        </w:tc>
        <w:tc>
          <w:tcPr>
            <w:tcW w:w="1495" w:type="pct"/>
            <w:hideMark/>
          </w:tcPr>
          <w:p w14:paraId="462B9336" w14:textId="2AE16C26" w:rsidR="004854BF" w:rsidRPr="004854BF" w:rsidRDefault="004854BF" w:rsidP="004854BF">
            <w:pPr>
              <w:tabs>
                <w:tab w:val="left" w:pos="1327"/>
              </w:tabs>
              <w:spacing w:after="60"/>
            </w:pPr>
            <w:r w:rsidRPr="004854BF">
              <w:t>&lt; 100 ms</w:t>
            </w:r>
            <w:r>
              <w:t xml:space="preserve">  </w:t>
            </w:r>
            <w:r w:rsidRPr="004854BF">
              <w:t>(For safety related sensors, latency requirement is lower, 5-10 ms)</w:t>
            </w:r>
          </w:p>
        </w:tc>
        <w:tc>
          <w:tcPr>
            <w:tcW w:w="1032" w:type="pct"/>
            <w:hideMark/>
          </w:tcPr>
          <w:p w14:paraId="10BB49C6" w14:textId="77777777" w:rsidR="004854BF" w:rsidRPr="004854BF" w:rsidRDefault="004854BF" w:rsidP="004854BF">
            <w:pPr>
              <w:tabs>
                <w:tab w:val="left" w:pos="1327"/>
              </w:tabs>
              <w:spacing w:after="60"/>
            </w:pPr>
            <w:r w:rsidRPr="004854BF">
              <w:t>Multiple years</w:t>
            </w:r>
          </w:p>
        </w:tc>
      </w:tr>
      <w:tr w:rsidR="004854BF" w:rsidRPr="004854BF" w14:paraId="7E2FED99" w14:textId="77777777" w:rsidTr="004854BF">
        <w:trPr>
          <w:jc w:val="center"/>
        </w:trPr>
        <w:tc>
          <w:tcPr>
            <w:tcW w:w="719" w:type="pct"/>
            <w:hideMark/>
          </w:tcPr>
          <w:p w14:paraId="239D4F2B" w14:textId="77777777" w:rsidR="004854BF" w:rsidRPr="004854BF" w:rsidRDefault="004854BF" w:rsidP="004854BF">
            <w:pPr>
              <w:tabs>
                <w:tab w:val="left" w:pos="1327"/>
              </w:tabs>
              <w:spacing w:after="60"/>
              <w:jc w:val="both"/>
            </w:pPr>
            <w:r w:rsidRPr="004854BF">
              <w:rPr>
                <w:b/>
                <w:bCs/>
              </w:rPr>
              <w:t>Video surveillance</w:t>
            </w:r>
          </w:p>
        </w:tc>
        <w:tc>
          <w:tcPr>
            <w:tcW w:w="1754" w:type="pct"/>
            <w:hideMark/>
          </w:tcPr>
          <w:p w14:paraId="64F2F637" w14:textId="052AA1F5" w:rsidR="004854BF" w:rsidRPr="004854BF" w:rsidRDefault="004854BF" w:rsidP="004854BF">
            <w:pPr>
              <w:tabs>
                <w:tab w:val="left" w:pos="1327"/>
              </w:tabs>
              <w:spacing w:after="60"/>
            </w:pPr>
            <w:r w:rsidRPr="004854BF">
              <w:t>2-4 Mbps; 7.5 – 25 Mbps (high-end vid)</w:t>
            </w:r>
            <w:r>
              <w:t xml:space="preserve"> dominant by UL transmissions</w:t>
            </w:r>
          </w:p>
        </w:tc>
        <w:tc>
          <w:tcPr>
            <w:tcW w:w="1495" w:type="pct"/>
            <w:hideMark/>
          </w:tcPr>
          <w:p w14:paraId="57DC94C4" w14:textId="77777777" w:rsidR="004854BF" w:rsidRPr="004854BF" w:rsidRDefault="004854BF" w:rsidP="004854BF">
            <w:pPr>
              <w:tabs>
                <w:tab w:val="left" w:pos="1327"/>
              </w:tabs>
              <w:spacing w:after="60"/>
            </w:pPr>
            <w:r w:rsidRPr="004854BF">
              <w:t>&lt;500ms; 10s of ms</w:t>
            </w:r>
          </w:p>
        </w:tc>
        <w:tc>
          <w:tcPr>
            <w:tcW w:w="1032" w:type="pct"/>
            <w:hideMark/>
          </w:tcPr>
          <w:p w14:paraId="4443F58D" w14:textId="77777777" w:rsidR="004854BF" w:rsidRPr="004854BF" w:rsidRDefault="004854BF" w:rsidP="004854BF">
            <w:pPr>
              <w:tabs>
                <w:tab w:val="left" w:pos="1327"/>
              </w:tabs>
              <w:spacing w:after="60"/>
            </w:pPr>
            <w:r w:rsidRPr="004854BF">
              <w:t>Depends on particular use cases</w:t>
            </w:r>
          </w:p>
        </w:tc>
      </w:tr>
      <w:tr w:rsidR="004854BF" w:rsidRPr="004854BF" w14:paraId="6B9B9F84" w14:textId="77777777" w:rsidTr="004854BF">
        <w:trPr>
          <w:jc w:val="center"/>
        </w:trPr>
        <w:tc>
          <w:tcPr>
            <w:tcW w:w="719" w:type="pct"/>
            <w:hideMark/>
          </w:tcPr>
          <w:p w14:paraId="0FBAFC73" w14:textId="77777777" w:rsidR="004854BF" w:rsidRPr="004854BF" w:rsidRDefault="004854BF" w:rsidP="004854BF">
            <w:pPr>
              <w:tabs>
                <w:tab w:val="left" w:pos="1327"/>
              </w:tabs>
              <w:spacing w:after="60"/>
              <w:jc w:val="both"/>
            </w:pPr>
            <w:r w:rsidRPr="004854BF">
              <w:rPr>
                <w:b/>
                <w:bCs/>
              </w:rPr>
              <w:t>Wearables</w:t>
            </w:r>
          </w:p>
        </w:tc>
        <w:tc>
          <w:tcPr>
            <w:tcW w:w="1754" w:type="pct"/>
            <w:hideMark/>
          </w:tcPr>
          <w:p w14:paraId="1373709E" w14:textId="7582D1CF" w:rsidR="004854BF" w:rsidRPr="004854BF" w:rsidRDefault="004854BF" w:rsidP="004854BF">
            <w:pPr>
              <w:tabs>
                <w:tab w:val="left" w:pos="1327"/>
              </w:tabs>
              <w:spacing w:after="60"/>
            </w:pPr>
            <w:r>
              <w:t>5</w:t>
            </w:r>
            <w:r w:rsidRPr="004854BF">
              <w:t>-50 Mbps (DL)</w:t>
            </w:r>
            <w:r>
              <w:t xml:space="preserve"> / 2-4</w:t>
            </w:r>
            <w:r w:rsidRPr="004854BF">
              <w:t xml:space="preserve"> Mbps (UL) </w:t>
            </w:r>
          </w:p>
          <w:p w14:paraId="4EB410A6" w14:textId="5B8430AF" w:rsidR="004854BF" w:rsidRPr="004854BF" w:rsidRDefault="004854BF" w:rsidP="004854BF">
            <w:pPr>
              <w:tabs>
                <w:tab w:val="left" w:pos="1327"/>
              </w:tabs>
              <w:spacing w:after="60"/>
            </w:pPr>
            <w:r w:rsidRPr="004854BF">
              <w:t>150 DL</w:t>
            </w:r>
            <w:r>
              <w:t xml:space="preserve"> / </w:t>
            </w:r>
            <w:r w:rsidRPr="004854BF">
              <w:t>50 Mbps UL</w:t>
            </w:r>
          </w:p>
        </w:tc>
        <w:tc>
          <w:tcPr>
            <w:tcW w:w="1495" w:type="pct"/>
            <w:hideMark/>
          </w:tcPr>
          <w:p w14:paraId="6CEF936F" w14:textId="77777777" w:rsidR="004854BF" w:rsidRPr="004854BF" w:rsidRDefault="004854BF" w:rsidP="004854BF">
            <w:pPr>
              <w:tabs>
                <w:tab w:val="left" w:pos="1327"/>
              </w:tabs>
              <w:spacing w:after="60"/>
            </w:pPr>
            <w:r w:rsidRPr="004854BF">
              <w:t>10s of ms</w:t>
            </w:r>
          </w:p>
        </w:tc>
        <w:tc>
          <w:tcPr>
            <w:tcW w:w="1032" w:type="pct"/>
            <w:hideMark/>
          </w:tcPr>
          <w:p w14:paraId="3DF7EF14" w14:textId="2E136683" w:rsidR="004854BF" w:rsidRPr="004854BF" w:rsidRDefault="004854BF" w:rsidP="004854BF">
            <w:pPr>
              <w:tabs>
                <w:tab w:val="left" w:pos="1327"/>
              </w:tabs>
              <w:spacing w:after="60"/>
            </w:pPr>
            <w:r w:rsidRPr="004854BF">
              <w:t xml:space="preserve">Multiple days </w:t>
            </w:r>
            <w:r>
              <w:t xml:space="preserve">up to 1-2 </w:t>
            </w:r>
            <w:r w:rsidRPr="004854BF">
              <w:t>weeks</w:t>
            </w:r>
          </w:p>
        </w:tc>
      </w:tr>
    </w:tbl>
    <w:p w14:paraId="1AEF900F" w14:textId="77777777" w:rsidR="004854BF" w:rsidRPr="004854BF" w:rsidRDefault="004854BF" w:rsidP="004854BF">
      <w:pPr>
        <w:tabs>
          <w:tab w:val="left" w:pos="1327"/>
        </w:tabs>
        <w:spacing w:after="60"/>
        <w:jc w:val="both"/>
        <w:rPr>
          <w:lang w:val="en-GB"/>
        </w:rPr>
      </w:pPr>
    </w:p>
    <w:p w14:paraId="79A42B9D" w14:textId="77777777" w:rsidR="00EB410E" w:rsidRDefault="00EB410E" w:rsidP="00EB410E">
      <w:pPr>
        <w:pStyle w:val="Heading1"/>
        <w:numPr>
          <w:ilvl w:val="0"/>
          <w:numId w:val="2"/>
        </w:numPr>
      </w:pPr>
      <w:r>
        <w:t>Discussion</w:t>
      </w:r>
    </w:p>
    <w:p w14:paraId="2A2A2818" w14:textId="379AC193" w:rsidR="00EB410E" w:rsidRDefault="00523112" w:rsidP="00EB410E">
      <w:pPr>
        <w:pStyle w:val="Heading2"/>
      </w:pPr>
      <w:r>
        <w:t>Extended DRX for UEs in RRC_INACTIVE/RRC_IDLE</w:t>
      </w:r>
    </w:p>
    <w:p w14:paraId="2E50E8BA" w14:textId="1A68C26B" w:rsidR="00EB410E" w:rsidRDefault="004854BF" w:rsidP="00EB410E">
      <w:pPr>
        <w:jc w:val="both"/>
      </w:pPr>
      <w:r>
        <w:t xml:space="preserve">The target use cases aim for a very diverse </w:t>
      </w:r>
      <w:r w:rsidR="00B02FC5">
        <w:t xml:space="preserve">range of </w:t>
      </w:r>
      <w:r>
        <w:t xml:space="preserve">battery lifetime (from years to days and weeks), and considering related study/work </w:t>
      </w:r>
      <w:r w:rsidR="00EC2EA0">
        <w:t xml:space="preserve">items </w:t>
      </w:r>
      <w:r>
        <w:t>done in LTE e.g. Rel-13 extended DRX</w:t>
      </w:r>
      <w:r w:rsidR="00B02FC5">
        <w:t xml:space="preserve"> </w:t>
      </w:r>
      <w:r w:rsidR="00B02FC5">
        <w:fldChar w:fldCharType="begin"/>
      </w:r>
      <w:r w:rsidR="00B02FC5">
        <w:instrText xml:space="preserve"> REF _Ref47299473 \r \h </w:instrText>
      </w:r>
      <w:r w:rsidR="00B02FC5">
        <w:fldChar w:fldCharType="separate"/>
      </w:r>
      <w:r w:rsidR="00B02FC5">
        <w:t>[2]</w:t>
      </w:r>
      <w:r w:rsidR="00B02FC5">
        <w:fldChar w:fldCharType="end"/>
      </w:r>
      <w:r>
        <w:t xml:space="preserve">, it looks obvious that the extension of DRX cycle above 2.56s is indeed needed. The following sections discussed separately the extension </w:t>
      </w:r>
      <w:r w:rsidR="00B02FC5">
        <w:t xml:space="preserve">of DRX cycle (eDRX) </w:t>
      </w:r>
      <w:r>
        <w:t>up to 10.24sec and above due to the foreseen impacts</w:t>
      </w:r>
      <w:r w:rsidR="00B02FC5">
        <w:t xml:space="preserve"> in RAN/CN specification, as well as, the associated reachability delay</w:t>
      </w:r>
      <w:r>
        <w:t>.</w:t>
      </w:r>
    </w:p>
    <w:p w14:paraId="6C8E5BB6" w14:textId="73452A02" w:rsidR="00B02FC5" w:rsidRPr="00B02FC5" w:rsidRDefault="00B02FC5" w:rsidP="00B02FC5">
      <w:pPr>
        <w:pStyle w:val="observ"/>
        <w:ind w:left="360"/>
      </w:pPr>
      <w:bookmarkStart w:id="2" w:name="_Toc47306224"/>
      <w:bookmarkStart w:id="3" w:name="_Toc47389423"/>
      <w:bookmarkStart w:id="4" w:name="_Toc47596556"/>
      <w:bookmarkStart w:id="5" w:name="_Toc47596640"/>
      <w:bookmarkStart w:id="6" w:name="_Toc47624115"/>
      <w:bookmarkStart w:id="7" w:name="_Toc47636761"/>
      <w:bookmarkStart w:id="8" w:name="_Toc47641261"/>
      <w:bookmarkStart w:id="9" w:name="_Toc47641710"/>
      <w:bookmarkStart w:id="10" w:name="_Toc47641761"/>
      <w:r>
        <w:t>Extending DRX cycle for NR UEs in RRC_IDLE and RRC_INACTIVE above 2.56sec is needed in order to reach the battery lifetime of the target use cases (from years to days and weeks)</w:t>
      </w:r>
      <w:r w:rsidR="00A02492">
        <w:t xml:space="preserve"> similarly as it was done </w:t>
      </w:r>
      <w:r w:rsidR="006146E7">
        <w:t xml:space="preserve">in </w:t>
      </w:r>
      <w:r w:rsidR="00A02492">
        <w:t>LTE Rel-13 extended DRX feature</w:t>
      </w:r>
      <w:r w:rsidRPr="00B02FC5">
        <w:t>.</w:t>
      </w:r>
      <w:bookmarkEnd w:id="2"/>
      <w:bookmarkEnd w:id="3"/>
      <w:bookmarkEnd w:id="4"/>
      <w:bookmarkEnd w:id="5"/>
      <w:bookmarkEnd w:id="6"/>
      <w:bookmarkEnd w:id="7"/>
      <w:bookmarkEnd w:id="8"/>
      <w:bookmarkEnd w:id="9"/>
      <w:bookmarkEnd w:id="10"/>
    </w:p>
    <w:p w14:paraId="460841F9" w14:textId="21B55BFF" w:rsidR="00A02492" w:rsidRDefault="00B02FC5" w:rsidP="00EB410E">
      <w:pPr>
        <w:jc w:val="both"/>
      </w:pPr>
      <w:r>
        <w:t xml:space="preserve">It is also important to keep in mind that for </w:t>
      </w:r>
      <w:r w:rsidR="008D5D89">
        <w:t>WB-</w:t>
      </w:r>
      <w:r>
        <w:t>E-UTRA</w:t>
      </w:r>
      <w:r w:rsidR="008D5D89">
        <w:t>N</w:t>
      </w:r>
      <w:r>
        <w:t xml:space="preserve"> connected to 5GC, it is already supported the usage of extended DRX for UEs in RRC_IDLE (with or without suspend indication) </w:t>
      </w:r>
      <w:r w:rsidR="008D5D89">
        <w:t xml:space="preserve">up to 44 min. </w:t>
      </w:r>
      <w:r w:rsidR="00550F48">
        <w:t>(</w:t>
      </w:r>
      <w:r w:rsidR="0038083E">
        <w:t>although NB-IoT is up to 3h</w:t>
      </w:r>
      <w:r w:rsidR="00550F48">
        <w:t xml:space="preserve">) </w:t>
      </w:r>
      <w:r w:rsidR="00A02492">
        <w:t>and for UEs in RRC_INATIVE</w:t>
      </w:r>
      <w:r w:rsidR="008D5D89">
        <w:t xml:space="preserve"> up to 10.24 sec</w:t>
      </w:r>
      <w:r w:rsidR="00A02492">
        <w:t>.</w:t>
      </w:r>
    </w:p>
    <w:p w14:paraId="130B934C" w14:textId="4FFE8FBE" w:rsidR="00A02492" w:rsidRPr="00B02FC5" w:rsidRDefault="00A02492" w:rsidP="00A02492">
      <w:pPr>
        <w:pStyle w:val="observ"/>
        <w:ind w:left="360"/>
      </w:pPr>
      <w:bookmarkStart w:id="11" w:name="_Toc47306225"/>
      <w:bookmarkStart w:id="12" w:name="_Toc47389424"/>
      <w:bookmarkStart w:id="13" w:name="_Toc47596557"/>
      <w:bookmarkStart w:id="14" w:name="_Toc47596641"/>
      <w:bookmarkStart w:id="15" w:name="_Toc47624116"/>
      <w:bookmarkStart w:id="16" w:name="_Toc47636762"/>
      <w:bookmarkStart w:id="17" w:name="_Toc47641262"/>
      <w:bookmarkStart w:id="18" w:name="_Toc47641711"/>
      <w:bookmarkStart w:id="19" w:name="_Toc47641762"/>
      <w:r>
        <w:lastRenderedPageBreak/>
        <w:t xml:space="preserve">For </w:t>
      </w:r>
      <w:r w:rsidR="008D5D89">
        <w:t>WB-</w:t>
      </w:r>
      <w:r>
        <w:t>E-UTRA</w:t>
      </w:r>
      <w:r w:rsidR="008D5D89">
        <w:t>N</w:t>
      </w:r>
      <w:r>
        <w:t xml:space="preserve"> connected to 5GC, extending DRX cycle feature is supported for UEs in RRC_IDLE (with or without suspend indication) </w:t>
      </w:r>
      <w:r w:rsidR="008D5D89">
        <w:t xml:space="preserve">up to 44 min. </w:t>
      </w:r>
      <w:r>
        <w:t>and for UEs in RRC_INACTIVE</w:t>
      </w:r>
      <w:r w:rsidR="008D5D89">
        <w:t xml:space="preserve"> up to 10.24 sec</w:t>
      </w:r>
      <w:r w:rsidRPr="00B02FC5">
        <w:t>.</w:t>
      </w:r>
      <w:bookmarkEnd w:id="11"/>
      <w:bookmarkEnd w:id="12"/>
      <w:bookmarkEnd w:id="13"/>
      <w:bookmarkEnd w:id="14"/>
      <w:bookmarkEnd w:id="15"/>
      <w:bookmarkEnd w:id="16"/>
      <w:bookmarkEnd w:id="17"/>
      <w:bookmarkEnd w:id="18"/>
      <w:bookmarkEnd w:id="19"/>
    </w:p>
    <w:p w14:paraId="3A2E10FA" w14:textId="77777777" w:rsidR="00A02492" w:rsidRPr="003035B1" w:rsidRDefault="00A02492" w:rsidP="00EF1BE7">
      <w:pPr>
        <w:spacing w:after="0"/>
        <w:jc w:val="both"/>
        <w:rPr>
          <w:lang w:val="en-GB"/>
        </w:rPr>
      </w:pPr>
    </w:p>
    <w:p w14:paraId="05FBFD3E" w14:textId="243A6758" w:rsidR="00B02FC5" w:rsidRDefault="00B02FC5" w:rsidP="00A02492">
      <w:pPr>
        <w:pStyle w:val="Heading3"/>
      </w:pPr>
      <w:r>
        <w:t>eDRX cycle up to 10.24sec</w:t>
      </w:r>
    </w:p>
    <w:p w14:paraId="6B61E8B6" w14:textId="79D0EAB7" w:rsidR="00CF6998" w:rsidRDefault="00CF6998" w:rsidP="00EF1BE7">
      <w:pPr>
        <w:spacing w:after="120"/>
        <w:jc w:val="both"/>
        <w:rPr>
          <w:lang w:val="en-GB"/>
        </w:rPr>
      </w:pPr>
      <w:r>
        <w:rPr>
          <w:lang w:val="en-GB"/>
        </w:rPr>
        <w:t>During Rel-16 Pow</w:t>
      </w:r>
      <w:r w:rsidR="00633B89">
        <w:rPr>
          <w:lang w:val="en-GB"/>
        </w:rPr>
        <w:t xml:space="preserve">er </w:t>
      </w:r>
      <w:r>
        <w:rPr>
          <w:lang w:val="en-GB"/>
        </w:rPr>
        <w:t>Sav</w:t>
      </w:r>
      <w:r w:rsidR="00633B89">
        <w:rPr>
          <w:lang w:val="en-GB"/>
        </w:rPr>
        <w:t>ing</w:t>
      </w:r>
      <w:r>
        <w:rPr>
          <w:lang w:val="en-GB"/>
        </w:rPr>
        <w:t xml:space="preserve"> SI phase, RAN2 already discussed eDRX up to 10.24 sec and captured the following positive conclusion </w:t>
      </w:r>
      <w:r w:rsidR="003E0EC9">
        <w:rPr>
          <w:lang w:val="en-GB"/>
        </w:rPr>
        <w:t>within TR 38.840</w:t>
      </w:r>
      <w:r w:rsidR="00E24488">
        <w:rPr>
          <w:lang w:val="en-GB"/>
        </w:rPr>
        <w:t>. However its specification was</w:t>
      </w:r>
      <w:r>
        <w:rPr>
          <w:lang w:val="en-GB"/>
        </w:rPr>
        <w:t xml:space="preserve"> </w:t>
      </w:r>
      <w:r w:rsidR="00E24488">
        <w:rPr>
          <w:lang w:val="en-GB"/>
        </w:rPr>
        <w:t>not included during the</w:t>
      </w:r>
      <w:r>
        <w:rPr>
          <w:lang w:val="en-GB"/>
        </w:rPr>
        <w:t xml:space="preserve"> WI phase </w:t>
      </w:r>
      <w:r w:rsidR="00E24488">
        <w:rPr>
          <w:lang w:val="en-GB"/>
        </w:rPr>
        <w:t>due to lack of time</w:t>
      </w:r>
      <w:r w:rsidR="00C9133E">
        <w:rPr>
          <w:lang w:val="en-GB"/>
        </w:rPr>
        <w:t>.</w:t>
      </w:r>
    </w:p>
    <w:p w14:paraId="09A6B57E" w14:textId="09BF007A" w:rsidR="00CF6998" w:rsidRPr="0086473B" w:rsidRDefault="00F940D3" w:rsidP="00087378">
      <w:pPr>
        <w:ind w:left="360"/>
        <w:jc w:val="both"/>
        <w:rPr>
          <w:i/>
          <w:iCs/>
        </w:rPr>
      </w:pPr>
      <w:r>
        <w:rPr>
          <w:i/>
          <w:iCs/>
          <w:szCs w:val="21"/>
        </w:rPr>
        <w:t>“</w:t>
      </w:r>
      <w:r w:rsidR="00CF6998" w:rsidRPr="0086473B">
        <w:rPr>
          <w:i/>
          <w:iCs/>
          <w:szCs w:val="21"/>
        </w:rPr>
        <w:t xml:space="preserve">The </w:t>
      </w:r>
      <w:r w:rsidR="00CF6998" w:rsidRPr="0086473B">
        <w:rPr>
          <w:b/>
          <w:bCs/>
          <w:i/>
          <w:iCs/>
          <w:szCs w:val="21"/>
        </w:rPr>
        <w:t>extending the DRX cycle length to 10.24s</w:t>
      </w:r>
      <w:r w:rsidR="00CF6998" w:rsidRPr="0086473B">
        <w:rPr>
          <w:i/>
          <w:iCs/>
          <w:szCs w:val="21"/>
        </w:rPr>
        <w:t xml:space="preserve"> was studied in idle and inactive mode</w:t>
      </w:r>
      <w:r w:rsidR="00CF6998" w:rsidRPr="0086473B">
        <w:rPr>
          <w:b/>
          <w:bCs/>
          <w:i/>
          <w:iCs/>
          <w:szCs w:val="21"/>
        </w:rPr>
        <w:t>. A power saving specific rule will be defined for DRX cycle determination in idle and inactive mode, in the presence of different DRX cycle configurations (e.g. UE specific and default).</w:t>
      </w:r>
      <w:r w:rsidR="00CF6998" w:rsidRPr="0086473B">
        <w:rPr>
          <w:i/>
          <w:iCs/>
          <w:szCs w:val="21"/>
        </w:rPr>
        <w:t>   The DRX cycles are decided by the network based on UE preference indications. All enhancements are aiming at reusing existing mechanism (e.g. eDRX).</w:t>
      </w:r>
      <w:r>
        <w:rPr>
          <w:i/>
          <w:iCs/>
          <w:szCs w:val="21"/>
        </w:rPr>
        <w:t>”</w:t>
      </w:r>
      <w:r w:rsidR="00CF6998" w:rsidRPr="0086473B">
        <w:rPr>
          <w:i/>
          <w:iCs/>
        </w:rPr>
        <w:t xml:space="preserve"> </w:t>
      </w:r>
    </w:p>
    <w:p w14:paraId="03CDCFBA" w14:textId="4CE01B19" w:rsidR="00CF6998" w:rsidRPr="00C9133E" w:rsidRDefault="006858A1" w:rsidP="0086473B">
      <w:pPr>
        <w:pStyle w:val="observ"/>
        <w:ind w:left="360"/>
      </w:pPr>
      <w:bookmarkStart w:id="20" w:name="_Toc47389425"/>
      <w:bookmarkStart w:id="21" w:name="_Toc47596558"/>
      <w:bookmarkStart w:id="22" w:name="_Toc47596642"/>
      <w:bookmarkStart w:id="23" w:name="_Toc47624117"/>
      <w:bookmarkStart w:id="24" w:name="_Toc47636763"/>
      <w:bookmarkStart w:id="25" w:name="_Toc47641263"/>
      <w:bookmarkStart w:id="26" w:name="_Toc47641712"/>
      <w:bookmarkStart w:id="27" w:name="_Toc47641763"/>
      <w:r>
        <w:rPr>
          <w:lang w:val="en-US"/>
        </w:rPr>
        <w:t>During</w:t>
      </w:r>
      <w:r w:rsidR="00C9133E">
        <w:t xml:space="preserve"> Rel-16 Pow</w:t>
      </w:r>
      <w:r>
        <w:t xml:space="preserve">er Saving SI phase, RAN2 captured </w:t>
      </w:r>
      <w:r w:rsidR="00645211">
        <w:t xml:space="preserve">in </w:t>
      </w:r>
      <w:r>
        <w:t xml:space="preserve">the conclusion of TR 38.840 that it was </w:t>
      </w:r>
      <w:r w:rsidR="00633B89">
        <w:t xml:space="preserve">desirable to define rules </w:t>
      </w:r>
      <w:r w:rsidR="00654845">
        <w:t>for</w:t>
      </w:r>
      <w:r w:rsidR="00633B89">
        <w:t xml:space="preserve"> UE specific DRX cycles extended up to 10.24 sec.</w:t>
      </w:r>
      <w:bookmarkEnd w:id="20"/>
      <w:bookmarkEnd w:id="21"/>
      <w:bookmarkEnd w:id="22"/>
      <w:bookmarkEnd w:id="23"/>
      <w:bookmarkEnd w:id="24"/>
      <w:bookmarkEnd w:id="25"/>
      <w:bookmarkEnd w:id="26"/>
      <w:bookmarkEnd w:id="27"/>
    </w:p>
    <w:p w14:paraId="754688E2" w14:textId="29CE5364" w:rsidR="00231354" w:rsidRDefault="00A02492" w:rsidP="00EF1BE7">
      <w:pPr>
        <w:spacing w:after="120"/>
        <w:jc w:val="both"/>
        <w:rPr>
          <w:lang w:val="en-GB"/>
        </w:rPr>
      </w:pPr>
      <w:r>
        <w:rPr>
          <w:lang w:val="en-GB"/>
        </w:rPr>
        <w:t xml:space="preserve">If paging DRX cycle were extended up to 10.24sec for </w:t>
      </w:r>
      <w:r>
        <w:t>UEs in RRC_INACTIVE/RRC_IDLE</w:t>
      </w:r>
      <w:r>
        <w:rPr>
          <w:lang w:val="en-GB"/>
        </w:rPr>
        <w:t xml:space="preserve">, this could be enabled following NR legacy paging mechanism similarly as it was done for LTE. </w:t>
      </w:r>
      <w:r w:rsidR="00D84CF6">
        <w:rPr>
          <w:lang w:val="en-GB"/>
        </w:rPr>
        <w:t>Therefore, the following aspects would need to be confirmed for NR eDRX specification (considering LTE eDRX one):</w:t>
      </w:r>
    </w:p>
    <w:p w14:paraId="383594AB" w14:textId="3D0E3BD3" w:rsidR="00D84CF6" w:rsidRDefault="00D84CF6" w:rsidP="001879F0">
      <w:pPr>
        <w:pStyle w:val="ListParagraph"/>
        <w:numPr>
          <w:ilvl w:val="0"/>
          <w:numId w:val="9"/>
        </w:numPr>
        <w:spacing w:after="60"/>
        <w:contextualSpacing w:val="0"/>
        <w:jc w:val="both"/>
        <w:rPr>
          <w:lang w:val="en-GB"/>
        </w:rPr>
      </w:pPr>
      <w:r>
        <w:rPr>
          <w:lang w:val="en-GB"/>
        </w:rPr>
        <w:t>Upper layers (i.e. NAS) is in charge to configure (or not) extended DRX cycles to a given UE.</w:t>
      </w:r>
    </w:p>
    <w:p w14:paraId="6619E817" w14:textId="22E6FCBD" w:rsidR="00D84CF6" w:rsidRDefault="00D84CF6" w:rsidP="001879F0">
      <w:pPr>
        <w:pStyle w:val="ListParagraph"/>
        <w:numPr>
          <w:ilvl w:val="0"/>
          <w:numId w:val="9"/>
        </w:numPr>
        <w:spacing w:after="60"/>
        <w:contextualSpacing w:val="0"/>
        <w:jc w:val="both"/>
        <w:rPr>
          <w:lang w:val="en-GB"/>
        </w:rPr>
      </w:pPr>
      <w:r>
        <w:rPr>
          <w:lang w:val="en-GB"/>
        </w:rPr>
        <w:t xml:space="preserve">UE configured with eDRX up to 10.24sec uses that </w:t>
      </w:r>
      <w:r w:rsidR="00D11EBD">
        <w:rPr>
          <w:lang w:val="en-GB"/>
        </w:rPr>
        <w:t>that</w:t>
      </w:r>
      <w:r>
        <w:rPr>
          <w:lang w:val="en-GB"/>
        </w:rPr>
        <w:t xml:space="preserve"> eDRX cycle (instead of the </w:t>
      </w:r>
      <w:r w:rsidR="00D11EBD">
        <w:rPr>
          <w:lang w:val="en-GB"/>
        </w:rPr>
        <w:t>smallest one configured).</w:t>
      </w:r>
    </w:p>
    <w:p w14:paraId="178B479B" w14:textId="2CFD12D9" w:rsidR="00D84CF6" w:rsidRDefault="00D84CF6" w:rsidP="001879F0">
      <w:pPr>
        <w:pStyle w:val="ListParagraph"/>
        <w:numPr>
          <w:ilvl w:val="0"/>
          <w:numId w:val="9"/>
        </w:numPr>
        <w:spacing w:after="120"/>
        <w:contextualSpacing w:val="0"/>
        <w:jc w:val="both"/>
        <w:rPr>
          <w:lang w:val="en-GB"/>
        </w:rPr>
      </w:pPr>
      <w:r>
        <w:rPr>
          <w:lang w:val="en-GB"/>
        </w:rPr>
        <w:t>UE configured with eDRX up to 10.24sec follows legacy NR PF/PO mechanism described in 38.304</w:t>
      </w:r>
      <w:r w:rsidR="00D11EBD">
        <w:rPr>
          <w:lang w:val="en-GB"/>
        </w:rPr>
        <w:t xml:space="preserve"> i.e. no need to define any new</w:t>
      </w:r>
      <w:r w:rsidR="007D7188">
        <w:rPr>
          <w:lang w:val="en-GB"/>
        </w:rPr>
        <w:t xml:space="preserve"> Hyper-SFN,</w:t>
      </w:r>
      <w:r w:rsidR="00D11EBD">
        <w:rPr>
          <w:lang w:val="en-GB"/>
        </w:rPr>
        <w:t xml:space="preserve"> </w:t>
      </w:r>
      <w:r w:rsidR="007D7188">
        <w:rPr>
          <w:lang w:val="en-GB"/>
        </w:rPr>
        <w:t>paging time window (</w:t>
      </w:r>
      <w:r w:rsidR="00D11EBD">
        <w:rPr>
          <w:lang w:val="en-GB"/>
        </w:rPr>
        <w:t>PTW</w:t>
      </w:r>
      <w:r w:rsidR="007D7188">
        <w:rPr>
          <w:lang w:val="en-GB"/>
        </w:rPr>
        <w:t>)</w:t>
      </w:r>
      <w:r w:rsidR="00D11EBD">
        <w:rPr>
          <w:lang w:val="en-GB"/>
        </w:rPr>
        <w:t>,</w:t>
      </w:r>
      <w:r w:rsidR="007D7188">
        <w:rPr>
          <w:lang w:val="en-GB"/>
        </w:rPr>
        <w:t xml:space="preserve"> or paging hyper</w:t>
      </w:r>
      <w:r w:rsidR="00CD2608">
        <w:rPr>
          <w:lang w:val="en-GB"/>
        </w:rPr>
        <w:t>-</w:t>
      </w:r>
      <w:r w:rsidR="007D7188">
        <w:rPr>
          <w:lang w:val="en-GB"/>
        </w:rPr>
        <w:t>frame</w:t>
      </w:r>
      <w:r w:rsidR="00D11EBD">
        <w:rPr>
          <w:lang w:val="en-GB"/>
        </w:rPr>
        <w:t xml:space="preserve"> </w:t>
      </w:r>
      <w:r w:rsidR="007D7188">
        <w:rPr>
          <w:lang w:val="en-GB"/>
        </w:rPr>
        <w:t>(</w:t>
      </w:r>
      <w:r w:rsidR="00D11EBD">
        <w:rPr>
          <w:lang w:val="en-GB"/>
        </w:rPr>
        <w:t>PH</w:t>
      </w:r>
      <w:r w:rsidR="007D7188">
        <w:rPr>
          <w:lang w:val="en-GB"/>
        </w:rPr>
        <w:t>) concepts/mechanism for this</w:t>
      </w:r>
      <w:r w:rsidR="00D11EBD">
        <w:rPr>
          <w:lang w:val="en-GB"/>
        </w:rPr>
        <w:t xml:space="preserve"> as the </w:t>
      </w:r>
      <w:r w:rsidR="007D7188">
        <w:rPr>
          <w:lang w:val="en-GB"/>
        </w:rPr>
        <w:t>eDRX cycle</w:t>
      </w:r>
      <w:r w:rsidR="00D11EBD">
        <w:rPr>
          <w:lang w:val="en-GB"/>
        </w:rPr>
        <w:t xml:space="preserve"> is not above the maximum SFN </w:t>
      </w:r>
      <w:r w:rsidR="007D7188">
        <w:rPr>
          <w:lang w:val="en-GB"/>
        </w:rPr>
        <w:t>number</w:t>
      </w:r>
      <w:r>
        <w:rPr>
          <w:lang w:val="en-GB"/>
        </w:rPr>
        <w:t>.</w:t>
      </w:r>
    </w:p>
    <w:p w14:paraId="36EB8C74" w14:textId="1E2D0197" w:rsidR="007D7188" w:rsidRPr="007D7188" w:rsidRDefault="001879F0" w:rsidP="001879F0">
      <w:pPr>
        <w:jc w:val="both"/>
        <w:rPr>
          <w:lang w:val="en-GB"/>
        </w:rPr>
      </w:pPr>
      <w:r>
        <w:rPr>
          <w:lang w:val="en-GB"/>
        </w:rPr>
        <w:t>As explained in previous observation, extending DRX cycle up to 10.24 sec is already enabled for E-UTRA connected to 5GC and for both UEs in RRC_IDLE and RRC_INACTIVE.</w:t>
      </w:r>
    </w:p>
    <w:p w14:paraId="5FC8EF63" w14:textId="77777777" w:rsidR="001B45C8" w:rsidRDefault="00A02492" w:rsidP="001879F0">
      <w:pPr>
        <w:pStyle w:val="Proposal"/>
        <w:numPr>
          <w:ilvl w:val="0"/>
          <w:numId w:val="4"/>
        </w:numPr>
      </w:pPr>
      <w:bookmarkStart w:id="28" w:name="_Toc463058201"/>
      <w:bookmarkStart w:id="29" w:name="_Toc463058245"/>
      <w:bookmarkStart w:id="30" w:name="_Toc463058202"/>
      <w:bookmarkStart w:id="31" w:name="_Toc463058246"/>
      <w:bookmarkStart w:id="32" w:name="_Toc463058203"/>
      <w:bookmarkStart w:id="33" w:name="_Toc463058247"/>
      <w:bookmarkStart w:id="34" w:name="_Toc465992504"/>
      <w:bookmarkStart w:id="35" w:name="_Toc465993063"/>
      <w:bookmarkStart w:id="36" w:name="_Toc465993086"/>
      <w:bookmarkStart w:id="37" w:name="_Toc47624120"/>
      <w:bookmarkStart w:id="38" w:name="_Toc47636767"/>
      <w:bookmarkStart w:id="39" w:name="_Toc47641252"/>
      <w:bookmarkStart w:id="40" w:name="_Toc477888239"/>
      <w:bookmarkStart w:id="41" w:name="_Toc478114424"/>
      <w:bookmarkStart w:id="42" w:name="_Toc478139321"/>
      <w:bookmarkStart w:id="43" w:name="_Toc478164249"/>
      <w:bookmarkStart w:id="44" w:name="_Toc478166236"/>
      <w:bookmarkStart w:id="45" w:name="_Toc478166327"/>
      <w:bookmarkStart w:id="46" w:name="_Toc478166375"/>
      <w:bookmarkStart w:id="47" w:name="_Toc528244348"/>
      <w:bookmarkStart w:id="48" w:name="_Toc528244363"/>
      <w:bookmarkStart w:id="49" w:name="_Toc22282238"/>
      <w:bookmarkStart w:id="50" w:name="_Toc22282245"/>
      <w:bookmarkStart w:id="51" w:name="_Toc22282357"/>
      <w:bookmarkStart w:id="52" w:name="_Toc47306228"/>
      <w:bookmarkStart w:id="53" w:name="_Toc47353776"/>
      <w:bookmarkStart w:id="54" w:name="_Toc47389430"/>
      <w:bookmarkStart w:id="55" w:name="_Toc47596561"/>
      <w:bookmarkStart w:id="56" w:name="_Toc47596583"/>
      <w:bookmarkStart w:id="57" w:name="_Toc47596645"/>
      <w:bookmarkStart w:id="58" w:name="_Toc47641715"/>
      <w:bookmarkStart w:id="59" w:name="_Toc47641766"/>
      <w:bookmarkEnd w:id="28"/>
      <w:bookmarkEnd w:id="29"/>
      <w:bookmarkEnd w:id="30"/>
      <w:bookmarkEnd w:id="31"/>
      <w:bookmarkEnd w:id="32"/>
      <w:bookmarkEnd w:id="33"/>
      <w:bookmarkEnd w:id="34"/>
      <w:bookmarkEnd w:id="35"/>
      <w:bookmarkEnd w:id="36"/>
      <w:r>
        <w:t>NR paging cycle is extended up to 10.24 sec for UEs in RRC_INACTIVE/RRC_IDLE</w:t>
      </w:r>
      <w:r w:rsidR="003934F5">
        <w:t>.</w:t>
      </w:r>
      <w:bookmarkEnd w:id="37"/>
      <w:bookmarkEnd w:id="38"/>
      <w:bookmarkEnd w:id="39"/>
      <w:bookmarkEnd w:id="58"/>
      <w:bookmarkEnd w:id="59"/>
      <w:r w:rsidR="003934F5">
        <w:t xml:space="preserve"> </w:t>
      </w:r>
    </w:p>
    <w:p w14:paraId="70FCF066" w14:textId="7FF18D05" w:rsidR="00EB410E" w:rsidRDefault="003934F5" w:rsidP="001879F0">
      <w:pPr>
        <w:pStyle w:val="Proposal"/>
        <w:numPr>
          <w:ilvl w:val="0"/>
          <w:numId w:val="4"/>
        </w:numPr>
      </w:pPr>
      <w:bookmarkStart w:id="60" w:name="_Toc47624121"/>
      <w:bookmarkStart w:id="61" w:name="_Toc47636768"/>
      <w:bookmarkStart w:id="62" w:name="_Toc47641253"/>
      <w:bookmarkStart w:id="63" w:name="_Toc47641716"/>
      <w:bookmarkStart w:id="64" w:name="_Toc47641767"/>
      <w:r>
        <w:t xml:space="preserve">If </w:t>
      </w:r>
      <w:r w:rsidR="001B45C8">
        <w:t>Proposal 1 is agreed</w:t>
      </w:r>
      <w:r>
        <w:t>,</w:t>
      </w:r>
      <w:r w:rsidR="007B0436">
        <w:t xml:space="preserve"> this feature can follow</w:t>
      </w:r>
      <w:r w:rsidR="00D84CF6">
        <w:t xml:space="preserve"> similar</w:t>
      </w:r>
      <w:r w:rsidR="007B0436">
        <w:t xml:space="preserve"> approach </w:t>
      </w:r>
      <w:r w:rsidR="00D84CF6">
        <w:t>as it was done for LTE</w:t>
      </w:r>
      <w:r w:rsidR="007D7188">
        <w:t xml:space="preserve"> I-eDRX</w:t>
      </w:r>
      <w:r w:rsidR="00D84CF6">
        <w:t xml:space="preserve"> </w:t>
      </w:r>
      <w:r w:rsidR="007D7188">
        <w:t xml:space="preserve">feature i.e. </w:t>
      </w:r>
      <w:r w:rsidR="00D84CF6">
        <w:t xml:space="preserve">(1) </w:t>
      </w:r>
      <w:r w:rsidR="007D7188">
        <w:t>upper layers configure eDRX, (2) when configured, eDRX value is used (instead of the smallest), and (3) legacy NR PF/PO mechanism described in 38.304 applies</w:t>
      </w:r>
      <w:r w:rsidR="00EB410E" w:rsidRPr="005745F7">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60"/>
      <w:bookmarkEnd w:id="61"/>
      <w:bookmarkEnd w:id="62"/>
      <w:bookmarkEnd w:id="63"/>
      <w:bookmarkEnd w:id="64"/>
      <w:r w:rsidR="00EB410E">
        <w:t xml:space="preserve"> </w:t>
      </w:r>
    </w:p>
    <w:p w14:paraId="71209F61" w14:textId="2133E43B" w:rsidR="00EB410E" w:rsidRDefault="00EB410E" w:rsidP="00EF1BE7">
      <w:pPr>
        <w:spacing w:after="0"/>
        <w:jc w:val="both"/>
      </w:pPr>
      <w:bookmarkStart w:id="65" w:name="_Toc465993084"/>
      <w:bookmarkEnd w:id="65"/>
    </w:p>
    <w:p w14:paraId="55FCA4F1" w14:textId="3BF4FBFA" w:rsidR="00B02FC5" w:rsidRDefault="00B02FC5" w:rsidP="001879F0">
      <w:pPr>
        <w:pStyle w:val="Heading3"/>
        <w:jc w:val="both"/>
      </w:pPr>
      <w:r>
        <w:t xml:space="preserve">eDRX cycle </w:t>
      </w:r>
      <w:r w:rsidR="00A02492">
        <w:t>above</w:t>
      </w:r>
      <w:r>
        <w:t xml:space="preserve"> 10.24sec</w:t>
      </w:r>
    </w:p>
    <w:p w14:paraId="585099B3" w14:textId="2DEA07A5" w:rsidR="00B02FC5" w:rsidRPr="00B02FC5" w:rsidRDefault="007D7188" w:rsidP="001879F0">
      <w:pPr>
        <w:jc w:val="both"/>
        <w:rPr>
          <w:lang w:val="en-GB"/>
        </w:rPr>
      </w:pPr>
      <w:r>
        <w:rPr>
          <w:lang w:val="en-GB"/>
        </w:rPr>
        <w:t xml:space="preserve">If paging DRX cycle </w:t>
      </w:r>
      <w:r w:rsidR="00781327">
        <w:rPr>
          <w:lang w:val="en-GB"/>
        </w:rPr>
        <w:t xml:space="preserve">was </w:t>
      </w:r>
      <w:r>
        <w:rPr>
          <w:lang w:val="en-GB"/>
        </w:rPr>
        <w:t xml:space="preserve">extended above 10.24sec for </w:t>
      </w:r>
      <w:r>
        <w:t>UEs in RRC_INACTIVE and/or RRC_IDLE</w:t>
      </w:r>
      <w:r>
        <w:rPr>
          <w:lang w:val="en-GB"/>
        </w:rPr>
        <w:t>, this would require further discussion separating both cases.</w:t>
      </w:r>
    </w:p>
    <w:p w14:paraId="6CAEE2F3" w14:textId="17F7764E" w:rsidR="007D7188" w:rsidRPr="00B02FC5" w:rsidRDefault="007D7188" w:rsidP="00CD2608">
      <w:pPr>
        <w:spacing w:after="120"/>
        <w:jc w:val="both"/>
        <w:rPr>
          <w:lang w:val="en-GB"/>
        </w:rPr>
      </w:pPr>
      <w:r>
        <w:rPr>
          <w:lang w:val="en-GB"/>
        </w:rPr>
        <w:t xml:space="preserve">For NR UEs in RRC_INACTIVE, </w:t>
      </w:r>
      <w:r w:rsidR="001879F0">
        <w:rPr>
          <w:lang w:val="en-GB"/>
        </w:rPr>
        <w:t xml:space="preserve">the CN foreseen impact of eDRX above 10.24sec may be critical. During Rel-16 5G CIoT work, CT1 LS </w:t>
      </w:r>
      <w:r w:rsidR="001879F0">
        <w:rPr>
          <w:lang w:val="en-GB"/>
        </w:rPr>
        <w:fldChar w:fldCharType="begin"/>
      </w:r>
      <w:r w:rsidR="001879F0">
        <w:rPr>
          <w:lang w:val="en-GB"/>
        </w:rPr>
        <w:instrText xml:space="preserve"> REF _Ref47302842 \r \h  \* MERGEFORMAT </w:instrText>
      </w:r>
      <w:r w:rsidR="001879F0">
        <w:rPr>
          <w:lang w:val="en-GB"/>
        </w:rPr>
      </w:r>
      <w:r w:rsidR="001879F0">
        <w:rPr>
          <w:lang w:val="en-GB"/>
        </w:rPr>
        <w:fldChar w:fldCharType="separate"/>
      </w:r>
      <w:r w:rsidR="001879F0">
        <w:rPr>
          <w:lang w:val="en-GB"/>
        </w:rPr>
        <w:t>[3]</w:t>
      </w:r>
      <w:r w:rsidR="001879F0">
        <w:rPr>
          <w:lang w:val="en-GB"/>
        </w:rPr>
        <w:fldChar w:fldCharType="end"/>
      </w:r>
      <w:r w:rsidR="001879F0">
        <w:rPr>
          <w:lang w:val="en-GB"/>
        </w:rPr>
        <w:t xml:space="preserve"> explain</w:t>
      </w:r>
      <w:r w:rsidR="00037616">
        <w:rPr>
          <w:lang w:val="en-GB"/>
        </w:rPr>
        <w:t>s</w:t>
      </w:r>
      <w:r w:rsidR="001879F0">
        <w:rPr>
          <w:lang w:val="en-GB"/>
        </w:rPr>
        <w:t xml:space="preserve"> their concern that </w:t>
      </w:r>
      <w:r w:rsidR="001879F0" w:rsidRPr="001879F0">
        <w:rPr>
          <w:lang w:val="en-GB"/>
        </w:rPr>
        <w:t>the smallest NAS re-transmission timers associated with mobility management procedures</w:t>
      </w:r>
      <w:r w:rsidR="001879F0">
        <w:rPr>
          <w:lang w:val="en-GB"/>
        </w:rPr>
        <w:t xml:space="preserve"> would be impacted if this feature were enabled for UEs in RRC_IDLE</w:t>
      </w:r>
      <w:r w:rsidR="001879F0" w:rsidRPr="001879F0">
        <w:rPr>
          <w:lang w:val="en-GB"/>
        </w:rPr>
        <w:t xml:space="preserve">, </w:t>
      </w:r>
      <w:r w:rsidR="001879F0">
        <w:rPr>
          <w:lang w:val="en-GB"/>
        </w:rPr>
        <w:t>as shown in related reference copied below:</w:t>
      </w:r>
    </w:p>
    <w:p w14:paraId="2E6BABAD" w14:textId="7BC6CA24" w:rsidR="001879F0" w:rsidRPr="001879F0" w:rsidRDefault="00CD2608" w:rsidP="00EF1BE7">
      <w:pPr>
        <w:spacing w:after="60"/>
        <w:ind w:left="360"/>
        <w:jc w:val="both"/>
        <w:rPr>
          <w:i/>
          <w:iCs/>
          <w:lang w:val="en-GB"/>
        </w:rPr>
      </w:pPr>
      <w:r>
        <w:rPr>
          <w:b/>
          <w:bCs/>
          <w:i/>
          <w:iCs/>
          <w:lang w:val="en-GB"/>
        </w:rPr>
        <w:t>“</w:t>
      </w:r>
      <w:r w:rsidR="001879F0" w:rsidRPr="001879F0">
        <w:rPr>
          <w:b/>
          <w:bCs/>
          <w:i/>
          <w:iCs/>
          <w:lang w:val="en-GB"/>
        </w:rPr>
        <w:t xml:space="preserve">The smallest NAS retransmission specified in 5GS for Rel-15 timer is 6s and it is associated with mobility management procedures at the AMF. </w:t>
      </w:r>
      <w:r w:rsidR="001879F0" w:rsidRPr="001879F0">
        <w:rPr>
          <w:i/>
          <w:iCs/>
          <w:lang w:val="en-GB"/>
        </w:rPr>
        <w:t xml:space="preserve">For a UE in 5GMM-CONNECTED mode, extending the DRX cycle beyond 6s without extending NAS retransmission timers will lead to an increase in NAS message retransmissions. </w:t>
      </w:r>
    </w:p>
    <w:p w14:paraId="3DD83924" w14:textId="2D04483F" w:rsidR="001879F0" w:rsidRPr="001879F0" w:rsidRDefault="001879F0" w:rsidP="003035B1">
      <w:pPr>
        <w:spacing w:after="60"/>
        <w:ind w:left="360"/>
        <w:jc w:val="both"/>
        <w:rPr>
          <w:i/>
          <w:iCs/>
          <w:lang w:val="en-GB"/>
        </w:rPr>
      </w:pPr>
      <w:r w:rsidRPr="001879F0">
        <w:rPr>
          <w:b/>
          <w:bCs/>
          <w:i/>
          <w:iCs/>
          <w:lang w:val="en-GB"/>
        </w:rPr>
        <w:t xml:space="preserve">NAS messages are retransmitted 4 times before the procedure is considered to have failed i.e. the total time that elapses between the initial transmission and a procedure failure, for a NAS retransmission timer of 6s, is 30s. </w:t>
      </w:r>
      <w:r w:rsidRPr="001879F0">
        <w:rPr>
          <w:i/>
          <w:iCs/>
          <w:lang w:val="en-GB"/>
        </w:rPr>
        <w:t xml:space="preserve">For UEs in 5GMM-CONNECTED mode with RRC inactive indication, the impacts of extending DRX are like those highlighted above for the case of 5GMM-CONNECTED mode, however </w:t>
      </w:r>
      <w:r w:rsidRPr="00CD2608">
        <w:rPr>
          <w:b/>
          <w:bCs/>
          <w:i/>
          <w:iCs/>
          <w:lang w:val="en-GB"/>
        </w:rPr>
        <w:t>additional delays can be expected due to the need to page the UE to resume the RRC connection and transition to 5GMM-</w:t>
      </w:r>
      <w:r w:rsidRPr="00CD2608">
        <w:rPr>
          <w:b/>
          <w:bCs/>
          <w:i/>
          <w:iCs/>
          <w:lang w:val="en-GB"/>
        </w:rPr>
        <w:lastRenderedPageBreak/>
        <w:t>CONNECTED mode</w:t>
      </w:r>
      <w:r w:rsidRPr="001879F0">
        <w:rPr>
          <w:i/>
          <w:iCs/>
          <w:lang w:val="en-GB"/>
        </w:rPr>
        <w:t>. The exact time that is required to page the UE and resume a connection is best determined by RAN2.</w:t>
      </w:r>
      <w:r w:rsidR="00CD2608">
        <w:rPr>
          <w:i/>
          <w:iCs/>
          <w:lang w:val="en-GB"/>
        </w:rPr>
        <w:t>”</w:t>
      </w:r>
    </w:p>
    <w:p w14:paraId="14E650BD" w14:textId="765A0161" w:rsidR="00CD2608" w:rsidRPr="00B02FC5" w:rsidRDefault="00CD2608" w:rsidP="00CD2608">
      <w:pPr>
        <w:pStyle w:val="observ"/>
        <w:ind w:left="360"/>
      </w:pPr>
      <w:bookmarkStart w:id="66" w:name="_Toc47306226"/>
      <w:bookmarkStart w:id="67" w:name="_Toc47389426"/>
      <w:bookmarkStart w:id="68" w:name="_Toc47596559"/>
      <w:bookmarkStart w:id="69" w:name="_Toc47596643"/>
      <w:bookmarkStart w:id="70" w:name="_Toc47624118"/>
      <w:bookmarkStart w:id="71" w:name="_Toc47636764"/>
      <w:bookmarkStart w:id="72" w:name="_Toc47641264"/>
      <w:bookmarkStart w:id="73" w:name="_Toc47641713"/>
      <w:bookmarkStart w:id="74" w:name="_Toc47641764"/>
      <w:r>
        <w:t>For E-UTRA connected to 5GC, extending DRX cycle above 10.24 sec was not desirable for UEs in RRC_INACTIVE due to the foreseen CN impact to the mobility management procedures due to the smallest value of the NAS retransmission timer and the actual number of NAS retransmission done)</w:t>
      </w:r>
      <w:r w:rsidRPr="00B02FC5">
        <w:t>.</w:t>
      </w:r>
      <w:bookmarkEnd w:id="66"/>
      <w:bookmarkEnd w:id="67"/>
      <w:bookmarkEnd w:id="68"/>
      <w:bookmarkEnd w:id="69"/>
      <w:bookmarkEnd w:id="70"/>
      <w:bookmarkEnd w:id="71"/>
      <w:bookmarkEnd w:id="72"/>
      <w:bookmarkEnd w:id="73"/>
      <w:bookmarkEnd w:id="74"/>
    </w:p>
    <w:p w14:paraId="134EFEA1" w14:textId="4B909E3D" w:rsidR="00CD2608" w:rsidRPr="00CD2608" w:rsidRDefault="00CD2608" w:rsidP="00CD2608">
      <w:pPr>
        <w:pStyle w:val="Proposal"/>
        <w:numPr>
          <w:ilvl w:val="0"/>
          <w:numId w:val="4"/>
        </w:numPr>
      </w:pPr>
      <w:bookmarkStart w:id="75" w:name="_Toc47306229"/>
      <w:bookmarkStart w:id="76" w:name="_Toc47353777"/>
      <w:bookmarkStart w:id="77" w:name="_Toc47389431"/>
      <w:bookmarkStart w:id="78" w:name="_Toc47596562"/>
      <w:bookmarkStart w:id="79" w:name="_Toc47596584"/>
      <w:bookmarkStart w:id="80" w:name="_Toc47596646"/>
      <w:bookmarkStart w:id="81" w:name="_Toc47624122"/>
      <w:bookmarkStart w:id="82" w:name="_Toc47636769"/>
      <w:bookmarkStart w:id="83" w:name="_Toc47641254"/>
      <w:bookmarkStart w:id="84" w:name="_Toc47641717"/>
      <w:bookmarkStart w:id="85" w:name="_Toc47641768"/>
      <w:r>
        <w:t>For UEs in RRC_INACITVE, paging DRX cycle is not extended above 10.24 sec</w:t>
      </w:r>
      <w:r w:rsidRPr="005745F7">
        <w:t>.</w:t>
      </w:r>
      <w:bookmarkEnd w:id="75"/>
      <w:bookmarkEnd w:id="76"/>
      <w:bookmarkEnd w:id="77"/>
      <w:bookmarkEnd w:id="78"/>
      <w:bookmarkEnd w:id="79"/>
      <w:bookmarkEnd w:id="80"/>
      <w:bookmarkEnd w:id="81"/>
      <w:bookmarkEnd w:id="82"/>
      <w:bookmarkEnd w:id="83"/>
      <w:bookmarkEnd w:id="84"/>
      <w:bookmarkEnd w:id="85"/>
    </w:p>
    <w:p w14:paraId="5EC77C5B" w14:textId="0E0CBB96" w:rsidR="00B02FC5" w:rsidRPr="00B02FC5" w:rsidRDefault="007D7188" w:rsidP="00CD2608">
      <w:pPr>
        <w:jc w:val="both"/>
        <w:rPr>
          <w:lang w:val="en-GB"/>
        </w:rPr>
      </w:pPr>
      <w:r>
        <w:rPr>
          <w:lang w:val="en-GB"/>
        </w:rPr>
        <w:t xml:space="preserve">For NR UEs in RRC_IDLE, </w:t>
      </w:r>
      <w:r w:rsidR="00CD2608">
        <w:rPr>
          <w:lang w:val="en-GB"/>
        </w:rPr>
        <w:t xml:space="preserve">there is specification impact to enable paging DRX cycles above 10.24 sec (e.g. defining similar LTE eDRX feature including new Hyper-SFN, paging time window (PTW), or paging hyper-frame (PH) concepts/mechanism) but there are no technical concerns apart of the associated reachability delay. Moreover, it is also important to remember that this feature is already supported </w:t>
      </w:r>
      <w:r w:rsidR="00600302">
        <w:rPr>
          <w:lang w:val="en-GB"/>
        </w:rPr>
        <w:t>by</w:t>
      </w:r>
      <w:r w:rsidR="00CD2608">
        <w:rPr>
          <w:lang w:val="en-GB"/>
        </w:rPr>
        <w:t xml:space="preserve"> LTE UEs in RRC_I</w:t>
      </w:r>
      <w:r w:rsidR="00CC0965">
        <w:rPr>
          <w:lang w:val="en-GB"/>
        </w:rPr>
        <w:t>DLE</w:t>
      </w:r>
      <w:r w:rsidR="00CD2608">
        <w:rPr>
          <w:lang w:val="en-GB"/>
        </w:rPr>
        <w:t xml:space="preserve"> </w:t>
      </w:r>
      <w:r w:rsidR="00CD2608">
        <w:t>connected to 5GC.</w:t>
      </w:r>
    </w:p>
    <w:p w14:paraId="26FCEB4B" w14:textId="287EAFFA" w:rsidR="00CD2608" w:rsidRPr="00CD2608" w:rsidRDefault="00CD2608" w:rsidP="00CD2608">
      <w:pPr>
        <w:pStyle w:val="Proposal"/>
        <w:numPr>
          <w:ilvl w:val="0"/>
          <w:numId w:val="4"/>
        </w:numPr>
      </w:pPr>
      <w:bookmarkStart w:id="86" w:name="_Toc47306230"/>
      <w:bookmarkStart w:id="87" w:name="_Toc47353778"/>
      <w:bookmarkStart w:id="88" w:name="_Toc47389432"/>
      <w:bookmarkStart w:id="89" w:name="_Toc47596563"/>
      <w:bookmarkStart w:id="90" w:name="_Toc47596585"/>
      <w:bookmarkStart w:id="91" w:name="_Toc47596647"/>
      <w:bookmarkStart w:id="92" w:name="_Toc47624123"/>
      <w:bookmarkStart w:id="93" w:name="_Toc47636770"/>
      <w:bookmarkStart w:id="94" w:name="_Toc47641255"/>
      <w:bookmarkStart w:id="95" w:name="_Toc47641718"/>
      <w:bookmarkStart w:id="96" w:name="_Toc47641769"/>
      <w:r>
        <w:t>For UEs in RRC_IDLE, to discuss whether to enable paging DRX cycles above 10.24 sec similarly as it is done for LTE eDRX feature (including new Hyper-SFN, paging time window (PTW), or paging hyper-frame (PH) concepts/mechanism)</w:t>
      </w:r>
      <w:r w:rsidRPr="005745F7">
        <w:t>.</w:t>
      </w:r>
      <w:bookmarkEnd w:id="86"/>
      <w:bookmarkEnd w:id="87"/>
      <w:bookmarkEnd w:id="88"/>
      <w:bookmarkEnd w:id="89"/>
      <w:bookmarkEnd w:id="90"/>
      <w:bookmarkEnd w:id="91"/>
      <w:bookmarkEnd w:id="92"/>
      <w:bookmarkEnd w:id="93"/>
      <w:bookmarkEnd w:id="94"/>
      <w:bookmarkEnd w:id="95"/>
      <w:bookmarkEnd w:id="96"/>
    </w:p>
    <w:p w14:paraId="0ED329F0" w14:textId="77777777" w:rsidR="00B02FC5" w:rsidRDefault="00B02FC5" w:rsidP="00EF1BE7">
      <w:pPr>
        <w:spacing w:after="0"/>
      </w:pPr>
    </w:p>
    <w:p w14:paraId="01BD0256" w14:textId="46F8762A" w:rsidR="00523112" w:rsidRDefault="00523112" w:rsidP="00523112">
      <w:pPr>
        <w:pStyle w:val="Heading2"/>
      </w:pPr>
      <w:r>
        <w:t>RRM relaxation for stationary devices</w:t>
      </w:r>
    </w:p>
    <w:p w14:paraId="4B0F452E" w14:textId="48D45DC0" w:rsidR="00523112" w:rsidRDefault="008D1987" w:rsidP="005E3F21">
      <w:pPr>
        <w:jc w:val="both"/>
      </w:pPr>
      <w:bookmarkStart w:id="97" w:name="_Hlk47304067"/>
      <w:r>
        <w:t>Rel-16 measurement relaxation feature allows</w:t>
      </w:r>
      <w:r w:rsidRPr="008D1987">
        <w:t xml:space="preserve"> UE</w:t>
      </w:r>
      <w:r>
        <w:t>s</w:t>
      </w:r>
      <w:r w:rsidRPr="008D1987">
        <w:t xml:space="preserve"> in RRC_IDLE and RRC_INACTIVE </w:t>
      </w:r>
      <w:r>
        <w:t>to</w:t>
      </w:r>
      <w:r w:rsidRPr="008D1987">
        <w:t xml:space="preserve"> relax measurements on neighbour cells when it meets the rules and criteria determining </w:t>
      </w:r>
      <w:r>
        <w:t>that UE</w:t>
      </w:r>
      <w:r w:rsidRPr="008D1987">
        <w:t xml:space="preserve"> is in “low mobility” and/or “not at cell edge”</w:t>
      </w:r>
      <w:bookmarkEnd w:id="97"/>
      <w:r w:rsidRPr="008D1987">
        <w:t xml:space="preserve">. </w:t>
      </w:r>
      <w:r>
        <w:t>The target scenarios aim</w:t>
      </w:r>
      <w:r w:rsidRPr="008D1987">
        <w:t xml:space="preserve"> </w:t>
      </w:r>
      <w:r>
        <w:t>for UEs with a very deterministic usage and may benefit of being identified as stationary from subscription</w:t>
      </w:r>
      <w:r w:rsidR="00DF1CED">
        <w:t xml:space="preserve"> </w:t>
      </w:r>
      <w:r>
        <w:t xml:space="preserve">(without having apply/meet the Rel-16 criteria for </w:t>
      </w:r>
      <w:r w:rsidRPr="008D1987">
        <w:t>“low mobility” and/or “not at cell edge”</w:t>
      </w:r>
      <w:r>
        <w:t>.</w:t>
      </w:r>
      <w:r w:rsidR="005E3F21">
        <w:t xml:space="preserve"> For Rel-17, it would be good to confirm whether measurement relaxation targets only UEs in </w:t>
      </w:r>
      <w:r w:rsidR="005E3F21" w:rsidRPr="008D1987">
        <w:t>RRC_IDLE and RRC_INACTIVE</w:t>
      </w:r>
      <w:r w:rsidR="005E3F21">
        <w:t xml:space="preserve"> (as in Rel-16), or also </w:t>
      </w:r>
      <w:r w:rsidR="0093417D">
        <w:t xml:space="preserve">includes </w:t>
      </w:r>
      <w:r w:rsidR="005E3F21">
        <w:t>UEs in RRC_CONNECTED.</w:t>
      </w:r>
    </w:p>
    <w:p w14:paraId="28FD89E1" w14:textId="301906F8" w:rsidR="008D1987" w:rsidRPr="008D1987" w:rsidRDefault="008D1987" w:rsidP="005E3F21">
      <w:pPr>
        <w:pStyle w:val="observ"/>
        <w:ind w:left="360"/>
      </w:pPr>
      <w:bookmarkStart w:id="98" w:name="_Toc22282241"/>
      <w:bookmarkStart w:id="99" w:name="_Toc22282243"/>
      <w:bookmarkStart w:id="100" w:name="_Toc22282354"/>
      <w:bookmarkStart w:id="101" w:name="_Toc47306227"/>
      <w:bookmarkStart w:id="102" w:name="_Toc47389427"/>
      <w:bookmarkStart w:id="103" w:name="_Toc47596560"/>
      <w:bookmarkStart w:id="104" w:name="_Toc47596644"/>
      <w:bookmarkStart w:id="105" w:name="_Toc47624119"/>
      <w:bookmarkStart w:id="106" w:name="_Toc47636765"/>
      <w:bookmarkStart w:id="107" w:name="_Toc47641265"/>
      <w:bookmarkStart w:id="108" w:name="_Toc47641714"/>
      <w:bookmarkStart w:id="109" w:name="_Toc47641765"/>
      <w:r w:rsidRPr="008D1987">
        <w:t>Rel-16 measurement relaxation feature allows UEs in RRC_IDLE and RRC_INACTIVE to relax measurements on neighbour cells when it meets the rules and criteria determining that UE is in “low mobility” and/or “not at cell edge”.</w:t>
      </w:r>
      <w:bookmarkEnd w:id="98"/>
      <w:bookmarkEnd w:id="99"/>
      <w:bookmarkEnd w:id="100"/>
      <w:bookmarkEnd w:id="101"/>
      <w:bookmarkEnd w:id="102"/>
      <w:bookmarkEnd w:id="103"/>
      <w:bookmarkEnd w:id="104"/>
      <w:bookmarkEnd w:id="105"/>
      <w:bookmarkEnd w:id="106"/>
      <w:bookmarkEnd w:id="107"/>
      <w:bookmarkEnd w:id="108"/>
      <w:bookmarkEnd w:id="109"/>
    </w:p>
    <w:p w14:paraId="427485EC" w14:textId="68137AD1" w:rsidR="005E3F21" w:rsidRPr="005E3F21" w:rsidRDefault="005E3F21" w:rsidP="00AA0708">
      <w:pPr>
        <w:pStyle w:val="Proposal"/>
        <w:numPr>
          <w:ilvl w:val="0"/>
          <w:numId w:val="4"/>
        </w:numPr>
      </w:pPr>
      <w:bookmarkStart w:id="110" w:name="_Ref47304998"/>
      <w:bookmarkStart w:id="111" w:name="_Toc47596586"/>
      <w:bookmarkStart w:id="112" w:name="_Toc47596648"/>
      <w:bookmarkStart w:id="113" w:name="_Toc47641256"/>
      <w:bookmarkStart w:id="114" w:name="_Toc47624124"/>
      <w:bookmarkStart w:id="115" w:name="_Toc47636771"/>
      <w:bookmarkStart w:id="116" w:name="_Toc47641719"/>
      <w:bookmarkStart w:id="117" w:name="_Toc47641770"/>
      <w:r>
        <w:t xml:space="preserve">To discuss </w:t>
      </w:r>
      <w:r w:rsidR="007F2902">
        <w:t xml:space="preserve">which RRC state is target by the </w:t>
      </w:r>
      <w:r>
        <w:t xml:space="preserve">Rel-17 study </w:t>
      </w:r>
      <w:r w:rsidR="0073676C">
        <w:t xml:space="preserve">item </w:t>
      </w:r>
      <w:r>
        <w:t xml:space="preserve">of </w:t>
      </w:r>
      <w:r w:rsidRPr="005E3F21">
        <w:t xml:space="preserve">RRM relaxation for stationary </w:t>
      </w:r>
      <w:r>
        <w:t xml:space="preserve">UEs </w:t>
      </w:r>
      <w:r w:rsidR="007F2902">
        <w:t xml:space="preserve">(i.e. </w:t>
      </w:r>
      <w:r>
        <w:t>RRC_IDLE, RRC_INACTIVE and RRC_CONNECTED</w:t>
      </w:r>
      <w:r w:rsidR="007F2902">
        <w:t>)</w:t>
      </w:r>
      <w:r>
        <w:t>.</w:t>
      </w:r>
      <w:bookmarkEnd w:id="110"/>
      <w:bookmarkEnd w:id="111"/>
      <w:bookmarkEnd w:id="112"/>
      <w:bookmarkEnd w:id="113"/>
      <w:bookmarkEnd w:id="116"/>
      <w:bookmarkEnd w:id="117"/>
      <w:r>
        <w:t xml:space="preserve"> </w:t>
      </w:r>
      <w:bookmarkEnd w:id="114"/>
      <w:bookmarkEnd w:id="115"/>
    </w:p>
    <w:p w14:paraId="2C70B0F6" w14:textId="0B0EE3F8" w:rsidR="00524491" w:rsidRDefault="0028633B" w:rsidP="005E3F21">
      <w:pPr>
        <w:pStyle w:val="Proposal"/>
        <w:numPr>
          <w:ilvl w:val="0"/>
          <w:numId w:val="4"/>
        </w:numPr>
      </w:pPr>
      <w:bookmarkStart w:id="118" w:name="_Toc47636772"/>
      <w:bookmarkStart w:id="119" w:name="_Toc47641257"/>
      <w:bookmarkStart w:id="120" w:name="_Ref47304938"/>
      <w:bookmarkStart w:id="121" w:name="_Toc47306231"/>
      <w:bookmarkStart w:id="122" w:name="_Toc47353779"/>
      <w:bookmarkStart w:id="123" w:name="_Toc47596564"/>
      <w:bookmarkStart w:id="124" w:name="_Toc47596587"/>
      <w:bookmarkStart w:id="125" w:name="_Toc47596649"/>
      <w:bookmarkStart w:id="126" w:name="_Toc47624125"/>
      <w:bookmarkStart w:id="127" w:name="_Toc47389433"/>
      <w:bookmarkStart w:id="128" w:name="_Toc47641720"/>
      <w:bookmarkStart w:id="129" w:name="_Toc47641771"/>
      <w:r>
        <w:t>For UEs supporting</w:t>
      </w:r>
      <w:r w:rsidR="00D41AE6">
        <w:t xml:space="preserve"> </w:t>
      </w:r>
      <w:r w:rsidR="005E3F21">
        <w:t>Rel-17 m</w:t>
      </w:r>
      <w:r w:rsidR="008D1987">
        <w:t>easurement</w:t>
      </w:r>
      <w:r w:rsidR="008645F7">
        <w:t xml:space="preserve"> relaxation, the</w:t>
      </w:r>
      <w:r w:rsidR="008D1987">
        <w:t xml:space="preserve"> </w:t>
      </w:r>
      <w:r w:rsidR="00E662A4">
        <w:t>stationary</w:t>
      </w:r>
      <w:r w:rsidR="008645F7">
        <w:t xml:space="preserve"> information </w:t>
      </w:r>
      <w:r w:rsidR="00B3018C">
        <w:t>can be deri</w:t>
      </w:r>
      <w:r w:rsidR="00C967E9">
        <w:t>v</w:t>
      </w:r>
      <w:r w:rsidR="00B3018C">
        <w:t>ed</w:t>
      </w:r>
      <w:r w:rsidR="00D41AE6">
        <w:t xml:space="preserve"> </w:t>
      </w:r>
      <w:r w:rsidR="008D1987">
        <w:t xml:space="preserve">via </w:t>
      </w:r>
      <w:r w:rsidR="00D44DFC">
        <w:t xml:space="preserve">(a) </w:t>
      </w:r>
      <w:r w:rsidR="008D1987">
        <w:t>subscription information</w:t>
      </w:r>
      <w:r w:rsidR="00B3018C">
        <w:t xml:space="preserve"> or </w:t>
      </w:r>
      <w:r w:rsidR="00D44DFC">
        <w:t>(b)</w:t>
      </w:r>
      <w:r w:rsidR="00B3018C">
        <w:t xml:space="preserve"> </w:t>
      </w:r>
      <w:r w:rsidR="005A1BB2">
        <w:t xml:space="preserve">a similar mechanism as defined in </w:t>
      </w:r>
      <w:r w:rsidR="00B3018C">
        <w:t xml:space="preserve">Rel-16 </w:t>
      </w:r>
      <w:r w:rsidR="005A1BB2">
        <w:t>measurement relaxation</w:t>
      </w:r>
      <w:r w:rsidR="00D44DFC">
        <w:t xml:space="preserve"> feature</w:t>
      </w:r>
      <w:r w:rsidR="008D1987">
        <w:t>.</w:t>
      </w:r>
      <w:bookmarkEnd w:id="118"/>
      <w:bookmarkEnd w:id="119"/>
      <w:bookmarkEnd w:id="128"/>
      <w:bookmarkEnd w:id="129"/>
    </w:p>
    <w:p w14:paraId="2656576D" w14:textId="46F2D31C" w:rsidR="00523112" w:rsidRDefault="0041181A" w:rsidP="005E3F21">
      <w:pPr>
        <w:pStyle w:val="Proposal"/>
        <w:numPr>
          <w:ilvl w:val="0"/>
          <w:numId w:val="4"/>
        </w:numPr>
      </w:pPr>
      <w:bookmarkStart w:id="130" w:name="_Toc47636773"/>
      <w:bookmarkStart w:id="131" w:name="_Toc47641258"/>
      <w:bookmarkStart w:id="132" w:name="_Toc47641721"/>
      <w:bookmarkStart w:id="133" w:name="_Toc47641772"/>
      <w:r>
        <w:t>To</w:t>
      </w:r>
      <w:r w:rsidR="008D1987">
        <w:t xml:space="preserve"> </w:t>
      </w:r>
      <w:r w:rsidR="007A080E">
        <w:t xml:space="preserve">discuss </w:t>
      </w:r>
      <w:r w:rsidR="007863F4">
        <w:t xml:space="preserve">what Rel-17 measurement relaxation </w:t>
      </w:r>
      <w:r>
        <w:t xml:space="preserve">rules are </w:t>
      </w:r>
      <w:r w:rsidR="00D15697">
        <w:t>target</w:t>
      </w:r>
      <w:r w:rsidR="00D44DFC">
        <w:t>:</w:t>
      </w:r>
      <w:r w:rsidR="000313FE">
        <w:t xml:space="preserve"> </w:t>
      </w:r>
      <w:r w:rsidR="00D15697">
        <w:t xml:space="preserve">(a) </w:t>
      </w:r>
      <w:r w:rsidR="007A080E">
        <w:t>whether</w:t>
      </w:r>
      <w:r w:rsidR="008D1987">
        <w:t xml:space="preserve"> Rel-16 relaxation rules can be </w:t>
      </w:r>
      <w:r w:rsidR="005E3F21">
        <w:t xml:space="preserve">re-used </w:t>
      </w:r>
      <w:r>
        <w:t xml:space="preserve">or </w:t>
      </w:r>
      <w:r w:rsidR="00AF006A">
        <w:t>enhanced</w:t>
      </w:r>
      <w:r>
        <w:t xml:space="preserve"> </w:t>
      </w:r>
      <w:r w:rsidR="007A080E">
        <w:t>or</w:t>
      </w:r>
      <w:r w:rsidR="00C92CC1">
        <w:t>,</w:t>
      </w:r>
      <w:r w:rsidR="00D15697">
        <w:t xml:space="preserve"> (b)</w:t>
      </w:r>
      <w:r w:rsidR="007A080E">
        <w:t xml:space="preserve"> new relaxation rules are </w:t>
      </w:r>
      <w:r w:rsidR="000313FE">
        <w:t>required</w:t>
      </w:r>
      <w:r w:rsidR="00523112" w:rsidRPr="005745F7">
        <w:t>.</w:t>
      </w:r>
      <w:bookmarkEnd w:id="120"/>
      <w:bookmarkEnd w:id="121"/>
      <w:bookmarkEnd w:id="122"/>
      <w:bookmarkEnd w:id="123"/>
      <w:bookmarkEnd w:id="124"/>
      <w:bookmarkEnd w:id="125"/>
      <w:bookmarkEnd w:id="126"/>
      <w:bookmarkEnd w:id="130"/>
      <w:bookmarkEnd w:id="131"/>
      <w:bookmarkEnd w:id="132"/>
      <w:bookmarkEnd w:id="133"/>
      <w:r w:rsidR="00523112">
        <w:t xml:space="preserve"> </w:t>
      </w:r>
      <w:bookmarkEnd w:id="127"/>
    </w:p>
    <w:p w14:paraId="5964ADD0" w14:textId="6601D4B6" w:rsidR="00523112" w:rsidRDefault="008D1987" w:rsidP="00EF1BE7">
      <w:pPr>
        <w:spacing w:after="120"/>
        <w:jc w:val="both"/>
        <w:rPr>
          <w:lang w:val="en-GB" w:eastAsia="x-none"/>
        </w:rPr>
      </w:pPr>
      <w:r>
        <w:rPr>
          <w:lang w:val="en-GB" w:eastAsia="x-none"/>
        </w:rPr>
        <w:t xml:space="preserve">In addition, there </w:t>
      </w:r>
      <w:r w:rsidR="005E3F21">
        <w:rPr>
          <w:lang w:val="en-GB" w:eastAsia="x-none"/>
        </w:rPr>
        <w:t>are</w:t>
      </w:r>
      <w:r>
        <w:rPr>
          <w:lang w:val="en-GB" w:eastAsia="x-none"/>
        </w:rPr>
        <w:t xml:space="preserve"> other areas</w:t>
      </w:r>
      <w:r w:rsidR="005E3F21">
        <w:rPr>
          <w:lang w:val="en-GB" w:eastAsia="x-none"/>
        </w:rPr>
        <w:t xml:space="preserve"> to</w:t>
      </w:r>
      <w:r>
        <w:rPr>
          <w:lang w:val="en-GB" w:eastAsia="x-none"/>
        </w:rPr>
        <w:t xml:space="preserve"> discuss</w:t>
      </w:r>
      <w:r w:rsidR="005E3F21">
        <w:rPr>
          <w:lang w:val="en-GB" w:eastAsia="x-none"/>
        </w:rPr>
        <w:t xml:space="preserve"> aiming to identify </w:t>
      </w:r>
      <w:r w:rsidR="00273DD5">
        <w:rPr>
          <w:lang w:val="en-GB" w:eastAsia="x-none"/>
        </w:rPr>
        <w:t xml:space="preserve">whether its </w:t>
      </w:r>
      <w:r w:rsidR="005E3F21">
        <w:rPr>
          <w:lang w:val="en-GB" w:eastAsia="x-none"/>
        </w:rPr>
        <w:t xml:space="preserve">enhancements </w:t>
      </w:r>
      <w:r w:rsidR="00EE48CC">
        <w:rPr>
          <w:lang w:val="en-GB" w:eastAsia="x-none"/>
        </w:rPr>
        <w:t xml:space="preserve">is </w:t>
      </w:r>
      <w:r w:rsidR="005E3F21">
        <w:rPr>
          <w:lang w:val="en-GB" w:eastAsia="x-none"/>
        </w:rPr>
        <w:t>of interest for Rel-17</w:t>
      </w:r>
      <w:r w:rsidR="00EE48CC">
        <w:rPr>
          <w:lang w:val="en-GB" w:eastAsia="x-none"/>
        </w:rPr>
        <w:t>:</w:t>
      </w:r>
      <w:r w:rsidR="005E3F21">
        <w:rPr>
          <w:lang w:val="en-GB" w:eastAsia="x-none"/>
        </w:rPr>
        <w:t xml:space="preserve"> </w:t>
      </w:r>
    </w:p>
    <w:p w14:paraId="68F05F03" w14:textId="48A18520" w:rsidR="005E3F21" w:rsidRDefault="00EE48CC" w:rsidP="007B1B9E">
      <w:pPr>
        <w:pStyle w:val="ListParagraph"/>
        <w:numPr>
          <w:ilvl w:val="0"/>
          <w:numId w:val="10"/>
        </w:numPr>
        <w:spacing w:after="60"/>
        <w:contextualSpacing w:val="0"/>
        <w:jc w:val="both"/>
        <w:rPr>
          <w:lang w:val="en-GB" w:eastAsia="x-none"/>
        </w:rPr>
      </w:pPr>
      <w:r>
        <w:rPr>
          <w:b/>
          <w:bCs/>
          <w:lang w:val="en-GB" w:eastAsia="x-none"/>
        </w:rPr>
        <w:t>M</w:t>
      </w:r>
      <w:r w:rsidRPr="008627B6">
        <w:rPr>
          <w:b/>
          <w:bCs/>
          <w:lang w:val="en-GB" w:eastAsia="x-none"/>
        </w:rPr>
        <w:t>easurement relaxation</w:t>
      </w:r>
      <w:r w:rsidRPr="005E3F21" w:rsidDel="00EE48CC">
        <w:rPr>
          <w:b/>
          <w:bCs/>
          <w:lang w:val="en-GB" w:eastAsia="x-none"/>
        </w:rPr>
        <w:t xml:space="preserve"> </w:t>
      </w:r>
      <w:r>
        <w:rPr>
          <w:b/>
          <w:bCs/>
          <w:lang w:val="en-GB" w:eastAsia="x-none"/>
        </w:rPr>
        <w:t>for s</w:t>
      </w:r>
      <w:r w:rsidR="005E3F21" w:rsidRPr="005E3F21">
        <w:rPr>
          <w:b/>
          <w:bCs/>
          <w:lang w:val="en-GB" w:eastAsia="x-none"/>
        </w:rPr>
        <w:t>erving cell</w:t>
      </w:r>
      <w:r w:rsidR="005E3F21">
        <w:rPr>
          <w:lang w:val="en-GB" w:eastAsia="x-none"/>
        </w:rPr>
        <w:t xml:space="preserve">. Measurements </w:t>
      </w:r>
      <w:r w:rsidR="008627B6">
        <w:rPr>
          <w:lang w:val="en-GB" w:eastAsia="x-none"/>
        </w:rPr>
        <w:t>of the</w:t>
      </w:r>
      <w:r w:rsidR="005E3F21">
        <w:rPr>
          <w:lang w:val="en-GB" w:eastAsia="x-none"/>
        </w:rPr>
        <w:t xml:space="preserve"> serving cell are currently not relaxed </w:t>
      </w:r>
      <w:r>
        <w:rPr>
          <w:lang w:val="en-GB" w:eastAsia="x-none"/>
        </w:rPr>
        <w:t xml:space="preserve">as part of Rel-16 </w:t>
      </w:r>
      <w:r>
        <w:t>measurement relaxation feature</w:t>
      </w:r>
      <w:r>
        <w:rPr>
          <w:lang w:val="en-GB" w:eastAsia="x-none"/>
        </w:rPr>
        <w:t xml:space="preserve"> </w:t>
      </w:r>
      <w:r w:rsidR="005E3F21">
        <w:rPr>
          <w:lang w:val="en-GB" w:eastAsia="x-none"/>
        </w:rPr>
        <w:t>due to the</w:t>
      </w:r>
      <w:r>
        <w:rPr>
          <w:lang w:val="en-GB" w:eastAsia="x-none"/>
        </w:rPr>
        <w:t xml:space="preserve"> concerns raised on the</w:t>
      </w:r>
      <w:r w:rsidR="005E3F21">
        <w:rPr>
          <w:lang w:val="en-GB" w:eastAsia="x-none"/>
        </w:rPr>
        <w:t xml:space="preserve"> performance impact</w:t>
      </w:r>
      <w:r>
        <w:rPr>
          <w:lang w:val="en-GB" w:eastAsia="x-none"/>
        </w:rPr>
        <w:t>. H</w:t>
      </w:r>
      <w:r w:rsidR="005E3F21">
        <w:rPr>
          <w:lang w:val="en-GB" w:eastAsia="x-none"/>
        </w:rPr>
        <w:t xml:space="preserve">owever for stationary devices, it </w:t>
      </w:r>
      <w:r w:rsidR="00351ED6">
        <w:rPr>
          <w:lang w:val="en-GB" w:eastAsia="x-none"/>
        </w:rPr>
        <w:t xml:space="preserve">is reasonable to also relax measurement for serving cell since the UE is </w:t>
      </w:r>
      <w:r w:rsidR="00DF4C83">
        <w:rPr>
          <w:lang w:val="en-GB" w:eastAsia="x-none"/>
        </w:rPr>
        <w:t xml:space="preserve">not moving. </w:t>
      </w:r>
    </w:p>
    <w:p w14:paraId="0F5BDD5D" w14:textId="2185397A" w:rsidR="008627B6" w:rsidRPr="003917C0" w:rsidRDefault="00EE48CC" w:rsidP="00EF1BE7">
      <w:pPr>
        <w:pStyle w:val="ListParagraph"/>
        <w:numPr>
          <w:ilvl w:val="0"/>
          <w:numId w:val="10"/>
        </w:numPr>
        <w:spacing w:after="240"/>
        <w:contextualSpacing w:val="0"/>
        <w:jc w:val="both"/>
        <w:rPr>
          <w:lang w:val="en-GB" w:eastAsia="x-none"/>
        </w:rPr>
      </w:pPr>
      <w:r w:rsidRPr="003917C0">
        <w:rPr>
          <w:b/>
          <w:bCs/>
          <w:lang w:val="en-GB" w:eastAsia="x-none"/>
        </w:rPr>
        <w:t>M</w:t>
      </w:r>
      <w:r w:rsidR="005E3F21" w:rsidRPr="003917C0">
        <w:rPr>
          <w:b/>
          <w:bCs/>
          <w:lang w:val="en-GB" w:eastAsia="x-none"/>
        </w:rPr>
        <w:t>easurement relaxation</w:t>
      </w:r>
      <w:r w:rsidR="007667D2" w:rsidRPr="003917C0">
        <w:rPr>
          <w:b/>
          <w:bCs/>
          <w:lang w:val="en-GB" w:eastAsia="x-none"/>
        </w:rPr>
        <w:t xml:space="preserve"> </w:t>
      </w:r>
      <w:r w:rsidR="002C2B15" w:rsidRPr="003917C0">
        <w:rPr>
          <w:b/>
          <w:bCs/>
          <w:lang w:val="en-GB" w:eastAsia="x-none"/>
        </w:rPr>
        <w:t>for multi-beam operation</w:t>
      </w:r>
      <w:r w:rsidR="005E3F21" w:rsidRPr="003917C0">
        <w:rPr>
          <w:lang w:val="en-GB" w:eastAsia="x-none"/>
        </w:rPr>
        <w:t>.</w:t>
      </w:r>
      <w:r w:rsidR="008627B6" w:rsidRPr="003917C0">
        <w:rPr>
          <w:lang w:val="en-GB" w:eastAsia="x-none"/>
        </w:rPr>
        <w:t xml:space="preserve"> Rel-16 measurement relaxation could be enhanced to better support </w:t>
      </w:r>
      <w:r w:rsidR="008627B6" w:rsidRPr="00FB38DD">
        <w:rPr>
          <w:lang w:val="en-GB" w:eastAsia="x-none"/>
        </w:rPr>
        <w:t>beam operation.</w:t>
      </w:r>
      <w:r w:rsidR="00564868" w:rsidRPr="00FB38DD">
        <w:rPr>
          <w:lang w:val="en-GB" w:eastAsia="x-none"/>
        </w:rPr>
        <w:t xml:space="preserve"> For example, in multiple TRPs deployment, Rel-16 criteria defined to determine if the UE is </w:t>
      </w:r>
      <w:r w:rsidR="00564868" w:rsidRPr="00303B0C">
        <w:rPr>
          <w:lang w:val="en-GB" w:eastAsia="x-none"/>
        </w:rPr>
        <w:t>“low mobility” or “not at the cell edge” not be enough</w:t>
      </w:r>
      <w:r w:rsidR="000F6115" w:rsidRPr="00303B0C">
        <w:rPr>
          <w:lang w:val="en-GB" w:eastAsia="x-none"/>
        </w:rPr>
        <w:t>, understanding that a change of beam would trigger a UE not meeting those criter</w:t>
      </w:r>
      <w:r w:rsidR="00303B0C" w:rsidRPr="00303B0C">
        <w:rPr>
          <w:lang w:val="en-GB" w:eastAsia="x-none"/>
        </w:rPr>
        <w:t>ia</w:t>
      </w:r>
      <w:r w:rsidR="00564868" w:rsidRPr="00303B0C">
        <w:rPr>
          <w:lang w:val="en-GB" w:eastAsia="x-none"/>
        </w:rPr>
        <w:t>.</w:t>
      </w:r>
      <w:r w:rsidR="00303B0C" w:rsidRPr="00303B0C">
        <w:rPr>
          <w:lang w:val="en-GB" w:eastAsia="x-none"/>
        </w:rPr>
        <w:t xml:space="preserve"> Moreover</w:t>
      </w:r>
      <w:r w:rsidR="003917C0">
        <w:rPr>
          <w:lang w:val="en-GB" w:eastAsia="x-none"/>
        </w:rPr>
        <w:t>,</w:t>
      </w:r>
      <w:r w:rsidR="00303B0C" w:rsidRPr="003917C0">
        <w:rPr>
          <w:lang w:val="en-GB" w:eastAsia="x-none"/>
        </w:rPr>
        <w:t xml:space="preserve"> </w:t>
      </w:r>
      <w:r w:rsidR="00303B0C">
        <w:rPr>
          <w:lang w:val="en-GB" w:eastAsia="x-none"/>
        </w:rPr>
        <w:t>w</w:t>
      </w:r>
      <w:r w:rsidR="00564868" w:rsidRPr="00303B0C">
        <w:rPr>
          <w:lang w:val="en-GB" w:eastAsia="x-none"/>
        </w:rPr>
        <w:t>hen the UE are in low mobility and changing from one TRP to another TRP, even though the UE is still within the same cell, the measurement value may be varying from one TRP to another. Therefore, when using “RRM measurement relaxation</w:t>
      </w:r>
      <w:r w:rsidR="00564868" w:rsidRPr="003917C0">
        <w:rPr>
          <w:lang w:val="en-GB" w:eastAsia="x-none"/>
        </w:rPr>
        <w:t xml:space="preserve">” feature under multi-beam operation, it may be desirable </w:t>
      </w:r>
      <w:r w:rsidR="003917C0">
        <w:rPr>
          <w:lang w:val="en-GB" w:eastAsia="x-none"/>
        </w:rPr>
        <w:t xml:space="preserve">to enhance current operation e.g. to reduce the </w:t>
      </w:r>
      <w:r w:rsidR="009C740E">
        <w:rPr>
          <w:lang w:val="en-GB" w:eastAsia="x-none"/>
        </w:rPr>
        <w:t xml:space="preserve">impact on the </w:t>
      </w:r>
      <w:r w:rsidR="007C1082">
        <w:rPr>
          <w:lang w:val="en-GB" w:eastAsia="x-none"/>
        </w:rPr>
        <w:t>determination of the mobility state</w:t>
      </w:r>
      <w:r w:rsidR="003917C0">
        <w:rPr>
          <w:lang w:val="en-GB" w:eastAsia="x-none"/>
        </w:rPr>
        <w:t xml:space="preserve"> when a UE changes beams.</w:t>
      </w:r>
    </w:p>
    <w:p w14:paraId="68B2563C" w14:textId="53B505C3" w:rsidR="005E3F21" w:rsidRDefault="005E3F21" w:rsidP="0086473B">
      <w:pPr>
        <w:pStyle w:val="Proposal"/>
        <w:numPr>
          <w:ilvl w:val="0"/>
          <w:numId w:val="4"/>
        </w:numPr>
      </w:pPr>
      <w:bookmarkStart w:id="134" w:name="_Toc47636774"/>
      <w:bookmarkStart w:id="135" w:name="_Toc47636775"/>
      <w:bookmarkStart w:id="136" w:name="_Toc47636776"/>
      <w:bookmarkStart w:id="137" w:name="_Toc47636777"/>
      <w:bookmarkStart w:id="138" w:name="_Toc47636778"/>
      <w:bookmarkStart w:id="139" w:name="_Toc47353780"/>
      <w:bookmarkStart w:id="140" w:name="_Toc47389434"/>
      <w:bookmarkStart w:id="141" w:name="_Toc47596565"/>
      <w:bookmarkStart w:id="142" w:name="_Toc47596588"/>
      <w:bookmarkStart w:id="143" w:name="_Toc47596650"/>
      <w:bookmarkStart w:id="144" w:name="_Toc47624126"/>
      <w:bookmarkStart w:id="145" w:name="_Toc47636779"/>
      <w:bookmarkStart w:id="146" w:name="_Toc47641259"/>
      <w:bookmarkStart w:id="147" w:name="_Toc47641722"/>
      <w:bookmarkStart w:id="148" w:name="_Toc47641773"/>
      <w:bookmarkEnd w:id="134"/>
      <w:bookmarkEnd w:id="135"/>
      <w:bookmarkEnd w:id="136"/>
      <w:bookmarkEnd w:id="137"/>
      <w:bookmarkEnd w:id="138"/>
      <w:r>
        <w:t>To discuss</w:t>
      </w:r>
      <w:r w:rsidR="008627B6">
        <w:t xml:space="preserve"> whether </w:t>
      </w:r>
      <w:r w:rsidR="00FB38DD">
        <w:t xml:space="preserve">to allow </w:t>
      </w:r>
      <w:r w:rsidR="008627B6">
        <w:t>measurement</w:t>
      </w:r>
      <w:r w:rsidR="00FB38DD">
        <w:t xml:space="preserve"> relaxation </w:t>
      </w:r>
      <w:r w:rsidR="008627B6">
        <w:t>of the serving cell for stationary UEs</w:t>
      </w:r>
      <w:r>
        <w:t>.</w:t>
      </w:r>
      <w:bookmarkEnd w:id="139"/>
      <w:bookmarkEnd w:id="140"/>
      <w:bookmarkEnd w:id="141"/>
      <w:bookmarkEnd w:id="142"/>
      <w:bookmarkEnd w:id="143"/>
      <w:bookmarkEnd w:id="144"/>
      <w:bookmarkEnd w:id="145"/>
      <w:bookmarkEnd w:id="146"/>
      <w:bookmarkEnd w:id="147"/>
      <w:bookmarkEnd w:id="148"/>
      <w:r>
        <w:t xml:space="preserve"> </w:t>
      </w:r>
    </w:p>
    <w:p w14:paraId="09D60512" w14:textId="455F3AD8" w:rsidR="008627B6" w:rsidRPr="005E3F21" w:rsidRDefault="007B1B9E" w:rsidP="0086473B">
      <w:pPr>
        <w:pStyle w:val="Proposal"/>
        <w:numPr>
          <w:ilvl w:val="0"/>
          <w:numId w:val="4"/>
        </w:numPr>
      </w:pPr>
      <w:bookmarkStart w:id="149" w:name="_Toc47636780"/>
      <w:bookmarkStart w:id="150" w:name="_Toc47353782"/>
      <w:bookmarkStart w:id="151" w:name="_Toc47389436"/>
      <w:bookmarkStart w:id="152" w:name="_Toc47596567"/>
      <w:bookmarkStart w:id="153" w:name="_Toc47596590"/>
      <w:bookmarkStart w:id="154" w:name="_Toc47596652"/>
      <w:bookmarkStart w:id="155" w:name="_Toc47624128"/>
      <w:bookmarkStart w:id="156" w:name="_Toc47636781"/>
      <w:bookmarkStart w:id="157" w:name="_Toc47641260"/>
      <w:bookmarkStart w:id="158" w:name="_Toc47641723"/>
      <w:bookmarkStart w:id="159" w:name="_Toc47641774"/>
      <w:bookmarkEnd w:id="149"/>
      <w:r>
        <w:t xml:space="preserve">To discuss whether to enhance </w:t>
      </w:r>
      <w:r w:rsidRPr="008627B6">
        <w:t>Rel-16</w:t>
      </w:r>
      <w:r>
        <w:t xml:space="preserve"> measurement relaxation</w:t>
      </w:r>
      <w:r w:rsidR="00FB38DD">
        <w:t xml:space="preserve"> for multi-beam operation</w:t>
      </w:r>
      <w:r>
        <w:t>.</w:t>
      </w:r>
      <w:bookmarkEnd w:id="150"/>
      <w:bookmarkEnd w:id="151"/>
      <w:bookmarkEnd w:id="152"/>
      <w:bookmarkEnd w:id="153"/>
      <w:bookmarkEnd w:id="154"/>
      <w:bookmarkEnd w:id="155"/>
      <w:bookmarkEnd w:id="156"/>
      <w:bookmarkEnd w:id="157"/>
      <w:bookmarkEnd w:id="158"/>
      <w:bookmarkEnd w:id="159"/>
    </w:p>
    <w:p w14:paraId="28591C48" w14:textId="77777777" w:rsidR="00901A27" w:rsidRPr="00083BE4" w:rsidRDefault="00901A27" w:rsidP="00EF1BE7">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FF7EBA8" w14:textId="77777777" w:rsidR="00DF1CED"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DF1CED" w:rsidRPr="00976C87">
        <w:rPr>
          <w:b/>
          <w:noProof/>
        </w:rPr>
        <w:t>Observation 1.</w:t>
      </w:r>
      <w:r w:rsidR="00DF1CED">
        <w:rPr>
          <w:rFonts w:asciiTheme="minorHAnsi" w:eastAsiaTheme="minorEastAsia" w:hAnsiTheme="minorHAnsi" w:cstheme="minorBidi"/>
          <w:noProof/>
          <w:sz w:val="22"/>
        </w:rPr>
        <w:tab/>
      </w:r>
      <w:r w:rsidR="00DF1CED">
        <w:rPr>
          <w:noProof/>
        </w:rPr>
        <w:t>Extending DRX cycle for NR UEs in RRC_IDLE and RRC_INACTIVE above 2.56sec is needed in order to reach the battery lifetime of the target use cases (from years to days and weeks) similarly as it was done in LTE Rel-13 extended DRX feature.</w:t>
      </w:r>
    </w:p>
    <w:p w14:paraId="45186B44" w14:textId="77777777" w:rsidR="00DF1CED" w:rsidRDefault="00DF1CED">
      <w:pPr>
        <w:pStyle w:val="TOC1"/>
        <w:rPr>
          <w:rFonts w:asciiTheme="minorHAnsi" w:eastAsiaTheme="minorEastAsia" w:hAnsiTheme="minorHAnsi" w:cstheme="minorBidi"/>
          <w:noProof/>
          <w:sz w:val="22"/>
        </w:rPr>
      </w:pPr>
      <w:r w:rsidRPr="00976C87">
        <w:rPr>
          <w:b/>
          <w:noProof/>
        </w:rPr>
        <w:t>Observation 2.</w:t>
      </w:r>
      <w:r>
        <w:rPr>
          <w:rFonts w:asciiTheme="minorHAnsi" w:eastAsiaTheme="minorEastAsia" w:hAnsiTheme="minorHAnsi" w:cstheme="minorBidi"/>
          <w:noProof/>
          <w:sz w:val="22"/>
        </w:rPr>
        <w:tab/>
      </w:r>
      <w:r>
        <w:rPr>
          <w:noProof/>
        </w:rPr>
        <w:t>For WB-E-UTRAN connected to 5GC, extending DRX cycle feature is supported for UEs in RRC_IDLE (with or without suspend indication) up to 44 min. and for UEs in RRC_INACTIVE up to 10.24 sec.</w:t>
      </w:r>
    </w:p>
    <w:p w14:paraId="54D7E45F" w14:textId="77777777" w:rsidR="00DF1CED" w:rsidRDefault="00DF1CED">
      <w:pPr>
        <w:pStyle w:val="TOC1"/>
        <w:rPr>
          <w:rFonts w:asciiTheme="minorHAnsi" w:eastAsiaTheme="minorEastAsia" w:hAnsiTheme="minorHAnsi" w:cstheme="minorBidi"/>
          <w:noProof/>
          <w:sz w:val="22"/>
        </w:rPr>
      </w:pPr>
      <w:r w:rsidRPr="00976C87">
        <w:rPr>
          <w:b/>
          <w:noProof/>
        </w:rPr>
        <w:t>Observation 3.</w:t>
      </w:r>
      <w:r>
        <w:rPr>
          <w:rFonts w:asciiTheme="minorHAnsi" w:eastAsiaTheme="minorEastAsia" w:hAnsiTheme="minorHAnsi" w:cstheme="minorBidi"/>
          <w:noProof/>
          <w:sz w:val="22"/>
        </w:rPr>
        <w:tab/>
      </w:r>
      <w:r w:rsidRPr="00976C87">
        <w:rPr>
          <w:noProof/>
        </w:rPr>
        <w:t>During</w:t>
      </w:r>
      <w:r>
        <w:rPr>
          <w:noProof/>
        </w:rPr>
        <w:t xml:space="preserve"> Rel-16 Power Saving SI phase, RAN2 captured in the conclusion of TR 38.840 that it was desirable to define rules for UE specific DRX cycles extended up to 10.24 sec.</w:t>
      </w:r>
    </w:p>
    <w:p w14:paraId="7960F417" w14:textId="77777777" w:rsidR="00DF1CED" w:rsidRDefault="00DF1CED">
      <w:pPr>
        <w:pStyle w:val="TOC1"/>
        <w:rPr>
          <w:rFonts w:asciiTheme="minorHAnsi" w:eastAsiaTheme="minorEastAsia" w:hAnsiTheme="minorHAnsi" w:cstheme="minorBidi"/>
          <w:noProof/>
          <w:sz w:val="22"/>
        </w:rPr>
      </w:pPr>
      <w:r w:rsidRPr="00976C87">
        <w:rPr>
          <w:b/>
          <w:noProof/>
        </w:rPr>
        <w:t>Observation 4.</w:t>
      </w:r>
      <w:r>
        <w:rPr>
          <w:rFonts w:asciiTheme="minorHAnsi" w:eastAsiaTheme="minorEastAsia" w:hAnsiTheme="minorHAnsi" w:cstheme="minorBidi"/>
          <w:noProof/>
          <w:sz w:val="22"/>
        </w:rPr>
        <w:tab/>
      </w:r>
      <w:r>
        <w:rPr>
          <w:noProof/>
        </w:rPr>
        <w:t>For E-UTRA connected to 5GC, extending DRX cycle above 10.24 sec was not desirable for UEs in RRC_INACTIVE due to the foreseen CN impact to the mobility management procedures due to the smallest value of the NAS retransmission timer and the actual number of NAS retransmission done).</w:t>
      </w:r>
    </w:p>
    <w:p w14:paraId="1780FF8F" w14:textId="77777777" w:rsidR="00DF1CED" w:rsidRDefault="00DF1CED">
      <w:pPr>
        <w:pStyle w:val="TOC1"/>
        <w:rPr>
          <w:rFonts w:asciiTheme="minorHAnsi" w:eastAsiaTheme="minorEastAsia" w:hAnsiTheme="minorHAnsi" w:cstheme="minorBidi"/>
          <w:noProof/>
          <w:sz w:val="22"/>
        </w:rPr>
      </w:pPr>
      <w:r w:rsidRPr="00976C87">
        <w:rPr>
          <w:b/>
          <w:noProof/>
        </w:rPr>
        <w:t>Observation 5.</w:t>
      </w:r>
      <w:r>
        <w:rPr>
          <w:rFonts w:asciiTheme="minorHAnsi" w:eastAsiaTheme="minorEastAsia" w:hAnsiTheme="minorHAnsi" w:cstheme="minorBidi"/>
          <w:noProof/>
          <w:sz w:val="22"/>
        </w:rPr>
        <w:tab/>
      </w:r>
      <w:r>
        <w:rPr>
          <w:noProof/>
        </w:rPr>
        <w:t>Rel-16 measurement relaxation feature allows UEs in RRC_IDLE and RRC_INACTIVE to relax measurements on neighbour cells when it meets the rules and criteria determining that UE is in “low mobility” and/or “not at cell edge”.</w:t>
      </w:r>
    </w:p>
    <w:p w14:paraId="5239C8EE" w14:textId="1C4FB335" w:rsidR="00EB410E" w:rsidRDefault="00EB410E" w:rsidP="00DF1CED">
      <w:pPr>
        <w:spacing w:after="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E6A8229" w14:textId="77777777" w:rsidR="00DF1CED"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DF1CED" w:rsidRPr="00483E01">
        <w:rPr>
          <w:b/>
          <w:noProof/>
        </w:rPr>
        <w:t>Proposal 1.</w:t>
      </w:r>
      <w:r w:rsidR="00DF1CED">
        <w:rPr>
          <w:rFonts w:asciiTheme="minorHAnsi" w:eastAsiaTheme="minorEastAsia" w:hAnsiTheme="minorHAnsi" w:cstheme="minorBidi"/>
          <w:noProof/>
          <w:sz w:val="22"/>
        </w:rPr>
        <w:tab/>
      </w:r>
      <w:r w:rsidR="00DF1CED">
        <w:rPr>
          <w:noProof/>
        </w:rPr>
        <w:t>NR paging cycle is extended up to 10.24 sec for UEs in RRC_INACTIVE/RRC_IDLE.</w:t>
      </w:r>
    </w:p>
    <w:p w14:paraId="77101151" w14:textId="77777777" w:rsidR="00DF1CED" w:rsidRDefault="00DF1CED">
      <w:pPr>
        <w:pStyle w:val="TOC1"/>
        <w:rPr>
          <w:rFonts w:asciiTheme="minorHAnsi" w:eastAsiaTheme="minorEastAsia" w:hAnsiTheme="minorHAnsi" w:cstheme="minorBidi"/>
          <w:noProof/>
          <w:sz w:val="22"/>
        </w:rPr>
      </w:pPr>
      <w:r w:rsidRPr="00483E01">
        <w:rPr>
          <w:b/>
          <w:noProof/>
        </w:rPr>
        <w:t>Proposal 2.</w:t>
      </w:r>
      <w:r>
        <w:rPr>
          <w:rFonts w:asciiTheme="minorHAnsi" w:eastAsiaTheme="minorEastAsia" w:hAnsiTheme="minorHAnsi" w:cstheme="minorBidi"/>
          <w:noProof/>
          <w:sz w:val="22"/>
        </w:rPr>
        <w:tab/>
      </w:r>
      <w:r>
        <w:rPr>
          <w:noProof/>
        </w:rPr>
        <w:t>If Proposal 1 is agreed, this feature can follow similar approach as it was done for LTE I-eDRX feature i.e. (1) upper layers configure eDRX, (2) when configured, eDRX value is used (instead of the smallest), and (3) legacy NR PF/PO mechanism described in 38.304 applies.</w:t>
      </w:r>
    </w:p>
    <w:p w14:paraId="3E7559FF" w14:textId="77777777" w:rsidR="00DF1CED" w:rsidRDefault="00DF1CED">
      <w:pPr>
        <w:pStyle w:val="TOC1"/>
        <w:rPr>
          <w:rFonts w:asciiTheme="minorHAnsi" w:eastAsiaTheme="minorEastAsia" w:hAnsiTheme="minorHAnsi" w:cstheme="minorBidi"/>
          <w:noProof/>
          <w:sz w:val="22"/>
        </w:rPr>
      </w:pPr>
      <w:r w:rsidRPr="00483E01">
        <w:rPr>
          <w:b/>
          <w:noProof/>
        </w:rPr>
        <w:t>Proposal 3.</w:t>
      </w:r>
      <w:r>
        <w:rPr>
          <w:rFonts w:asciiTheme="minorHAnsi" w:eastAsiaTheme="minorEastAsia" w:hAnsiTheme="minorHAnsi" w:cstheme="minorBidi"/>
          <w:noProof/>
          <w:sz w:val="22"/>
        </w:rPr>
        <w:tab/>
      </w:r>
      <w:r>
        <w:rPr>
          <w:noProof/>
        </w:rPr>
        <w:t>For UEs in RRC_INACITVE, paging DRX cycle is not extended above 10.24 sec.</w:t>
      </w:r>
    </w:p>
    <w:p w14:paraId="370A51FF" w14:textId="77777777" w:rsidR="00DF1CED" w:rsidRDefault="00DF1CED">
      <w:pPr>
        <w:pStyle w:val="TOC1"/>
        <w:rPr>
          <w:rFonts w:asciiTheme="minorHAnsi" w:eastAsiaTheme="minorEastAsia" w:hAnsiTheme="minorHAnsi" w:cstheme="minorBidi"/>
          <w:noProof/>
          <w:sz w:val="22"/>
        </w:rPr>
      </w:pPr>
      <w:r w:rsidRPr="00483E01">
        <w:rPr>
          <w:b/>
          <w:noProof/>
        </w:rPr>
        <w:t>Proposal 4.</w:t>
      </w:r>
      <w:r>
        <w:rPr>
          <w:rFonts w:asciiTheme="minorHAnsi" w:eastAsiaTheme="minorEastAsia" w:hAnsiTheme="minorHAnsi" w:cstheme="minorBidi"/>
          <w:noProof/>
          <w:sz w:val="22"/>
        </w:rPr>
        <w:tab/>
      </w:r>
      <w:r>
        <w:rPr>
          <w:noProof/>
        </w:rPr>
        <w:t>For UEs in RRC_IDLE, to discuss whether to enable paging DRX cycles above 10.24 sec similarly as it is done for LTE eDRX feature (including new Hyper-SFN, paging time window (PTW), or paging hyper-frame (PH) concepts/mechanism).</w:t>
      </w:r>
    </w:p>
    <w:p w14:paraId="21F86C9E" w14:textId="77777777" w:rsidR="00DF1CED" w:rsidRDefault="00DF1CED">
      <w:pPr>
        <w:pStyle w:val="TOC1"/>
        <w:rPr>
          <w:rFonts w:asciiTheme="minorHAnsi" w:eastAsiaTheme="minorEastAsia" w:hAnsiTheme="minorHAnsi" w:cstheme="minorBidi"/>
          <w:noProof/>
          <w:sz w:val="22"/>
        </w:rPr>
      </w:pPr>
      <w:r w:rsidRPr="00483E01">
        <w:rPr>
          <w:b/>
          <w:noProof/>
        </w:rPr>
        <w:t>Proposal 5.</w:t>
      </w:r>
      <w:r>
        <w:rPr>
          <w:rFonts w:asciiTheme="minorHAnsi" w:eastAsiaTheme="minorEastAsia" w:hAnsiTheme="minorHAnsi" w:cstheme="minorBidi"/>
          <w:noProof/>
          <w:sz w:val="22"/>
        </w:rPr>
        <w:tab/>
      </w:r>
      <w:r>
        <w:rPr>
          <w:noProof/>
        </w:rPr>
        <w:t>To discuss which RRC state is target by the Rel-17 study item of RRM relaxation for stationary UEs (i.e. RRC_IDLE, RRC_INACTIVE and RRC_CONNECTED).</w:t>
      </w:r>
    </w:p>
    <w:p w14:paraId="526BC017" w14:textId="77777777" w:rsidR="00DF1CED" w:rsidRDefault="00DF1CED">
      <w:pPr>
        <w:pStyle w:val="TOC1"/>
        <w:rPr>
          <w:rFonts w:asciiTheme="minorHAnsi" w:eastAsiaTheme="minorEastAsia" w:hAnsiTheme="minorHAnsi" w:cstheme="minorBidi"/>
          <w:noProof/>
          <w:sz w:val="22"/>
        </w:rPr>
      </w:pPr>
      <w:r w:rsidRPr="00483E01">
        <w:rPr>
          <w:b/>
          <w:noProof/>
        </w:rPr>
        <w:t>Proposal 6.</w:t>
      </w:r>
      <w:r>
        <w:rPr>
          <w:rFonts w:asciiTheme="minorHAnsi" w:eastAsiaTheme="minorEastAsia" w:hAnsiTheme="minorHAnsi" w:cstheme="minorBidi"/>
          <w:noProof/>
          <w:sz w:val="22"/>
        </w:rPr>
        <w:tab/>
      </w:r>
      <w:r>
        <w:rPr>
          <w:noProof/>
        </w:rPr>
        <w:t>For UEs supporting Rel-17 measurement relaxation, the stationary information can be derived via (a) subscription information or (b) a similar mechanism as defined in Rel-16 measurement relaxation feature.</w:t>
      </w:r>
    </w:p>
    <w:p w14:paraId="0AB51244" w14:textId="77777777" w:rsidR="00DF1CED" w:rsidRDefault="00DF1CED">
      <w:pPr>
        <w:pStyle w:val="TOC1"/>
        <w:rPr>
          <w:rFonts w:asciiTheme="minorHAnsi" w:eastAsiaTheme="minorEastAsia" w:hAnsiTheme="minorHAnsi" w:cstheme="minorBidi"/>
          <w:noProof/>
          <w:sz w:val="22"/>
        </w:rPr>
      </w:pPr>
      <w:r w:rsidRPr="00483E01">
        <w:rPr>
          <w:b/>
          <w:noProof/>
        </w:rPr>
        <w:t>Proposal 7.</w:t>
      </w:r>
      <w:r>
        <w:rPr>
          <w:rFonts w:asciiTheme="minorHAnsi" w:eastAsiaTheme="minorEastAsia" w:hAnsiTheme="minorHAnsi" w:cstheme="minorBidi"/>
          <w:noProof/>
          <w:sz w:val="22"/>
        </w:rPr>
        <w:tab/>
      </w:r>
      <w:r>
        <w:rPr>
          <w:noProof/>
        </w:rPr>
        <w:t>To discuss what Rel-17 measurement relaxation rules are target: (a) whether Rel-16 relaxation rules can be re-used or enhanced or, (b) new relaxation rules are required.</w:t>
      </w:r>
    </w:p>
    <w:p w14:paraId="5F8A815C" w14:textId="77777777" w:rsidR="00DF1CED" w:rsidRDefault="00DF1CED">
      <w:pPr>
        <w:pStyle w:val="TOC1"/>
        <w:rPr>
          <w:rFonts w:asciiTheme="minorHAnsi" w:eastAsiaTheme="minorEastAsia" w:hAnsiTheme="minorHAnsi" w:cstheme="minorBidi"/>
          <w:noProof/>
          <w:sz w:val="22"/>
        </w:rPr>
      </w:pPr>
      <w:r w:rsidRPr="00483E01">
        <w:rPr>
          <w:b/>
          <w:noProof/>
        </w:rPr>
        <w:t>Proposal 8.</w:t>
      </w:r>
      <w:r>
        <w:rPr>
          <w:rFonts w:asciiTheme="minorHAnsi" w:eastAsiaTheme="minorEastAsia" w:hAnsiTheme="minorHAnsi" w:cstheme="minorBidi"/>
          <w:noProof/>
          <w:sz w:val="22"/>
        </w:rPr>
        <w:tab/>
      </w:r>
      <w:r>
        <w:rPr>
          <w:noProof/>
        </w:rPr>
        <w:t>To discuss whether to allow measurement relaxation of the serving cell for stationary UEs.</w:t>
      </w:r>
    </w:p>
    <w:p w14:paraId="5F918B46" w14:textId="77777777" w:rsidR="00DF1CED" w:rsidRDefault="00DF1CED">
      <w:pPr>
        <w:pStyle w:val="TOC1"/>
        <w:rPr>
          <w:rFonts w:asciiTheme="minorHAnsi" w:eastAsiaTheme="minorEastAsia" w:hAnsiTheme="minorHAnsi" w:cstheme="minorBidi"/>
          <w:noProof/>
          <w:sz w:val="22"/>
        </w:rPr>
      </w:pPr>
      <w:r w:rsidRPr="00483E01">
        <w:rPr>
          <w:b/>
          <w:noProof/>
        </w:rPr>
        <w:t>Proposal 9.</w:t>
      </w:r>
      <w:r>
        <w:rPr>
          <w:rFonts w:asciiTheme="minorHAnsi" w:eastAsiaTheme="minorEastAsia" w:hAnsiTheme="minorHAnsi" w:cstheme="minorBidi"/>
          <w:noProof/>
          <w:sz w:val="22"/>
        </w:rPr>
        <w:tab/>
      </w:r>
      <w:r>
        <w:rPr>
          <w:noProof/>
        </w:rPr>
        <w:t>To discuss whether to enhance Rel-16 measurement relaxation for multi-beam operation.</w:t>
      </w:r>
    </w:p>
    <w:p w14:paraId="5B182433" w14:textId="223815E6" w:rsidR="001D136B" w:rsidRDefault="00EB410E" w:rsidP="00EB410E">
      <w:pPr>
        <w:jc w:val="both"/>
        <w:rPr>
          <w:lang w:eastAsia="zh-CN"/>
        </w:rPr>
      </w:pPr>
      <w:r>
        <w:rPr>
          <w:lang w:eastAsia="zh-CN"/>
        </w:rPr>
        <w:fldChar w:fldCharType="end"/>
      </w:r>
      <w:bookmarkStart w:id="160" w:name="_GoBack"/>
      <w:bookmarkEnd w:id="160"/>
    </w:p>
    <w:p w14:paraId="4831B0DD" w14:textId="77777777" w:rsidR="00EB410E" w:rsidRDefault="00EB410E" w:rsidP="00EB410E">
      <w:pPr>
        <w:pStyle w:val="Heading1"/>
        <w:numPr>
          <w:ilvl w:val="0"/>
          <w:numId w:val="2"/>
        </w:numPr>
      </w:pPr>
      <w:bookmarkStart w:id="161" w:name="_Ref434066290"/>
      <w:r>
        <w:t>Reference</w:t>
      </w:r>
      <w:bookmarkEnd w:id="161"/>
    </w:p>
    <w:p w14:paraId="3BD3CCEA" w14:textId="4A9539C4" w:rsidR="00523112" w:rsidRDefault="00523112" w:rsidP="00EB410E">
      <w:pPr>
        <w:pStyle w:val="Doc-title"/>
        <w:numPr>
          <w:ilvl w:val="0"/>
          <w:numId w:val="3"/>
        </w:numPr>
        <w:spacing w:before="0" w:after="60"/>
        <w:rPr>
          <w:rFonts w:ascii="Times New Roman" w:hAnsi="Times New Roman" w:cs="Times New Roman"/>
          <w:sz w:val="20"/>
        </w:rPr>
      </w:pPr>
      <w:bookmarkStart w:id="162" w:name="_Ref47297521"/>
      <w:bookmarkStart w:id="163" w:name="_Ref478150265"/>
      <w:bookmarkEnd w:id="1"/>
      <w:r w:rsidRPr="00523112">
        <w:rPr>
          <w:rFonts w:ascii="Times New Roman" w:hAnsi="Times New Roman" w:cs="Times New Roman"/>
          <w:sz w:val="20"/>
        </w:rPr>
        <w:t>RP-201386</w:t>
      </w:r>
      <w:r>
        <w:rPr>
          <w:rFonts w:ascii="Times New Roman" w:hAnsi="Times New Roman" w:cs="Times New Roman"/>
          <w:sz w:val="20"/>
        </w:rPr>
        <w:t xml:space="preserve">, Rel-17 </w:t>
      </w:r>
      <w:r w:rsidRPr="00523112">
        <w:rPr>
          <w:rFonts w:ascii="Times New Roman" w:hAnsi="Times New Roman" w:cs="Times New Roman"/>
          <w:sz w:val="20"/>
        </w:rPr>
        <w:t>Study on support of reduced capability NR devices</w:t>
      </w:r>
      <w:r>
        <w:rPr>
          <w:rFonts w:ascii="Times New Roman" w:hAnsi="Times New Roman" w:cs="Times New Roman"/>
          <w:sz w:val="20"/>
        </w:rPr>
        <w:t>, July 2020.</w:t>
      </w:r>
      <w:bookmarkEnd w:id="162"/>
    </w:p>
    <w:p w14:paraId="7E907496" w14:textId="77777777" w:rsidR="001879F0" w:rsidRDefault="00B02FC5" w:rsidP="00EB410E">
      <w:pPr>
        <w:pStyle w:val="Doc-title"/>
        <w:numPr>
          <w:ilvl w:val="0"/>
          <w:numId w:val="3"/>
        </w:numPr>
        <w:spacing w:before="0" w:after="60"/>
        <w:rPr>
          <w:rFonts w:ascii="Times New Roman" w:hAnsi="Times New Roman" w:cs="Times New Roman"/>
          <w:sz w:val="20"/>
        </w:rPr>
      </w:pPr>
      <w:bookmarkStart w:id="164" w:name="_Ref47299473"/>
      <w:r w:rsidRPr="00B02FC5">
        <w:rPr>
          <w:rFonts w:ascii="Times New Roman" w:hAnsi="Times New Roman" w:cs="Times New Roman"/>
          <w:sz w:val="20"/>
        </w:rPr>
        <w:t>R2-152171</w:t>
      </w:r>
      <w:r>
        <w:rPr>
          <w:rFonts w:ascii="Times New Roman" w:hAnsi="Times New Roman" w:cs="Times New Roman"/>
          <w:sz w:val="20"/>
        </w:rPr>
        <w:t xml:space="preserve">, </w:t>
      </w:r>
      <w:r w:rsidRPr="00B02FC5">
        <w:rPr>
          <w:rFonts w:ascii="Times New Roman" w:hAnsi="Times New Roman" w:cs="Times New Roman"/>
          <w:sz w:val="20"/>
        </w:rPr>
        <w:t>Performance evaluation of extended DRX cycle in idle mode</w:t>
      </w:r>
      <w:r>
        <w:rPr>
          <w:rFonts w:ascii="Times New Roman" w:hAnsi="Times New Roman" w:cs="Times New Roman"/>
          <w:sz w:val="20"/>
        </w:rPr>
        <w:t>, Rel-13 LTE, Intel Corporation, May 2015</w:t>
      </w:r>
      <w:r w:rsidR="00EB410E">
        <w:rPr>
          <w:rFonts w:ascii="Times New Roman" w:hAnsi="Times New Roman" w:cs="Times New Roman"/>
          <w:sz w:val="20"/>
        </w:rPr>
        <w:t>.</w:t>
      </w:r>
      <w:bookmarkEnd w:id="163"/>
      <w:bookmarkEnd w:id="164"/>
    </w:p>
    <w:p w14:paraId="434C09F6" w14:textId="67267145" w:rsidR="00A4565C" w:rsidRPr="00EB410E" w:rsidRDefault="001879F0" w:rsidP="00DF1CED">
      <w:pPr>
        <w:pStyle w:val="Doc-title"/>
        <w:numPr>
          <w:ilvl w:val="0"/>
          <w:numId w:val="3"/>
        </w:numPr>
        <w:spacing w:before="0" w:after="60"/>
      </w:pPr>
      <w:bookmarkStart w:id="165" w:name="_Ref47302842"/>
      <w:r w:rsidRPr="001879F0">
        <w:rPr>
          <w:rFonts w:ascii="Times New Roman" w:hAnsi="Times New Roman" w:cs="Times New Roman"/>
          <w:sz w:val="20"/>
        </w:rPr>
        <w:t>C1-191389</w:t>
      </w:r>
      <w:r>
        <w:rPr>
          <w:rFonts w:ascii="Times New Roman" w:hAnsi="Times New Roman" w:cs="Times New Roman"/>
          <w:sz w:val="20"/>
        </w:rPr>
        <w:t xml:space="preserve">, </w:t>
      </w:r>
      <w:r w:rsidRPr="001879F0">
        <w:rPr>
          <w:rFonts w:ascii="Times New Roman" w:hAnsi="Times New Roman" w:cs="Times New Roman"/>
          <w:sz w:val="20"/>
        </w:rPr>
        <w:t>Reply LS on eDRX cycles for CM-CONNECTED with RRC inactive</w:t>
      </w:r>
      <w:r>
        <w:rPr>
          <w:rFonts w:ascii="Times New Roman" w:hAnsi="Times New Roman" w:cs="Times New Roman"/>
          <w:sz w:val="20"/>
        </w:rPr>
        <w:t xml:space="preserve">, Rel-16 </w:t>
      </w:r>
      <w:r w:rsidRPr="001879F0">
        <w:rPr>
          <w:rFonts w:ascii="Times New Roman" w:hAnsi="Times New Roman" w:cs="Times New Roman"/>
          <w:sz w:val="20"/>
        </w:rPr>
        <w:t>5G_CIoT</w:t>
      </w:r>
      <w:r>
        <w:rPr>
          <w:rFonts w:ascii="Times New Roman" w:hAnsi="Times New Roman" w:cs="Times New Roman"/>
          <w:sz w:val="20"/>
        </w:rPr>
        <w:t>,</w:t>
      </w:r>
      <w:r w:rsidRPr="001879F0">
        <w:rPr>
          <w:rFonts w:ascii="Times New Roman" w:hAnsi="Times New Roman" w:cs="Times New Roman"/>
          <w:sz w:val="20"/>
        </w:rPr>
        <w:t xml:space="preserve"> </w:t>
      </w:r>
      <w:r>
        <w:rPr>
          <w:rFonts w:ascii="Times New Roman" w:hAnsi="Times New Roman" w:cs="Times New Roman"/>
          <w:sz w:val="20"/>
        </w:rPr>
        <w:t>From CT1, T</w:t>
      </w:r>
      <w:r w:rsidRPr="001879F0">
        <w:rPr>
          <w:rFonts w:ascii="Times New Roman" w:hAnsi="Times New Roman" w:cs="Times New Roman"/>
          <w:sz w:val="20"/>
        </w:rPr>
        <w:t>o SA2</w:t>
      </w:r>
      <w:r>
        <w:rPr>
          <w:rFonts w:ascii="Times New Roman" w:hAnsi="Times New Roman" w:cs="Times New Roman"/>
          <w:sz w:val="20"/>
        </w:rPr>
        <w:t>, C</w:t>
      </w:r>
      <w:r w:rsidRPr="001879F0">
        <w:rPr>
          <w:rFonts w:ascii="Times New Roman" w:hAnsi="Times New Roman" w:cs="Times New Roman"/>
          <w:sz w:val="20"/>
        </w:rPr>
        <w:t>cin</w:t>
      </w:r>
      <w:r>
        <w:rPr>
          <w:rFonts w:ascii="Times New Roman" w:hAnsi="Times New Roman" w:cs="Times New Roman"/>
          <w:sz w:val="20"/>
        </w:rPr>
        <w:t>g</w:t>
      </w:r>
      <w:r w:rsidRPr="001879F0">
        <w:rPr>
          <w:rFonts w:ascii="Times New Roman" w:hAnsi="Times New Roman" w:cs="Times New Roman"/>
          <w:sz w:val="20"/>
        </w:rPr>
        <w:t xml:space="preserve"> RAN2 and CT4</w:t>
      </w:r>
      <w:r>
        <w:rPr>
          <w:rFonts w:ascii="Times New Roman" w:hAnsi="Times New Roman" w:cs="Times New Roman"/>
          <w:sz w:val="20"/>
        </w:rPr>
        <w:t>, March 2019.</w:t>
      </w:r>
      <w:bookmarkEnd w:id="165"/>
    </w:p>
    <w:sectPr w:rsidR="00A4565C" w:rsidRPr="00EB410E"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675598"/>
    <w:multiLevelType w:val="hybridMultilevel"/>
    <w:tmpl w:val="C5D653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F706F82"/>
    <w:multiLevelType w:val="hybridMultilevel"/>
    <w:tmpl w:val="3D9A8594"/>
    <w:lvl w:ilvl="0" w:tplc="0F625DE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67732A"/>
    <w:multiLevelType w:val="hybridMultilevel"/>
    <w:tmpl w:val="5A363A4E"/>
    <w:lvl w:ilvl="0" w:tplc="E74A8E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783098"/>
    <w:multiLevelType w:val="hybridMultilevel"/>
    <w:tmpl w:val="8E8CFD10"/>
    <w:lvl w:ilvl="0" w:tplc="E7DC8BAA">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4E4B80"/>
    <w:multiLevelType w:val="hybridMultilevel"/>
    <w:tmpl w:val="BF442D54"/>
    <w:lvl w:ilvl="0" w:tplc="32763680">
      <w:start w:val="1"/>
      <w:numFmt w:val="bullet"/>
      <w:lvlText w:val="-"/>
      <w:lvlJc w:val="left"/>
      <w:pPr>
        <w:ind w:left="1440" w:hanging="360"/>
      </w:pPr>
      <w:rPr>
        <w:rFonts w:ascii="Courier New" w:hAnsi="Courier New" w:hint="default"/>
      </w:rPr>
    </w:lvl>
    <w:lvl w:ilvl="1" w:tplc="04090005">
      <w:start w:val="1"/>
      <w:numFmt w:val="bullet"/>
      <w:lvlText w:val=""/>
      <w:lvlJc w:val="left"/>
      <w:pPr>
        <w:ind w:left="2520" w:hanging="72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5"/>
  </w:num>
  <w:num w:numId="6">
    <w:abstractNumId w:val="7"/>
  </w:num>
  <w:num w:numId="7">
    <w:abstractNumId w:val="0"/>
  </w:num>
  <w:num w:numId="8">
    <w:abstractNumId w:val="2"/>
  </w:num>
  <w:num w:numId="9">
    <w:abstractNumId w:val="4"/>
  </w:num>
  <w:num w:numId="10">
    <w:abstractNumId w:val="6"/>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69D3"/>
    <w:rsid w:val="00010079"/>
    <w:rsid w:val="00011894"/>
    <w:rsid w:val="00013DE7"/>
    <w:rsid w:val="00016484"/>
    <w:rsid w:val="0003003D"/>
    <w:rsid w:val="000313FE"/>
    <w:rsid w:val="00037616"/>
    <w:rsid w:val="000540FE"/>
    <w:rsid w:val="00070606"/>
    <w:rsid w:val="00072D5C"/>
    <w:rsid w:val="00082A19"/>
    <w:rsid w:val="00083C72"/>
    <w:rsid w:val="00087378"/>
    <w:rsid w:val="00093BDF"/>
    <w:rsid w:val="000A3709"/>
    <w:rsid w:val="000A7E8C"/>
    <w:rsid w:val="000D47EA"/>
    <w:rsid w:val="000D63CF"/>
    <w:rsid w:val="000E6A2C"/>
    <w:rsid w:val="000F6115"/>
    <w:rsid w:val="00104F38"/>
    <w:rsid w:val="001069E2"/>
    <w:rsid w:val="00106EFC"/>
    <w:rsid w:val="0010706B"/>
    <w:rsid w:val="001100CB"/>
    <w:rsid w:val="00110C56"/>
    <w:rsid w:val="001125EA"/>
    <w:rsid w:val="001174EB"/>
    <w:rsid w:val="0011783E"/>
    <w:rsid w:val="00125CE0"/>
    <w:rsid w:val="00130B98"/>
    <w:rsid w:val="001764EA"/>
    <w:rsid w:val="001879F0"/>
    <w:rsid w:val="00197AF9"/>
    <w:rsid w:val="001A4ECB"/>
    <w:rsid w:val="001A520D"/>
    <w:rsid w:val="001B3AEB"/>
    <w:rsid w:val="001B45C8"/>
    <w:rsid w:val="001C5CD0"/>
    <w:rsid w:val="001D136B"/>
    <w:rsid w:val="001D1ADA"/>
    <w:rsid w:val="001E4A99"/>
    <w:rsid w:val="001F5CE9"/>
    <w:rsid w:val="001F757B"/>
    <w:rsid w:val="002011DE"/>
    <w:rsid w:val="0021018A"/>
    <w:rsid w:val="00212B13"/>
    <w:rsid w:val="0021439D"/>
    <w:rsid w:val="00224E62"/>
    <w:rsid w:val="0022516F"/>
    <w:rsid w:val="00226268"/>
    <w:rsid w:val="00226D1E"/>
    <w:rsid w:val="00231354"/>
    <w:rsid w:val="00234309"/>
    <w:rsid w:val="002445D9"/>
    <w:rsid w:val="00260F1F"/>
    <w:rsid w:val="0026121B"/>
    <w:rsid w:val="00270BDE"/>
    <w:rsid w:val="00273DD5"/>
    <w:rsid w:val="00275C9E"/>
    <w:rsid w:val="00280784"/>
    <w:rsid w:val="0028154C"/>
    <w:rsid w:val="0028633B"/>
    <w:rsid w:val="002B2520"/>
    <w:rsid w:val="002C2B15"/>
    <w:rsid w:val="002C45F0"/>
    <w:rsid w:val="002D7804"/>
    <w:rsid w:val="002D7E56"/>
    <w:rsid w:val="002E64FF"/>
    <w:rsid w:val="002E7EE6"/>
    <w:rsid w:val="002F0720"/>
    <w:rsid w:val="002F1C7B"/>
    <w:rsid w:val="002F561D"/>
    <w:rsid w:val="003035B1"/>
    <w:rsid w:val="00303B0C"/>
    <w:rsid w:val="00303F7C"/>
    <w:rsid w:val="00310A34"/>
    <w:rsid w:val="00322456"/>
    <w:rsid w:val="00345DF9"/>
    <w:rsid w:val="00346AE8"/>
    <w:rsid w:val="00351ED6"/>
    <w:rsid w:val="00365558"/>
    <w:rsid w:val="003665E5"/>
    <w:rsid w:val="003731DA"/>
    <w:rsid w:val="0038083E"/>
    <w:rsid w:val="003917C0"/>
    <w:rsid w:val="003934F5"/>
    <w:rsid w:val="00393F1E"/>
    <w:rsid w:val="00395E4E"/>
    <w:rsid w:val="003A6AE5"/>
    <w:rsid w:val="003B00E5"/>
    <w:rsid w:val="003B4424"/>
    <w:rsid w:val="003B6B5C"/>
    <w:rsid w:val="003C07F9"/>
    <w:rsid w:val="003C11F8"/>
    <w:rsid w:val="003D0CCC"/>
    <w:rsid w:val="003D5F3E"/>
    <w:rsid w:val="003E0EC9"/>
    <w:rsid w:val="003E325A"/>
    <w:rsid w:val="003E74E2"/>
    <w:rsid w:val="003F75B2"/>
    <w:rsid w:val="0041181A"/>
    <w:rsid w:val="00414A29"/>
    <w:rsid w:val="0042215A"/>
    <w:rsid w:val="00426199"/>
    <w:rsid w:val="00436602"/>
    <w:rsid w:val="00436E2B"/>
    <w:rsid w:val="00442AA9"/>
    <w:rsid w:val="00443564"/>
    <w:rsid w:val="00466831"/>
    <w:rsid w:val="00470F10"/>
    <w:rsid w:val="004808BB"/>
    <w:rsid w:val="00482F5F"/>
    <w:rsid w:val="004854BF"/>
    <w:rsid w:val="00492B52"/>
    <w:rsid w:val="0049416A"/>
    <w:rsid w:val="004964CD"/>
    <w:rsid w:val="004A5B1F"/>
    <w:rsid w:val="004A6225"/>
    <w:rsid w:val="004A678A"/>
    <w:rsid w:val="004C2473"/>
    <w:rsid w:val="004C2FC5"/>
    <w:rsid w:val="004C6014"/>
    <w:rsid w:val="004D2CE3"/>
    <w:rsid w:val="004D5221"/>
    <w:rsid w:val="004F7B38"/>
    <w:rsid w:val="005018A1"/>
    <w:rsid w:val="00506D10"/>
    <w:rsid w:val="0051416A"/>
    <w:rsid w:val="00523112"/>
    <w:rsid w:val="00524491"/>
    <w:rsid w:val="00531F31"/>
    <w:rsid w:val="00550F48"/>
    <w:rsid w:val="00560BA3"/>
    <w:rsid w:val="00564868"/>
    <w:rsid w:val="00566F48"/>
    <w:rsid w:val="00576836"/>
    <w:rsid w:val="005802B4"/>
    <w:rsid w:val="00585F98"/>
    <w:rsid w:val="0058662E"/>
    <w:rsid w:val="005900F9"/>
    <w:rsid w:val="0059478D"/>
    <w:rsid w:val="005973BA"/>
    <w:rsid w:val="005A1BB2"/>
    <w:rsid w:val="005A5571"/>
    <w:rsid w:val="005B7BDD"/>
    <w:rsid w:val="005C195E"/>
    <w:rsid w:val="005D0B9C"/>
    <w:rsid w:val="005D11BF"/>
    <w:rsid w:val="005D409F"/>
    <w:rsid w:val="005E1539"/>
    <w:rsid w:val="005E3F21"/>
    <w:rsid w:val="005E5E8D"/>
    <w:rsid w:val="005F2968"/>
    <w:rsid w:val="005F2D99"/>
    <w:rsid w:val="005F7D99"/>
    <w:rsid w:val="00600302"/>
    <w:rsid w:val="00605267"/>
    <w:rsid w:val="00613126"/>
    <w:rsid w:val="006146E7"/>
    <w:rsid w:val="00633B89"/>
    <w:rsid w:val="00645211"/>
    <w:rsid w:val="006456DE"/>
    <w:rsid w:val="00645EEF"/>
    <w:rsid w:val="006528B4"/>
    <w:rsid w:val="006529BA"/>
    <w:rsid w:val="00654845"/>
    <w:rsid w:val="006609C2"/>
    <w:rsid w:val="00671C6B"/>
    <w:rsid w:val="00674460"/>
    <w:rsid w:val="0068333B"/>
    <w:rsid w:val="00683386"/>
    <w:rsid w:val="006858A1"/>
    <w:rsid w:val="006A791C"/>
    <w:rsid w:val="006B2F3A"/>
    <w:rsid w:val="006B7FEC"/>
    <w:rsid w:val="006D239A"/>
    <w:rsid w:val="006D51FF"/>
    <w:rsid w:val="006D5692"/>
    <w:rsid w:val="006E5586"/>
    <w:rsid w:val="00702959"/>
    <w:rsid w:val="00723F24"/>
    <w:rsid w:val="007342AA"/>
    <w:rsid w:val="0073676C"/>
    <w:rsid w:val="0074279D"/>
    <w:rsid w:val="007621EF"/>
    <w:rsid w:val="007667D2"/>
    <w:rsid w:val="00772E40"/>
    <w:rsid w:val="00781327"/>
    <w:rsid w:val="00782A16"/>
    <w:rsid w:val="007863F4"/>
    <w:rsid w:val="007973D4"/>
    <w:rsid w:val="00797AC0"/>
    <w:rsid w:val="007A080E"/>
    <w:rsid w:val="007A1AA2"/>
    <w:rsid w:val="007A43CF"/>
    <w:rsid w:val="007A5A25"/>
    <w:rsid w:val="007B0436"/>
    <w:rsid w:val="007B1B9E"/>
    <w:rsid w:val="007B1CAE"/>
    <w:rsid w:val="007C1082"/>
    <w:rsid w:val="007C6038"/>
    <w:rsid w:val="007D35CC"/>
    <w:rsid w:val="007D7188"/>
    <w:rsid w:val="007F2902"/>
    <w:rsid w:val="007F4E67"/>
    <w:rsid w:val="008035AA"/>
    <w:rsid w:val="008359E9"/>
    <w:rsid w:val="00842EEB"/>
    <w:rsid w:val="0084333D"/>
    <w:rsid w:val="00852485"/>
    <w:rsid w:val="008627B6"/>
    <w:rsid w:val="008645F7"/>
    <w:rsid w:val="0086473B"/>
    <w:rsid w:val="00875049"/>
    <w:rsid w:val="008833D2"/>
    <w:rsid w:val="00892B0B"/>
    <w:rsid w:val="008B56A6"/>
    <w:rsid w:val="008C2A66"/>
    <w:rsid w:val="008C6613"/>
    <w:rsid w:val="008C7D7C"/>
    <w:rsid w:val="008D1987"/>
    <w:rsid w:val="008D5D89"/>
    <w:rsid w:val="008E0387"/>
    <w:rsid w:val="008E2923"/>
    <w:rsid w:val="008E3668"/>
    <w:rsid w:val="008F2C0F"/>
    <w:rsid w:val="00901136"/>
    <w:rsid w:val="00901A27"/>
    <w:rsid w:val="00905F96"/>
    <w:rsid w:val="00910BF3"/>
    <w:rsid w:val="0091236E"/>
    <w:rsid w:val="009155D0"/>
    <w:rsid w:val="0091639F"/>
    <w:rsid w:val="00916F62"/>
    <w:rsid w:val="0091736B"/>
    <w:rsid w:val="009218D8"/>
    <w:rsid w:val="0092694D"/>
    <w:rsid w:val="0092791C"/>
    <w:rsid w:val="0093417D"/>
    <w:rsid w:val="0093418F"/>
    <w:rsid w:val="00944053"/>
    <w:rsid w:val="009466E3"/>
    <w:rsid w:val="00954247"/>
    <w:rsid w:val="00955A0B"/>
    <w:rsid w:val="00956DFC"/>
    <w:rsid w:val="00957609"/>
    <w:rsid w:val="009626B8"/>
    <w:rsid w:val="00972C42"/>
    <w:rsid w:val="009771C4"/>
    <w:rsid w:val="00977369"/>
    <w:rsid w:val="00984820"/>
    <w:rsid w:val="009962D0"/>
    <w:rsid w:val="00997FEE"/>
    <w:rsid w:val="009A1420"/>
    <w:rsid w:val="009A4B8E"/>
    <w:rsid w:val="009A578F"/>
    <w:rsid w:val="009B5BFC"/>
    <w:rsid w:val="009B6CF5"/>
    <w:rsid w:val="009B78C4"/>
    <w:rsid w:val="009C7244"/>
    <w:rsid w:val="009C740E"/>
    <w:rsid w:val="009D4B48"/>
    <w:rsid w:val="009D5C05"/>
    <w:rsid w:val="00A02492"/>
    <w:rsid w:val="00A02598"/>
    <w:rsid w:val="00A02951"/>
    <w:rsid w:val="00A07E21"/>
    <w:rsid w:val="00A22322"/>
    <w:rsid w:val="00A31B3D"/>
    <w:rsid w:val="00A34A86"/>
    <w:rsid w:val="00A4565C"/>
    <w:rsid w:val="00A5197F"/>
    <w:rsid w:val="00A55307"/>
    <w:rsid w:val="00A65097"/>
    <w:rsid w:val="00A67781"/>
    <w:rsid w:val="00A7565D"/>
    <w:rsid w:val="00A839CE"/>
    <w:rsid w:val="00A8464A"/>
    <w:rsid w:val="00A91C9D"/>
    <w:rsid w:val="00A92D15"/>
    <w:rsid w:val="00A92F2F"/>
    <w:rsid w:val="00AA0708"/>
    <w:rsid w:val="00AC335E"/>
    <w:rsid w:val="00AD0208"/>
    <w:rsid w:val="00AD53DF"/>
    <w:rsid w:val="00AE5155"/>
    <w:rsid w:val="00AF006A"/>
    <w:rsid w:val="00AF7576"/>
    <w:rsid w:val="00B01789"/>
    <w:rsid w:val="00B02095"/>
    <w:rsid w:val="00B02FC5"/>
    <w:rsid w:val="00B033E4"/>
    <w:rsid w:val="00B1402C"/>
    <w:rsid w:val="00B21316"/>
    <w:rsid w:val="00B2380C"/>
    <w:rsid w:val="00B3018C"/>
    <w:rsid w:val="00B304C9"/>
    <w:rsid w:val="00B403E7"/>
    <w:rsid w:val="00B442B3"/>
    <w:rsid w:val="00B75FC6"/>
    <w:rsid w:val="00B8094F"/>
    <w:rsid w:val="00B85259"/>
    <w:rsid w:val="00B90AF7"/>
    <w:rsid w:val="00B97493"/>
    <w:rsid w:val="00BA115F"/>
    <w:rsid w:val="00BA4810"/>
    <w:rsid w:val="00BB3B37"/>
    <w:rsid w:val="00BD4FF0"/>
    <w:rsid w:val="00BE47A4"/>
    <w:rsid w:val="00BF48D9"/>
    <w:rsid w:val="00BF6C6D"/>
    <w:rsid w:val="00BF73D8"/>
    <w:rsid w:val="00C058D9"/>
    <w:rsid w:val="00C250C7"/>
    <w:rsid w:val="00C32BE2"/>
    <w:rsid w:val="00C34AD7"/>
    <w:rsid w:val="00C46469"/>
    <w:rsid w:val="00C55851"/>
    <w:rsid w:val="00C67049"/>
    <w:rsid w:val="00C67581"/>
    <w:rsid w:val="00C77A90"/>
    <w:rsid w:val="00C810D3"/>
    <w:rsid w:val="00C8179C"/>
    <w:rsid w:val="00C82408"/>
    <w:rsid w:val="00C85F81"/>
    <w:rsid w:val="00C860B1"/>
    <w:rsid w:val="00C87B86"/>
    <w:rsid w:val="00C9033F"/>
    <w:rsid w:val="00C9133E"/>
    <w:rsid w:val="00C92CC1"/>
    <w:rsid w:val="00C93F91"/>
    <w:rsid w:val="00C941A0"/>
    <w:rsid w:val="00C967E9"/>
    <w:rsid w:val="00CB78A9"/>
    <w:rsid w:val="00CC0965"/>
    <w:rsid w:val="00CC272B"/>
    <w:rsid w:val="00CC7661"/>
    <w:rsid w:val="00CD2608"/>
    <w:rsid w:val="00CD27BD"/>
    <w:rsid w:val="00CF6998"/>
    <w:rsid w:val="00CF7BC6"/>
    <w:rsid w:val="00D02005"/>
    <w:rsid w:val="00D024C4"/>
    <w:rsid w:val="00D11508"/>
    <w:rsid w:val="00D11EBD"/>
    <w:rsid w:val="00D13020"/>
    <w:rsid w:val="00D149C8"/>
    <w:rsid w:val="00D15697"/>
    <w:rsid w:val="00D16713"/>
    <w:rsid w:val="00D20BCF"/>
    <w:rsid w:val="00D21EFE"/>
    <w:rsid w:val="00D326CE"/>
    <w:rsid w:val="00D41AE6"/>
    <w:rsid w:val="00D44DFC"/>
    <w:rsid w:val="00D501FF"/>
    <w:rsid w:val="00D52335"/>
    <w:rsid w:val="00D55A76"/>
    <w:rsid w:val="00D62E4F"/>
    <w:rsid w:val="00D63687"/>
    <w:rsid w:val="00D71BBC"/>
    <w:rsid w:val="00D72517"/>
    <w:rsid w:val="00D762F0"/>
    <w:rsid w:val="00D77CF8"/>
    <w:rsid w:val="00D811C9"/>
    <w:rsid w:val="00D84216"/>
    <w:rsid w:val="00D84CF6"/>
    <w:rsid w:val="00D865FA"/>
    <w:rsid w:val="00D937A4"/>
    <w:rsid w:val="00DA039D"/>
    <w:rsid w:val="00DA2722"/>
    <w:rsid w:val="00DC100F"/>
    <w:rsid w:val="00DC2E87"/>
    <w:rsid w:val="00DD67E3"/>
    <w:rsid w:val="00DF1CED"/>
    <w:rsid w:val="00DF21F1"/>
    <w:rsid w:val="00DF2363"/>
    <w:rsid w:val="00DF365B"/>
    <w:rsid w:val="00DF4C83"/>
    <w:rsid w:val="00DF4DB9"/>
    <w:rsid w:val="00DF7E0D"/>
    <w:rsid w:val="00E00B5D"/>
    <w:rsid w:val="00E24488"/>
    <w:rsid w:val="00E2671D"/>
    <w:rsid w:val="00E32C2B"/>
    <w:rsid w:val="00E35536"/>
    <w:rsid w:val="00E44DD9"/>
    <w:rsid w:val="00E50CDA"/>
    <w:rsid w:val="00E5642F"/>
    <w:rsid w:val="00E662A4"/>
    <w:rsid w:val="00E671E8"/>
    <w:rsid w:val="00E7099B"/>
    <w:rsid w:val="00E86D6B"/>
    <w:rsid w:val="00E97865"/>
    <w:rsid w:val="00EB2B02"/>
    <w:rsid w:val="00EB410E"/>
    <w:rsid w:val="00EC2113"/>
    <w:rsid w:val="00EC2EA0"/>
    <w:rsid w:val="00EC5F64"/>
    <w:rsid w:val="00ED21E1"/>
    <w:rsid w:val="00ED453B"/>
    <w:rsid w:val="00ED5C2A"/>
    <w:rsid w:val="00ED7D99"/>
    <w:rsid w:val="00EE2A48"/>
    <w:rsid w:val="00EE34F2"/>
    <w:rsid w:val="00EE41E5"/>
    <w:rsid w:val="00EE48CC"/>
    <w:rsid w:val="00EE59F7"/>
    <w:rsid w:val="00EF1BE7"/>
    <w:rsid w:val="00EF3FE8"/>
    <w:rsid w:val="00F051CB"/>
    <w:rsid w:val="00F16C55"/>
    <w:rsid w:val="00F260AB"/>
    <w:rsid w:val="00F32341"/>
    <w:rsid w:val="00F37879"/>
    <w:rsid w:val="00F43BBA"/>
    <w:rsid w:val="00F43EBC"/>
    <w:rsid w:val="00F52D9F"/>
    <w:rsid w:val="00F630F6"/>
    <w:rsid w:val="00F73A55"/>
    <w:rsid w:val="00F76A40"/>
    <w:rsid w:val="00F84281"/>
    <w:rsid w:val="00F940D3"/>
    <w:rsid w:val="00F964E7"/>
    <w:rsid w:val="00FA60F2"/>
    <w:rsid w:val="00FA7D09"/>
    <w:rsid w:val="00FB38DD"/>
    <w:rsid w:val="00FB3C53"/>
    <w:rsid w:val="00FC0647"/>
    <w:rsid w:val="00FC126C"/>
    <w:rsid w:val="00FC60E4"/>
    <w:rsid w:val="00FE4D83"/>
    <w:rsid w:val="00FE75C3"/>
    <w:rsid w:val="00FF6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9E460DF-E6E9-4AB7-A45E-55EFB88FA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52311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3112"/>
    <w:rPr>
      <w:rFonts w:ascii="Segoe UI" w:eastAsia="SimSun" w:hAnsi="Segoe UI" w:cs="Segoe UI"/>
      <w:sz w:val="18"/>
      <w:szCs w:val="18"/>
    </w:rPr>
  </w:style>
  <w:style w:type="paragraph" w:styleId="ListParagraph">
    <w:name w:val="List Paragraph"/>
    <w:basedOn w:val="Normal"/>
    <w:uiPriority w:val="34"/>
    <w:qFormat/>
    <w:rsid w:val="00523112"/>
    <w:pPr>
      <w:ind w:left="720"/>
      <w:contextualSpacing/>
    </w:pPr>
  </w:style>
  <w:style w:type="table" w:styleId="TableGrid">
    <w:name w:val="Table Grid"/>
    <w:basedOn w:val="TableNormal"/>
    <w:uiPriority w:val="39"/>
    <w:rsid w:val="00485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0784"/>
    <w:rPr>
      <w:sz w:val="16"/>
      <w:szCs w:val="16"/>
    </w:rPr>
  </w:style>
  <w:style w:type="paragraph" w:styleId="CommentText">
    <w:name w:val="annotation text"/>
    <w:basedOn w:val="Normal"/>
    <w:link w:val="CommentTextChar"/>
    <w:uiPriority w:val="99"/>
    <w:semiHidden/>
    <w:unhideWhenUsed/>
    <w:rsid w:val="00280784"/>
  </w:style>
  <w:style w:type="character" w:customStyle="1" w:styleId="CommentTextChar">
    <w:name w:val="Comment Text Char"/>
    <w:basedOn w:val="DefaultParagraphFont"/>
    <w:link w:val="CommentText"/>
    <w:uiPriority w:val="99"/>
    <w:semiHidden/>
    <w:rsid w:val="0028078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280784"/>
    <w:rPr>
      <w:b/>
      <w:bCs/>
    </w:rPr>
  </w:style>
  <w:style w:type="character" w:customStyle="1" w:styleId="CommentSubjectChar">
    <w:name w:val="Comment Subject Char"/>
    <w:basedOn w:val="CommentTextChar"/>
    <w:link w:val="CommentSubject"/>
    <w:uiPriority w:val="99"/>
    <w:semiHidden/>
    <w:rsid w:val="00280784"/>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3696">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953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656E-F02F-4782-AF0C-5867557D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37F40-0971-49F8-B6BE-17AA1B52054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06565B5-E528-49B3-867B-EB027846022A}">
  <ds:schemaRefs>
    <ds:schemaRef ds:uri="http://schemas.microsoft.com/sharepoint/v3/contenttype/forms"/>
  </ds:schemaRefs>
</ds:datastoreItem>
</file>

<file path=customXml/itemProps4.xml><?xml version="1.0" encoding="utf-8"?>
<ds:datastoreItem xmlns:ds="http://schemas.openxmlformats.org/officeDocument/2006/customXml" ds:itemID="{E52745EB-D372-4B39-9BC3-4E7263C58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2141</Words>
  <Characters>11115</Characters>
  <Application>Microsoft Office Word</Application>
  <DocSecurity>0</DocSecurity>
  <Lines>181</Lines>
  <Paragraphs>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215</cp:revision>
  <dcterms:created xsi:type="dcterms:W3CDTF">2019-10-07T18:06:00Z</dcterms:created>
  <dcterms:modified xsi:type="dcterms:W3CDTF">2020-08-07T04:29:00Z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9ebe6a2c-0ebc-4872-95c7-851b7d7980b2</vt:lpwstr>
  </property>
  <property fmtid="{D5CDD505-2E9C-101B-9397-08002B2CF9AE}" pid="3" name="CTP_TimeStamp">
    <vt:lpwstr>2020-08-07 04:29:27Z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