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DF36F" w14:textId="6AE41D11" w:rsidR="00EB410E" w:rsidRPr="007F16F8" w:rsidRDefault="00580732" w:rsidP="007B7719">
      <w:pPr>
        <w:pStyle w:val="Header"/>
        <w:tabs>
          <w:tab w:val="right" w:pos="9356"/>
        </w:tabs>
        <w:rPr>
          <w:bCs/>
          <w:i/>
          <w:noProof w:val="0"/>
          <w:sz w:val="32"/>
          <w:highlight w:val="cyan"/>
          <w:lang w:eastAsia="zh-CN"/>
        </w:rPr>
      </w:pPr>
      <w:r>
        <w:rPr>
          <w:sz w:val="24"/>
          <w:lang w:eastAsia="zh-CN"/>
        </w:rPr>
        <w:t>3</w:t>
      </w:r>
      <w:r w:rsidR="00EB410E" w:rsidRPr="00EE0A06">
        <w:rPr>
          <w:sz w:val="24"/>
          <w:lang w:eastAsia="zh-CN"/>
        </w:rPr>
        <w:t>GPP T</w:t>
      </w:r>
      <w:bookmarkStart w:id="0" w:name="_Ref452454252"/>
      <w:bookmarkEnd w:id="0"/>
      <w:r w:rsidR="00EB410E" w:rsidRPr="00EE0A06">
        <w:rPr>
          <w:sz w:val="24"/>
          <w:lang w:eastAsia="zh-CN"/>
        </w:rPr>
        <w:t>SG RAN WG2 Meeting #</w:t>
      </w:r>
      <w:r w:rsidR="008B56A6" w:rsidRPr="008B56A6">
        <w:rPr>
          <w:sz w:val="24"/>
          <w:lang w:eastAsia="zh-CN"/>
        </w:rPr>
        <w:t>1</w:t>
      </w:r>
      <w:r w:rsidR="0051416A">
        <w:rPr>
          <w:sz w:val="24"/>
          <w:lang w:eastAsia="zh-CN"/>
        </w:rPr>
        <w:t>11-e</w:t>
      </w:r>
      <w:r w:rsidR="003A6AE5">
        <w:rPr>
          <w:sz w:val="24"/>
          <w:lang w:eastAsia="zh-CN"/>
        </w:rPr>
        <w:t xml:space="preserve">  </w:t>
      </w:r>
      <w:r w:rsidR="00A839CE">
        <w:rPr>
          <w:sz w:val="24"/>
          <w:lang w:eastAsia="zh-CN"/>
        </w:rPr>
        <w:t xml:space="preserve"> </w:t>
      </w:r>
      <w:r w:rsidR="00EB410E" w:rsidRPr="00EE0A06">
        <w:rPr>
          <w:bCs/>
          <w:noProof w:val="0"/>
          <w:sz w:val="24"/>
        </w:rPr>
        <w:t xml:space="preserve">             </w:t>
      </w:r>
      <w:r w:rsidR="001D6FCC">
        <w:rPr>
          <w:bCs/>
          <w:noProof w:val="0"/>
          <w:sz w:val="24"/>
        </w:rPr>
        <w:tab/>
      </w:r>
      <w:r w:rsidR="00291D0E" w:rsidRPr="00291D0E">
        <w:rPr>
          <w:bCs/>
          <w:noProof w:val="0"/>
          <w:sz w:val="24"/>
        </w:rPr>
        <w:t>R2-2006714</w:t>
      </w:r>
    </w:p>
    <w:p w14:paraId="2B60AF3C" w14:textId="11BBB71B" w:rsidR="00EB410E" w:rsidRDefault="0051416A" w:rsidP="00ED7D99">
      <w:pPr>
        <w:pStyle w:val="CRCoverPage"/>
        <w:spacing w:after="240"/>
        <w:outlineLvl w:val="0"/>
        <w:rPr>
          <w:b/>
          <w:sz w:val="24"/>
        </w:rPr>
      </w:pPr>
      <w:r>
        <w:rPr>
          <w:b/>
          <w:sz w:val="24"/>
        </w:rPr>
        <w:t>Electronic meeting</w:t>
      </w:r>
      <w:r w:rsidR="00F73A55" w:rsidRPr="00F73A55">
        <w:rPr>
          <w:b/>
          <w:sz w:val="24"/>
        </w:rPr>
        <w:t xml:space="preserve">, </w:t>
      </w:r>
      <w:r w:rsidR="00F84281">
        <w:rPr>
          <w:b/>
          <w:sz w:val="24"/>
        </w:rPr>
        <w:t>17</w:t>
      </w:r>
      <w:r w:rsidR="00F73A55" w:rsidRPr="00F73A55">
        <w:rPr>
          <w:b/>
          <w:sz w:val="24"/>
        </w:rPr>
        <w:t xml:space="preserve">th-28th </w:t>
      </w:r>
      <w:r w:rsidR="00F84281">
        <w:rPr>
          <w:b/>
          <w:sz w:val="24"/>
        </w:rPr>
        <w:t>August</w:t>
      </w:r>
      <w:r w:rsidR="00F73A55" w:rsidRPr="00F73A55">
        <w:rPr>
          <w:b/>
          <w:sz w:val="24"/>
        </w:rPr>
        <w:t xml:space="preserve"> 20</w:t>
      </w:r>
      <w:r>
        <w:rPr>
          <w:b/>
          <w:sz w:val="24"/>
        </w:rPr>
        <w:t>20</w:t>
      </w:r>
    </w:p>
    <w:p w14:paraId="372F5655" w14:textId="2B973B42" w:rsidR="00EB410E" w:rsidRDefault="00EB410E" w:rsidP="00ED7D99">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C251F4">
        <w:rPr>
          <w:rFonts w:cs="Arial"/>
          <w:bCs/>
          <w:sz w:val="24"/>
          <w:lang w:val="en-US"/>
        </w:rPr>
        <w:t>8.6.2</w:t>
      </w:r>
    </w:p>
    <w:p w14:paraId="2E0FC3EF" w14:textId="77777777" w:rsidR="00EB410E" w:rsidRDefault="00EB410E" w:rsidP="00ED7D99">
      <w:pPr>
        <w:spacing w:after="120"/>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2DDC857C" w14:textId="7964EC1F" w:rsidR="00EB410E" w:rsidRPr="007F16F8" w:rsidRDefault="00EB410E" w:rsidP="00ED7D99">
      <w:pPr>
        <w:tabs>
          <w:tab w:val="left" w:pos="1985"/>
        </w:tabs>
        <w:spacing w:after="120"/>
        <w:ind w:left="2880" w:hanging="288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F01FB2">
        <w:rPr>
          <w:rFonts w:ascii="Arial" w:hAnsi="Arial" w:cs="Arial"/>
          <w:bCs/>
          <w:sz w:val="24"/>
        </w:rPr>
        <w:t xml:space="preserve">Radio bearer configuration </w:t>
      </w:r>
      <w:r w:rsidR="00C251F4">
        <w:rPr>
          <w:rFonts w:ascii="Arial" w:hAnsi="Arial" w:cs="Arial"/>
          <w:bCs/>
          <w:sz w:val="24"/>
        </w:rPr>
        <w:t>for</w:t>
      </w:r>
      <w:r w:rsidR="00D0378A" w:rsidRPr="00D0378A">
        <w:rPr>
          <w:rFonts w:ascii="Arial" w:hAnsi="Arial" w:cs="Arial"/>
          <w:bCs/>
          <w:sz w:val="24"/>
        </w:rPr>
        <w:t xml:space="preserve"> SDT </w:t>
      </w:r>
      <w:r w:rsidR="00500246">
        <w:rPr>
          <w:rFonts w:ascii="Arial" w:hAnsi="Arial" w:cs="Arial"/>
          <w:bCs/>
          <w:sz w:val="24"/>
        </w:rPr>
        <w:t>considering</w:t>
      </w:r>
      <w:r w:rsidR="00D0378A" w:rsidRPr="00D0378A">
        <w:rPr>
          <w:rFonts w:ascii="Arial" w:hAnsi="Arial" w:cs="Arial"/>
          <w:bCs/>
          <w:sz w:val="24"/>
        </w:rPr>
        <w:t xml:space="preserve"> </w:t>
      </w:r>
      <w:r w:rsidR="00D0378A">
        <w:rPr>
          <w:rFonts w:ascii="Arial" w:hAnsi="Arial" w:cs="Arial"/>
          <w:bCs/>
          <w:sz w:val="24"/>
        </w:rPr>
        <w:t>UE context relocation</w:t>
      </w:r>
      <w:r w:rsidR="00500246">
        <w:rPr>
          <w:rFonts w:ascii="Arial" w:hAnsi="Arial" w:cs="Arial"/>
          <w:bCs/>
          <w:sz w:val="24"/>
        </w:rPr>
        <w:t xml:space="preserve"> and CU/DU split</w:t>
      </w:r>
    </w:p>
    <w:p w14:paraId="7FF9C1D5" w14:textId="77777777" w:rsidR="00EB410E" w:rsidRDefault="00EB410E" w:rsidP="00EB410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2B8DF5C7" w14:textId="77777777" w:rsidR="00EB410E" w:rsidRDefault="00EB410E" w:rsidP="00EB410E">
      <w:pPr>
        <w:pStyle w:val="Heading1"/>
        <w:numPr>
          <w:ilvl w:val="0"/>
          <w:numId w:val="2"/>
        </w:numPr>
      </w:pPr>
      <w:r>
        <w:t>Introduction</w:t>
      </w:r>
    </w:p>
    <w:p w14:paraId="6AD73E74" w14:textId="79F2425D" w:rsidR="00943BF3" w:rsidRDefault="00943BF3" w:rsidP="00943BF3">
      <w:pPr>
        <w:spacing w:after="120"/>
        <w:jc w:val="both"/>
        <w:rPr>
          <w:lang w:val="en-GB"/>
        </w:rPr>
      </w:pPr>
      <w:bookmarkStart w:id="1" w:name="Proposal_Pattern_Length"/>
      <w:r>
        <w:rPr>
          <w:lang w:val="en-GB"/>
        </w:rPr>
        <w:t xml:space="preserve">This contribution discusses the </w:t>
      </w:r>
      <w:r w:rsidR="004B7AC0">
        <w:rPr>
          <w:lang w:val="en-GB"/>
        </w:rPr>
        <w:t xml:space="preserve">foreseen </w:t>
      </w:r>
      <w:r>
        <w:rPr>
          <w:lang w:val="en-GB"/>
        </w:rPr>
        <w:t>impacts to</w:t>
      </w:r>
      <w:r w:rsidR="004B7AC0">
        <w:rPr>
          <w:lang w:val="en-GB"/>
        </w:rPr>
        <w:t xml:space="preserve"> the radio bearer configurations when</w:t>
      </w:r>
      <w:r>
        <w:rPr>
          <w:lang w:val="en-GB"/>
        </w:rPr>
        <w:t xml:space="preserve"> enabl</w:t>
      </w:r>
      <w:r w:rsidR="004B7AC0">
        <w:rPr>
          <w:lang w:val="en-GB"/>
        </w:rPr>
        <w:t>ing</w:t>
      </w:r>
      <w:r>
        <w:rPr>
          <w:lang w:val="en-GB"/>
        </w:rPr>
        <w:t xml:space="preserve"> the </w:t>
      </w:r>
      <w:r w:rsidRPr="003C51E8">
        <w:t>small data transmissions</w:t>
      </w:r>
      <w:r>
        <w:t xml:space="preserve"> </w:t>
      </w:r>
      <w:r>
        <w:rPr>
          <w:lang w:val="en-GB"/>
        </w:rPr>
        <w:t xml:space="preserve">feature </w:t>
      </w:r>
      <w:r>
        <w:t>(SDT) tak</w:t>
      </w:r>
      <w:r w:rsidR="00B50F6E">
        <w:t>ing</w:t>
      </w:r>
      <w:r>
        <w:t xml:space="preserve"> into consideration the UE context relocation and the implications of NR CU/DU split architecture in relation to the following objective</w:t>
      </w:r>
      <w:r w:rsidR="0068576E">
        <w:t xml:space="preserve"> </w:t>
      </w:r>
      <w:r w:rsidR="0068576E">
        <w:fldChar w:fldCharType="begin"/>
      </w:r>
      <w:r w:rsidR="0068576E">
        <w:instrText xml:space="preserve"> REF _Ref46843146 \n \h </w:instrText>
      </w:r>
      <w:r w:rsidR="0068576E">
        <w:fldChar w:fldCharType="separate"/>
      </w:r>
      <w:r w:rsidR="00E2248A">
        <w:t>[1]</w:t>
      </w:r>
      <w:r w:rsidR="0068576E">
        <w:fldChar w:fldCharType="end"/>
      </w:r>
      <w:r>
        <w:t>:</w:t>
      </w:r>
    </w:p>
    <w:p w14:paraId="5E83D8AF" w14:textId="77777777" w:rsidR="00943BF3" w:rsidRPr="00C041C1" w:rsidRDefault="00943BF3" w:rsidP="00943BF3">
      <w:pPr>
        <w:spacing w:after="60"/>
        <w:ind w:left="720"/>
        <w:jc w:val="both"/>
        <w:rPr>
          <w:i/>
          <w:iCs/>
        </w:rPr>
      </w:pPr>
      <w:r w:rsidRPr="00C041C1">
        <w:rPr>
          <w:i/>
          <w:iCs/>
        </w:rPr>
        <w:t>For the RRC_INACTIVE state:</w:t>
      </w:r>
    </w:p>
    <w:p w14:paraId="031C9BC0" w14:textId="77777777" w:rsidR="00943BF3" w:rsidRPr="00C041C1" w:rsidRDefault="00943BF3" w:rsidP="00943BF3">
      <w:pPr>
        <w:numPr>
          <w:ilvl w:val="0"/>
          <w:numId w:val="12"/>
        </w:numPr>
        <w:spacing w:after="60"/>
        <w:jc w:val="both"/>
        <w:rPr>
          <w:i/>
          <w:iCs/>
        </w:rPr>
      </w:pPr>
      <w:r w:rsidRPr="00C041C1">
        <w:rPr>
          <w:i/>
          <w:iCs/>
        </w:rPr>
        <w:t>UL small data transmissions for RACH-based schemes (i.e. 2-step and 4-step RACH):</w:t>
      </w:r>
    </w:p>
    <w:p w14:paraId="5D284A5D" w14:textId="2AD0778E" w:rsidR="00943BF3" w:rsidRPr="00943BF3" w:rsidRDefault="00943BF3" w:rsidP="0068576E">
      <w:pPr>
        <w:pStyle w:val="ListParagraph"/>
        <w:numPr>
          <w:ilvl w:val="1"/>
          <w:numId w:val="13"/>
        </w:numPr>
        <w:spacing w:after="60"/>
        <w:contextualSpacing w:val="0"/>
        <w:rPr>
          <w:rFonts w:ascii="Times New Roman" w:eastAsia="SimSun" w:hAnsi="Times New Roman" w:cs="Times New Roman"/>
          <w:i/>
          <w:iCs/>
          <w:sz w:val="20"/>
          <w:szCs w:val="20"/>
        </w:rPr>
      </w:pPr>
      <w:r w:rsidRPr="00943BF3">
        <w:rPr>
          <w:rFonts w:ascii="Times New Roman" w:eastAsia="SimSun" w:hAnsi="Times New Roman" w:cs="Times New Roman"/>
          <w:i/>
          <w:iCs/>
          <w:sz w:val="20"/>
          <w:szCs w:val="20"/>
        </w:rPr>
        <w:t>Context fetch and data forwarding (with and without anchor relocation) in INACTIVE state for RACH-based solutions [RAN2, RAN3]</w:t>
      </w:r>
    </w:p>
    <w:p w14:paraId="620127E0" w14:textId="77777777" w:rsidR="00943BF3" w:rsidRPr="00C041C1" w:rsidRDefault="00943BF3" w:rsidP="0068576E">
      <w:pPr>
        <w:spacing w:after="120"/>
        <w:ind w:left="720"/>
        <w:jc w:val="both"/>
        <w:rPr>
          <w:i/>
          <w:iCs/>
        </w:rPr>
      </w:pPr>
      <w:r w:rsidRPr="00C041C1">
        <w:rPr>
          <w:i/>
          <w:iCs/>
        </w:rPr>
        <w:t>Note 1: The security aspects of the above solutions should be checked with SA3</w:t>
      </w:r>
    </w:p>
    <w:p w14:paraId="7788DA9E" w14:textId="487A0248" w:rsidR="00943BF3" w:rsidRPr="00787EB3" w:rsidRDefault="00943BF3" w:rsidP="00943BF3">
      <w:pPr>
        <w:tabs>
          <w:tab w:val="left" w:pos="1327"/>
        </w:tabs>
        <w:jc w:val="both"/>
        <w:rPr>
          <w:lang w:val="en-GB"/>
        </w:rPr>
      </w:pPr>
      <w:r>
        <w:rPr>
          <w:lang w:val="en-GB"/>
        </w:rPr>
        <w:t xml:space="preserve">This </w:t>
      </w:r>
      <w:r w:rsidR="005741D6">
        <w:rPr>
          <w:lang w:val="en-GB"/>
        </w:rPr>
        <w:t>con</w:t>
      </w:r>
      <w:r w:rsidR="002E4846">
        <w:rPr>
          <w:lang w:val="en-GB"/>
        </w:rPr>
        <w:t>tribution</w:t>
      </w:r>
      <w:r w:rsidR="005741D6">
        <w:rPr>
          <w:lang w:val="en-GB"/>
        </w:rPr>
        <w:t xml:space="preserve"> </w:t>
      </w:r>
      <w:r>
        <w:rPr>
          <w:lang w:val="en-GB"/>
        </w:rPr>
        <w:t xml:space="preserve">does not </w:t>
      </w:r>
      <w:r w:rsidR="0068576E">
        <w:rPr>
          <w:lang w:val="en-GB"/>
        </w:rPr>
        <w:t>focus on</w:t>
      </w:r>
      <w:r>
        <w:rPr>
          <w:lang w:val="en-GB"/>
        </w:rPr>
        <w:t xml:space="preserve"> the RAN impacts </w:t>
      </w:r>
      <w:r w:rsidR="0068576E">
        <w:rPr>
          <w:lang w:val="en-GB"/>
        </w:rPr>
        <w:t>of the</w:t>
      </w:r>
      <w:r>
        <w:rPr>
          <w:lang w:val="en-GB"/>
        </w:rPr>
        <w:t xml:space="preserve"> SDT mechanism </w:t>
      </w:r>
      <w:r w:rsidR="0068576E">
        <w:rPr>
          <w:lang w:val="en-GB"/>
        </w:rPr>
        <w:t>when using</w:t>
      </w:r>
      <w:r>
        <w:rPr>
          <w:lang w:val="en-GB"/>
        </w:rPr>
        <w:t xml:space="preserve"> an RRC </w:t>
      </w:r>
      <w:r w:rsidR="0068576E">
        <w:rPr>
          <w:lang w:val="en-GB"/>
        </w:rPr>
        <w:t>vs a</w:t>
      </w:r>
      <w:r>
        <w:rPr>
          <w:lang w:val="en-GB"/>
        </w:rPr>
        <w:t xml:space="preserve"> non-RRC based approach </w:t>
      </w:r>
      <w:r w:rsidR="00420978">
        <w:rPr>
          <w:lang w:val="en-GB"/>
        </w:rPr>
        <w:t xml:space="preserve">or RACH specific aspects </w:t>
      </w:r>
      <w:r w:rsidR="0068576E">
        <w:rPr>
          <w:lang w:val="en-GB"/>
        </w:rPr>
        <w:t xml:space="preserve">which </w:t>
      </w:r>
      <w:r>
        <w:rPr>
          <w:lang w:val="en-GB"/>
        </w:rPr>
        <w:t xml:space="preserve">are discussed </w:t>
      </w:r>
      <w:r w:rsidR="0068576E">
        <w:rPr>
          <w:lang w:val="en-GB"/>
        </w:rPr>
        <w:t xml:space="preserve">separately </w:t>
      </w:r>
      <w:r>
        <w:rPr>
          <w:lang w:val="en-GB"/>
        </w:rPr>
        <w:t>in</w:t>
      </w:r>
      <w:r w:rsidR="0068576E">
        <w:rPr>
          <w:lang w:val="en-GB"/>
        </w:rPr>
        <w:t xml:space="preserve"> </w:t>
      </w:r>
      <w:r w:rsidR="0068576E">
        <w:rPr>
          <w:lang w:val="en-GB"/>
        </w:rPr>
        <w:fldChar w:fldCharType="begin"/>
      </w:r>
      <w:r w:rsidR="0068576E">
        <w:rPr>
          <w:lang w:val="en-GB"/>
        </w:rPr>
        <w:instrText xml:space="preserve"> REF _Ref46757011 \n \h </w:instrText>
      </w:r>
      <w:r w:rsidR="0068576E">
        <w:rPr>
          <w:lang w:val="en-GB"/>
        </w:rPr>
      </w:r>
      <w:r w:rsidR="0068576E">
        <w:rPr>
          <w:lang w:val="en-GB"/>
        </w:rPr>
        <w:fldChar w:fldCharType="separate"/>
      </w:r>
      <w:r w:rsidR="00E2248A">
        <w:rPr>
          <w:lang w:val="en-GB"/>
        </w:rPr>
        <w:t>[2]</w:t>
      </w:r>
      <w:r w:rsidR="0068576E">
        <w:rPr>
          <w:lang w:val="en-GB"/>
        </w:rPr>
        <w:fldChar w:fldCharType="end"/>
      </w:r>
      <w:r>
        <w:rPr>
          <w:lang w:val="en-GB"/>
        </w:rPr>
        <w:t>.</w:t>
      </w:r>
    </w:p>
    <w:p w14:paraId="79A42B9D" w14:textId="77777777" w:rsidR="00EB410E" w:rsidRDefault="00EB410E" w:rsidP="00EB410E">
      <w:pPr>
        <w:pStyle w:val="Heading1"/>
        <w:numPr>
          <w:ilvl w:val="0"/>
          <w:numId w:val="2"/>
        </w:numPr>
      </w:pPr>
      <w:r>
        <w:t>Discussion</w:t>
      </w:r>
    </w:p>
    <w:p w14:paraId="2A2A2818" w14:textId="555D0B9F" w:rsidR="00EB410E" w:rsidRDefault="00967F98" w:rsidP="00EB410E">
      <w:pPr>
        <w:pStyle w:val="Heading2"/>
      </w:pPr>
      <w:r>
        <w:t>Handling of r</w:t>
      </w:r>
      <w:r w:rsidRPr="00967F98">
        <w:t>adio bearer configuration</w:t>
      </w:r>
      <w:r>
        <w:t xml:space="preserve"> </w:t>
      </w:r>
      <w:r w:rsidR="004E7A44">
        <w:t>for SDT mechanism</w:t>
      </w:r>
    </w:p>
    <w:p w14:paraId="5C765B47" w14:textId="1357FD52" w:rsidR="00867C8B" w:rsidRPr="00D7008B" w:rsidRDefault="00B81CC1" w:rsidP="007B7719">
      <w:pPr>
        <w:spacing w:after="120"/>
        <w:jc w:val="both"/>
      </w:pPr>
      <w:r>
        <w:t xml:space="preserve">Compared to LTE, for </w:t>
      </w:r>
      <w:r w:rsidR="00C04CDC">
        <w:t xml:space="preserve">a UE in RRC_INACTIVE, </w:t>
      </w:r>
      <w:r w:rsidR="00527539">
        <w:t xml:space="preserve">some background on </w:t>
      </w:r>
      <w:r w:rsidR="00F107FF">
        <w:t xml:space="preserve">legacy </w:t>
      </w:r>
      <w:r w:rsidR="00FC7259">
        <w:t xml:space="preserve">network </w:t>
      </w:r>
      <w:r w:rsidR="00F107FF">
        <w:t xml:space="preserve">operations </w:t>
      </w:r>
      <w:r w:rsidR="0078107E">
        <w:t xml:space="preserve">considering </w:t>
      </w:r>
      <w:r w:rsidR="00763A1D">
        <w:t xml:space="preserve">NR CU/DU </w:t>
      </w:r>
      <w:r w:rsidR="00FE7191">
        <w:t xml:space="preserve">split </w:t>
      </w:r>
      <w:r w:rsidR="00763A1D">
        <w:t>architecture</w:t>
      </w:r>
      <w:r w:rsidR="007D2A47">
        <w:t xml:space="preserve"> </w:t>
      </w:r>
      <w:r w:rsidR="00FC7259">
        <w:t xml:space="preserve">may be relevant for </w:t>
      </w:r>
      <w:r w:rsidR="007D2A47">
        <w:t>the new SDT mechanism:</w:t>
      </w:r>
    </w:p>
    <w:p w14:paraId="0AB83FAD" w14:textId="319DF1F4" w:rsidR="005B06CD" w:rsidRDefault="005B06CD" w:rsidP="00D7008B">
      <w:pPr>
        <w:pStyle w:val="ListParagraph"/>
        <w:numPr>
          <w:ilvl w:val="0"/>
          <w:numId w:val="14"/>
        </w:numPr>
        <w:spacing w:after="60"/>
        <w:contextualSpacing w:val="0"/>
        <w:jc w:val="both"/>
        <w:rPr>
          <w:rFonts w:ascii="Times New Roman" w:hAnsi="Times New Roman" w:cs="Times New Roman"/>
          <w:sz w:val="20"/>
          <w:szCs w:val="20"/>
        </w:rPr>
      </w:pPr>
      <w:r w:rsidRPr="005B06CD">
        <w:rPr>
          <w:rFonts w:ascii="Times New Roman" w:hAnsi="Times New Roman" w:cs="Times New Roman"/>
          <w:sz w:val="20"/>
          <w:szCs w:val="20"/>
        </w:rPr>
        <w:t>UE and CU-CP store the UE Context</w:t>
      </w:r>
      <w:r w:rsidR="00A462F3">
        <w:rPr>
          <w:rFonts w:ascii="Times New Roman" w:hAnsi="Times New Roman" w:cs="Times New Roman"/>
          <w:sz w:val="20"/>
          <w:szCs w:val="20"/>
        </w:rPr>
        <w:t xml:space="preserve"> </w:t>
      </w:r>
      <w:r w:rsidR="00A462F3" w:rsidRPr="00D7008B">
        <w:rPr>
          <w:rFonts w:ascii="Times New Roman" w:hAnsi="Times New Roman" w:cs="Times New Roman"/>
          <w:sz w:val="20"/>
          <w:szCs w:val="20"/>
        </w:rPr>
        <w:t xml:space="preserve">when UE </w:t>
      </w:r>
      <w:r w:rsidR="00A462F3">
        <w:rPr>
          <w:rFonts w:ascii="Times New Roman" w:hAnsi="Times New Roman" w:cs="Times New Roman"/>
          <w:sz w:val="20"/>
          <w:szCs w:val="20"/>
        </w:rPr>
        <w:t>moves into RRC_</w:t>
      </w:r>
      <w:r w:rsidR="00A462F3" w:rsidRPr="00D7008B">
        <w:rPr>
          <w:rFonts w:ascii="Times New Roman" w:hAnsi="Times New Roman" w:cs="Times New Roman"/>
          <w:sz w:val="20"/>
          <w:szCs w:val="20"/>
        </w:rPr>
        <w:t>INACTIVE</w:t>
      </w:r>
      <w:r>
        <w:rPr>
          <w:rFonts w:ascii="Times New Roman" w:hAnsi="Times New Roman" w:cs="Times New Roman"/>
          <w:sz w:val="20"/>
          <w:szCs w:val="20"/>
        </w:rPr>
        <w:t>.</w:t>
      </w:r>
    </w:p>
    <w:p w14:paraId="6CAE6BC0" w14:textId="0C8FFBB6" w:rsidR="00C04CDC" w:rsidRDefault="00C04CDC" w:rsidP="00D7008B">
      <w:pPr>
        <w:pStyle w:val="ListParagraph"/>
        <w:numPr>
          <w:ilvl w:val="0"/>
          <w:numId w:val="14"/>
        </w:numPr>
        <w:spacing w:after="60"/>
        <w:contextualSpacing w:val="0"/>
        <w:jc w:val="both"/>
        <w:rPr>
          <w:rFonts w:ascii="Times New Roman" w:hAnsi="Times New Roman" w:cs="Times New Roman"/>
          <w:sz w:val="20"/>
          <w:szCs w:val="20"/>
        </w:rPr>
      </w:pPr>
      <w:r>
        <w:rPr>
          <w:rFonts w:ascii="Times New Roman" w:hAnsi="Times New Roman" w:cs="Times New Roman"/>
          <w:sz w:val="20"/>
          <w:szCs w:val="20"/>
        </w:rPr>
        <w:t xml:space="preserve">DU releases the stored </w:t>
      </w:r>
      <w:r w:rsidR="00D7008B" w:rsidRPr="00D7008B">
        <w:rPr>
          <w:rFonts w:ascii="Times New Roman" w:hAnsi="Times New Roman" w:cs="Times New Roman"/>
          <w:sz w:val="20"/>
          <w:szCs w:val="20"/>
        </w:rPr>
        <w:t xml:space="preserve">UE context when UE </w:t>
      </w:r>
      <w:r>
        <w:rPr>
          <w:rFonts w:ascii="Times New Roman" w:hAnsi="Times New Roman" w:cs="Times New Roman"/>
          <w:sz w:val="20"/>
          <w:szCs w:val="20"/>
        </w:rPr>
        <w:t>moves into RRC_</w:t>
      </w:r>
      <w:r w:rsidR="00D7008B" w:rsidRPr="00D7008B">
        <w:rPr>
          <w:rFonts w:ascii="Times New Roman" w:hAnsi="Times New Roman" w:cs="Times New Roman"/>
          <w:sz w:val="20"/>
          <w:szCs w:val="20"/>
        </w:rPr>
        <w:t>INACTIVE</w:t>
      </w:r>
      <w:r>
        <w:rPr>
          <w:rFonts w:ascii="Times New Roman" w:hAnsi="Times New Roman" w:cs="Times New Roman"/>
          <w:sz w:val="20"/>
          <w:szCs w:val="20"/>
        </w:rPr>
        <w:t xml:space="preserve">, as well as, the corresponding tunnels established between DU and CU-UP. </w:t>
      </w:r>
    </w:p>
    <w:p w14:paraId="3E3A829A" w14:textId="26B4BA90" w:rsidR="002B02F3" w:rsidRPr="007B7719" w:rsidRDefault="00D7008B" w:rsidP="007B7719">
      <w:pPr>
        <w:pStyle w:val="ListParagraph"/>
        <w:numPr>
          <w:ilvl w:val="0"/>
          <w:numId w:val="14"/>
        </w:numPr>
        <w:spacing w:after="120"/>
        <w:contextualSpacing w:val="0"/>
        <w:jc w:val="both"/>
      </w:pPr>
      <w:r w:rsidRPr="00D7008B">
        <w:rPr>
          <w:rFonts w:ascii="Times New Roman" w:hAnsi="Times New Roman" w:cs="Times New Roman"/>
          <w:sz w:val="20"/>
          <w:szCs w:val="20"/>
        </w:rPr>
        <w:t>CU-UP retain</w:t>
      </w:r>
      <w:r w:rsidR="00C04CDC">
        <w:rPr>
          <w:rFonts w:ascii="Times New Roman" w:hAnsi="Times New Roman" w:cs="Times New Roman"/>
          <w:sz w:val="20"/>
          <w:szCs w:val="20"/>
        </w:rPr>
        <w:t>s the UE context</w:t>
      </w:r>
      <w:r w:rsidRPr="00D7008B">
        <w:rPr>
          <w:rFonts w:ascii="Times New Roman" w:hAnsi="Times New Roman" w:cs="Times New Roman"/>
          <w:sz w:val="20"/>
          <w:szCs w:val="20"/>
        </w:rPr>
        <w:t xml:space="preserve"> in</w:t>
      </w:r>
      <w:r w:rsidR="00C04CDC">
        <w:rPr>
          <w:rFonts w:ascii="Times New Roman" w:hAnsi="Times New Roman" w:cs="Times New Roman"/>
          <w:sz w:val="20"/>
          <w:szCs w:val="20"/>
        </w:rPr>
        <w:t xml:space="preserve"> a</w:t>
      </w:r>
      <w:r w:rsidRPr="00D7008B">
        <w:rPr>
          <w:rFonts w:ascii="Times New Roman" w:hAnsi="Times New Roman" w:cs="Times New Roman"/>
          <w:sz w:val="20"/>
          <w:szCs w:val="20"/>
        </w:rPr>
        <w:t xml:space="preserve"> suspended state wh</w:t>
      </w:r>
      <w:r w:rsidR="00346F4E">
        <w:rPr>
          <w:rFonts w:ascii="Times New Roman" w:hAnsi="Times New Roman" w:cs="Times New Roman"/>
          <w:sz w:val="20"/>
          <w:szCs w:val="20"/>
        </w:rPr>
        <w:t>en</w:t>
      </w:r>
      <w:r w:rsidRPr="00D7008B">
        <w:rPr>
          <w:rFonts w:ascii="Times New Roman" w:hAnsi="Times New Roman" w:cs="Times New Roman"/>
          <w:sz w:val="20"/>
          <w:szCs w:val="20"/>
        </w:rPr>
        <w:t xml:space="preserve"> UE is in </w:t>
      </w:r>
      <w:r w:rsidR="005B06CD">
        <w:rPr>
          <w:rFonts w:ascii="Times New Roman" w:hAnsi="Times New Roman" w:cs="Times New Roman"/>
          <w:sz w:val="20"/>
          <w:szCs w:val="20"/>
        </w:rPr>
        <w:t>RRC_</w:t>
      </w:r>
      <w:r w:rsidRPr="00D7008B">
        <w:rPr>
          <w:rFonts w:ascii="Times New Roman" w:hAnsi="Times New Roman" w:cs="Times New Roman"/>
          <w:sz w:val="20"/>
          <w:szCs w:val="20"/>
        </w:rPr>
        <w:t>INACTIVE</w:t>
      </w:r>
      <w:r w:rsidR="00C04CDC" w:rsidRPr="00A72CDC">
        <w:t xml:space="preserve">. </w:t>
      </w:r>
    </w:p>
    <w:p w14:paraId="332C8361" w14:textId="37F42BD9" w:rsidR="008A22B3" w:rsidRDefault="00915FDF" w:rsidP="006A3F69">
      <w:pPr>
        <w:jc w:val="both"/>
        <w:rPr>
          <w:rFonts w:cstheme="minorHAnsi"/>
        </w:rPr>
      </w:pPr>
      <w:r>
        <w:rPr>
          <w:rFonts w:cstheme="minorHAnsi"/>
        </w:rPr>
        <w:t xml:space="preserve">The sections </w:t>
      </w:r>
      <w:r w:rsidR="00F107FF">
        <w:rPr>
          <w:rFonts w:cstheme="minorHAnsi"/>
        </w:rPr>
        <w:t xml:space="preserve">below </w:t>
      </w:r>
      <w:r>
        <w:rPr>
          <w:rFonts w:cstheme="minorHAnsi"/>
        </w:rPr>
        <w:t xml:space="preserve">discuss how the </w:t>
      </w:r>
      <w:r w:rsidR="000F7C0D">
        <w:rPr>
          <w:rFonts w:cstheme="minorHAnsi"/>
        </w:rPr>
        <w:t xml:space="preserve">RLC </w:t>
      </w:r>
      <w:r>
        <w:rPr>
          <w:rFonts w:cstheme="minorHAnsi"/>
        </w:rPr>
        <w:t xml:space="preserve">bearer configuration could be handled when starting and ending </w:t>
      </w:r>
      <w:r w:rsidR="004A4ADA">
        <w:rPr>
          <w:rFonts w:cstheme="minorHAnsi"/>
        </w:rPr>
        <w:t xml:space="preserve">the </w:t>
      </w:r>
      <w:r>
        <w:rPr>
          <w:rFonts w:cstheme="minorHAnsi"/>
        </w:rPr>
        <w:t>SDT mechanism</w:t>
      </w:r>
      <w:r w:rsidR="00A06CB4">
        <w:rPr>
          <w:rFonts w:cstheme="minorHAnsi"/>
        </w:rPr>
        <w:t xml:space="preserve"> for a </w:t>
      </w:r>
      <w:r w:rsidR="00A06CB4">
        <w:rPr>
          <w:lang w:val="en-GB"/>
        </w:rPr>
        <w:t>UE context that is available (even if</w:t>
      </w:r>
      <w:r w:rsidR="004A4ADA">
        <w:rPr>
          <w:lang w:val="en-GB"/>
        </w:rPr>
        <w:t xml:space="preserve"> the</w:t>
      </w:r>
      <w:r w:rsidR="00A06CB4">
        <w:rPr>
          <w:lang w:val="en-GB"/>
        </w:rPr>
        <w:t xml:space="preserve"> </w:t>
      </w:r>
      <w:r w:rsidR="004A4ADA">
        <w:rPr>
          <w:lang w:val="en-GB"/>
        </w:rPr>
        <w:t xml:space="preserve">relocation </w:t>
      </w:r>
      <w:r w:rsidR="00EE22FE">
        <w:rPr>
          <w:lang w:val="en-GB"/>
        </w:rPr>
        <w:t xml:space="preserve">of the </w:t>
      </w:r>
      <w:r w:rsidR="00A06CB4">
        <w:rPr>
          <w:lang w:val="en-GB"/>
        </w:rPr>
        <w:t>UE context were required)</w:t>
      </w:r>
      <w:r w:rsidR="001E702A">
        <w:rPr>
          <w:lang w:val="en-GB"/>
        </w:rPr>
        <w:t>,</w:t>
      </w:r>
      <w:r w:rsidR="00AE2EAC">
        <w:rPr>
          <w:lang w:val="en-GB"/>
        </w:rPr>
        <w:t xml:space="preserve"> </w:t>
      </w:r>
      <w:r w:rsidR="00454973">
        <w:rPr>
          <w:lang w:val="en-GB"/>
        </w:rPr>
        <w:t>whether the UE Context may be kept</w:t>
      </w:r>
      <w:r w:rsidR="00CD5E8B">
        <w:rPr>
          <w:lang w:val="en-GB"/>
        </w:rPr>
        <w:t xml:space="preserve"> stored</w:t>
      </w:r>
      <w:r w:rsidR="00454973">
        <w:rPr>
          <w:lang w:val="en-GB"/>
        </w:rPr>
        <w:t xml:space="preserve"> in </w:t>
      </w:r>
      <w:r w:rsidR="00483AE1">
        <w:rPr>
          <w:lang w:val="en-GB"/>
        </w:rPr>
        <w:t>DU</w:t>
      </w:r>
      <w:r w:rsidR="00B42101">
        <w:rPr>
          <w:lang w:val="en-GB"/>
        </w:rPr>
        <w:t xml:space="preserve"> while UE is in RRC_IDLE</w:t>
      </w:r>
      <w:r w:rsidR="00CD5E8B">
        <w:rPr>
          <w:lang w:val="en-GB"/>
        </w:rPr>
        <w:t>, and the PDCP</w:t>
      </w:r>
      <w:r w:rsidR="000E799C">
        <w:rPr>
          <w:lang w:val="en-GB"/>
        </w:rPr>
        <w:t xml:space="preserve"> handling</w:t>
      </w:r>
      <w:r w:rsidR="00BB67C6">
        <w:rPr>
          <w:rFonts w:cstheme="minorHAnsi"/>
        </w:rPr>
        <w:t>.</w:t>
      </w:r>
      <w:r w:rsidR="001D65BD">
        <w:rPr>
          <w:rFonts w:cstheme="minorHAnsi"/>
        </w:rPr>
        <w:t xml:space="preserve"> </w:t>
      </w:r>
    </w:p>
    <w:p w14:paraId="1503D6A5" w14:textId="3E82180C" w:rsidR="00B72D2E" w:rsidRDefault="006A3F69" w:rsidP="00B72D2E">
      <w:pPr>
        <w:pStyle w:val="Heading3"/>
      </w:pPr>
      <w:bookmarkStart w:id="2" w:name="_Ref46870974"/>
      <w:bookmarkStart w:id="3" w:name="_Hlk46869637"/>
      <w:r>
        <w:t xml:space="preserve">Start of SDT and handling </w:t>
      </w:r>
      <w:r w:rsidRPr="007C08E0">
        <w:t xml:space="preserve">of </w:t>
      </w:r>
      <w:r w:rsidR="00E61242" w:rsidRPr="007C08E0">
        <w:t>radio bearer</w:t>
      </w:r>
      <w:r w:rsidR="00E61242">
        <w:t xml:space="preserve"> </w:t>
      </w:r>
      <w:r w:rsidR="00B72D2E">
        <w:t>configuration</w:t>
      </w:r>
      <w:bookmarkEnd w:id="2"/>
      <w:r w:rsidR="00564BCD">
        <w:t xml:space="preserve"> </w:t>
      </w:r>
    </w:p>
    <w:bookmarkEnd w:id="3"/>
    <w:p w14:paraId="1ADC245C" w14:textId="503E82A6" w:rsidR="00783DB9" w:rsidRDefault="00783DB9" w:rsidP="00B72D2E">
      <w:pPr>
        <w:jc w:val="both"/>
        <w:rPr>
          <w:lang w:val="en-GB"/>
        </w:rPr>
      </w:pPr>
      <w:r>
        <w:rPr>
          <w:lang w:val="en-GB"/>
        </w:rPr>
        <w:t xml:space="preserve">When starting SDT mechanism, the </w:t>
      </w:r>
      <w:r w:rsidR="002B7A40">
        <w:rPr>
          <w:lang w:val="en-GB"/>
        </w:rPr>
        <w:t>PHY configuration rel</w:t>
      </w:r>
      <w:r w:rsidR="00F4258D">
        <w:rPr>
          <w:lang w:val="en-GB"/>
        </w:rPr>
        <w:t>ies</w:t>
      </w:r>
      <w:r w:rsidR="002B7A40">
        <w:rPr>
          <w:lang w:val="en-GB"/>
        </w:rPr>
        <w:t xml:space="preserve"> on a </w:t>
      </w:r>
      <w:r w:rsidR="00F4258D">
        <w:rPr>
          <w:lang w:val="en-GB"/>
        </w:rPr>
        <w:t>“</w:t>
      </w:r>
      <w:r w:rsidR="00F4258D">
        <w:t xml:space="preserve">default or </w:t>
      </w:r>
      <w:r w:rsidR="00B124CA">
        <w:t>common</w:t>
      </w:r>
      <w:r w:rsidR="00F4258D">
        <w:t xml:space="preserve"> configuration</w:t>
      </w:r>
      <w:r w:rsidR="00F4258D">
        <w:rPr>
          <w:lang w:val="en-GB"/>
        </w:rPr>
        <w:t xml:space="preserve">” regardless </w:t>
      </w:r>
      <w:r w:rsidR="00144B25">
        <w:rPr>
          <w:lang w:val="en-GB"/>
        </w:rPr>
        <w:t xml:space="preserve">of </w:t>
      </w:r>
      <w:r w:rsidR="00F4258D">
        <w:rPr>
          <w:lang w:val="en-GB"/>
        </w:rPr>
        <w:t xml:space="preserve">the </w:t>
      </w:r>
      <w:r w:rsidR="007968CE">
        <w:rPr>
          <w:lang w:val="en-GB"/>
        </w:rPr>
        <w:t>mechanism used to handle the radio bearer configuration.</w:t>
      </w:r>
    </w:p>
    <w:p w14:paraId="7E4A33AC" w14:textId="373FF7CD" w:rsidR="00F4258D" w:rsidRPr="007C0A64" w:rsidRDefault="00F4258D" w:rsidP="00F4258D">
      <w:pPr>
        <w:pStyle w:val="observ"/>
        <w:ind w:left="360"/>
      </w:pPr>
      <w:bookmarkStart w:id="4" w:name="_Toc47217822"/>
      <w:bookmarkStart w:id="5" w:name="_Toc47348530"/>
      <w:bookmarkStart w:id="6" w:name="_Toc47376824"/>
      <w:bookmarkStart w:id="7" w:name="_Toc47477855"/>
      <w:bookmarkStart w:id="8" w:name="_Toc47511186"/>
      <w:bookmarkStart w:id="9" w:name="_Toc47530504"/>
      <w:bookmarkStart w:id="10" w:name="_Toc47610489"/>
      <w:bookmarkStart w:id="11" w:name="_Toc47611546"/>
      <w:bookmarkStart w:id="12" w:name="_Toc47621243"/>
      <w:bookmarkStart w:id="13" w:name="_Toc47622867"/>
      <w:r>
        <w:rPr>
          <w:lang w:val="en-US"/>
        </w:rPr>
        <w:t xml:space="preserve">For SDT mechanism, </w:t>
      </w:r>
      <w:r>
        <w:t>the</w:t>
      </w:r>
      <w:r w:rsidR="007968CE">
        <w:t xml:space="preserve"> PHY configuration uses a “default or </w:t>
      </w:r>
      <w:r w:rsidR="00B124CA">
        <w:t>common</w:t>
      </w:r>
      <w:r w:rsidR="007968CE">
        <w:t xml:space="preserve"> configuration” </w:t>
      </w:r>
      <w:r w:rsidR="00B91080">
        <w:t>where the</w:t>
      </w:r>
      <w:r>
        <w:t xml:space="preserve"> term of “default or </w:t>
      </w:r>
      <w:r w:rsidR="00B124CA">
        <w:t>common</w:t>
      </w:r>
      <w:r>
        <w:t xml:space="preserve"> configuration” identif</w:t>
      </w:r>
      <w:r w:rsidR="00B91080">
        <w:t>ies a</w:t>
      </w:r>
      <w:r>
        <w:t xml:space="preserve"> configuration that </w:t>
      </w:r>
      <w:r w:rsidR="00B91080">
        <w:t>is</w:t>
      </w:r>
      <w:r>
        <w:t xml:space="preserve"> </w:t>
      </w:r>
      <w:r w:rsidRPr="00145635">
        <w:t xml:space="preserve">pre-defined in specification or </w:t>
      </w:r>
      <w:r>
        <w:t>configured</w:t>
      </w:r>
      <w:r w:rsidRPr="00145635">
        <w:t xml:space="preserve"> by </w:t>
      </w:r>
      <w:proofErr w:type="spellStart"/>
      <w:r w:rsidRPr="00145635">
        <w:t>gNB</w:t>
      </w:r>
      <w:proofErr w:type="spellEnd"/>
      <w:r>
        <w:t xml:space="preserve"> (</w:t>
      </w:r>
      <w:r w:rsidRPr="00145635">
        <w:t xml:space="preserve">via </w:t>
      </w:r>
      <w:r>
        <w:t>broadcast or even dedicated signaling)</w:t>
      </w:r>
      <w:r>
        <w:rPr>
          <w:lang w:val="en-US"/>
        </w:rPr>
        <w:t>.</w:t>
      </w:r>
      <w:bookmarkEnd w:id="4"/>
      <w:bookmarkEnd w:id="5"/>
      <w:bookmarkEnd w:id="6"/>
      <w:bookmarkEnd w:id="7"/>
      <w:bookmarkEnd w:id="8"/>
      <w:bookmarkEnd w:id="9"/>
      <w:bookmarkEnd w:id="10"/>
      <w:bookmarkEnd w:id="11"/>
      <w:bookmarkEnd w:id="12"/>
      <w:bookmarkEnd w:id="13"/>
    </w:p>
    <w:p w14:paraId="5D052950" w14:textId="77777777" w:rsidR="00F54572" w:rsidRDefault="00F54572" w:rsidP="00B72D2E">
      <w:pPr>
        <w:jc w:val="both"/>
        <w:rPr>
          <w:lang w:val="en-GB"/>
        </w:rPr>
      </w:pPr>
    </w:p>
    <w:p w14:paraId="3A51F72C" w14:textId="56A276EC" w:rsidR="00A75565" w:rsidRDefault="00B72D2E" w:rsidP="00B72D2E">
      <w:pPr>
        <w:jc w:val="both"/>
        <w:rPr>
          <w:lang w:val="en-GB"/>
        </w:rPr>
      </w:pPr>
      <w:r>
        <w:rPr>
          <w:lang w:val="en-GB"/>
        </w:rPr>
        <w:lastRenderedPageBreak/>
        <w:t xml:space="preserve">The </w:t>
      </w:r>
      <w:r w:rsidR="00A75565">
        <w:rPr>
          <w:lang w:val="en-GB"/>
        </w:rPr>
        <w:t xml:space="preserve">possible </w:t>
      </w:r>
      <w:r>
        <w:rPr>
          <w:lang w:val="en-GB"/>
        </w:rPr>
        <w:t xml:space="preserve">options </w:t>
      </w:r>
      <w:r w:rsidR="00783DB9">
        <w:rPr>
          <w:lang w:val="en-GB"/>
        </w:rPr>
        <w:t xml:space="preserve">to handle the </w:t>
      </w:r>
      <w:r w:rsidR="005C70EF">
        <w:rPr>
          <w:lang w:val="en-GB"/>
        </w:rPr>
        <w:t xml:space="preserve">RLC </w:t>
      </w:r>
      <w:r w:rsidR="003F2975">
        <w:rPr>
          <w:lang w:val="en-GB"/>
        </w:rPr>
        <w:t>bearer configuration when starting SDT mechanism are the following:</w:t>
      </w:r>
    </w:p>
    <w:p w14:paraId="19006A75" w14:textId="36813784" w:rsidR="00FA5429" w:rsidRDefault="00382FF9" w:rsidP="00FA5429">
      <w:pPr>
        <w:pStyle w:val="ListParagraph"/>
        <w:numPr>
          <w:ilvl w:val="0"/>
          <w:numId w:val="15"/>
        </w:numPr>
        <w:tabs>
          <w:tab w:val="left" w:pos="360"/>
        </w:tabs>
        <w:spacing w:after="60"/>
        <w:ind w:left="360"/>
        <w:contextualSpacing w:val="0"/>
        <w:jc w:val="both"/>
        <w:rPr>
          <w:rFonts w:ascii="Times New Roman" w:hAnsi="Times New Roman" w:cs="Times New Roman"/>
          <w:sz w:val="20"/>
          <w:szCs w:val="20"/>
        </w:rPr>
      </w:pPr>
      <w:r>
        <w:rPr>
          <w:rFonts w:ascii="Times New Roman" w:hAnsi="Times New Roman" w:cs="Times New Roman"/>
          <w:b/>
          <w:bCs/>
          <w:sz w:val="20"/>
          <w:szCs w:val="20"/>
        </w:rPr>
        <w:t xml:space="preserve">UE uses the </w:t>
      </w:r>
      <w:r w:rsidR="009667F4">
        <w:rPr>
          <w:rFonts w:ascii="Times New Roman" w:hAnsi="Times New Roman" w:cs="Times New Roman"/>
          <w:b/>
          <w:bCs/>
          <w:sz w:val="20"/>
          <w:szCs w:val="20"/>
        </w:rPr>
        <w:t xml:space="preserve">RLC </w:t>
      </w:r>
      <w:r w:rsidR="0067003B">
        <w:rPr>
          <w:rFonts w:ascii="Times New Roman" w:hAnsi="Times New Roman" w:cs="Times New Roman"/>
          <w:b/>
          <w:bCs/>
          <w:sz w:val="20"/>
          <w:szCs w:val="20"/>
        </w:rPr>
        <w:t xml:space="preserve">bearer configuration stored in </w:t>
      </w:r>
      <w:r w:rsidR="00FA5429" w:rsidRPr="00520D12">
        <w:rPr>
          <w:rFonts w:ascii="Times New Roman" w:hAnsi="Times New Roman" w:cs="Times New Roman"/>
          <w:b/>
          <w:bCs/>
          <w:sz w:val="20"/>
          <w:szCs w:val="20"/>
        </w:rPr>
        <w:t>UE context</w:t>
      </w:r>
      <w:r w:rsidR="00FA5429" w:rsidRPr="00520D12">
        <w:rPr>
          <w:rFonts w:ascii="Times New Roman" w:hAnsi="Times New Roman" w:cs="Times New Roman"/>
          <w:sz w:val="20"/>
          <w:szCs w:val="20"/>
        </w:rPr>
        <w:t>.</w:t>
      </w:r>
      <w:r w:rsidR="00FA5429">
        <w:rPr>
          <w:rFonts w:ascii="Times New Roman" w:hAnsi="Times New Roman" w:cs="Times New Roman"/>
          <w:sz w:val="20"/>
          <w:szCs w:val="20"/>
        </w:rPr>
        <w:t xml:space="preserve"> </w:t>
      </w:r>
      <w:r w:rsidR="00361BD9">
        <w:rPr>
          <w:rFonts w:ascii="Times New Roman" w:hAnsi="Times New Roman" w:cs="Times New Roman"/>
          <w:sz w:val="20"/>
          <w:szCs w:val="20"/>
        </w:rPr>
        <w:t xml:space="preserve">The data uses </w:t>
      </w:r>
      <w:r w:rsidR="00742F5B">
        <w:rPr>
          <w:rFonts w:ascii="Times New Roman" w:hAnsi="Times New Roman" w:cs="Times New Roman"/>
          <w:sz w:val="20"/>
          <w:szCs w:val="20"/>
        </w:rPr>
        <w:t xml:space="preserve">the </w:t>
      </w:r>
      <w:r w:rsidR="00914498">
        <w:rPr>
          <w:rFonts w:ascii="Times New Roman" w:hAnsi="Times New Roman" w:cs="Times New Roman"/>
          <w:sz w:val="20"/>
          <w:szCs w:val="20"/>
        </w:rPr>
        <w:t xml:space="preserve">stored </w:t>
      </w:r>
      <w:r w:rsidR="00742F5B">
        <w:rPr>
          <w:rFonts w:ascii="Times New Roman" w:hAnsi="Times New Roman" w:cs="Times New Roman"/>
          <w:sz w:val="20"/>
          <w:szCs w:val="20"/>
        </w:rPr>
        <w:t xml:space="preserve">configuration </w:t>
      </w:r>
      <w:r w:rsidR="00914498">
        <w:rPr>
          <w:rFonts w:ascii="Times New Roman" w:hAnsi="Times New Roman" w:cs="Times New Roman"/>
          <w:sz w:val="20"/>
          <w:szCs w:val="20"/>
        </w:rPr>
        <w:t xml:space="preserve">in UE context </w:t>
      </w:r>
      <w:r w:rsidR="00FA5429">
        <w:rPr>
          <w:rFonts w:ascii="Times New Roman" w:hAnsi="Times New Roman" w:cs="Times New Roman"/>
          <w:sz w:val="20"/>
          <w:szCs w:val="20"/>
        </w:rPr>
        <w:t>for the RLC bearer</w:t>
      </w:r>
      <w:r w:rsidR="004D4755">
        <w:rPr>
          <w:rFonts w:ascii="Times New Roman" w:hAnsi="Times New Roman" w:cs="Times New Roman"/>
          <w:sz w:val="20"/>
          <w:szCs w:val="20"/>
        </w:rPr>
        <w:t>.</w:t>
      </w:r>
      <w:r w:rsidR="006012C2">
        <w:rPr>
          <w:rFonts w:ascii="Times New Roman" w:hAnsi="Times New Roman" w:cs="Times New Roman"/>
          <w:sz w:val="20"/>
          <w:szCs w:val="20"/>
        </w:rPr>
        <w:t xml:space="preserve"> </w:t>
      </w:r>
      <w:r w:rsidR="006012C2" w:rsidRPr="006012C2">
        <w:rPr>
          <w:rFonts w:ascii="Times New Roman" w:hAnsi="Times New Roman" w:cs="Times New Roman"/>
          <w:sz w:val="20"/>
          <w:szCs w:val="20"/>
        </w:rPr>
        <w:t xml:space="preserve">This option 1 </w:t>
      </w:r>
      <w:r w:rsidR="00914498">
        <w:rPr>
          <w:rFonts w:ascii="Times New Roman" w:hAnsi="Times New Roman" w:cs="Times New Roman"/>
          <w:sz w:val="20"/>
          <w:szCs w:val="20"/>
        </w:rPr>
        <w:t xml:space="preserve">would </w:t>
      </w:r>
      <w:r w:rsidR="006012C2" w:rsidRPr="007C08E0">
        <w:rPr>
          <w:rFonts w:ascii="Times New Roman" w:hAnsi="Times New Roman" w:cs="Times New Roman"/>
          <w:sz w:val="20"/>
          <w:szCs w:val="20"/>
        </w:rPr>
        <w:t xml:space="preserve">require the DU to </w:t>
      </w:r>
      <w:r w:rsidR="00747593" w:rsidRPr="007C08E0">
        <w:rPr>
          <w:rFonts w:ascii="Times New Roman" w:hAnsi="Times New Roman" w:cs="Times New Roman"/>
          <w:sz w:val="20"/>
          <w:szCs w:val="20"/>
        </w:rPr>
        <w:t>temporarily store</w:t>
      </w:r>
      <w:r w:rsidR="00747593" w:rsidRPr="009D2F82">
        <w:rPr>
          <w:rFonts w:ascii="Times New Roman" w:hAnsi="Times New Roman" w:cs="Times New Roman"/>
          <w:sz w:val="20"/>
          <w:szCs w:val="20"/>
        </w:rPr>
        <w:t xml:space="preserve"> </w:t>
      </w:r>
      <w:r w:rsidR="006012C2" w:rsidRPr="00A24E6B">
        <w:rPr>
          <w:rFonts w:ascii="Times New Roman" w:hAnsi="Times New Roman" w:cs="Times New Roman"/>
          <w:sz w:val="20"/>
          <w:szCs w:val="20"/>
        </w:rPr>
        <w:t>the UL data until the UE context is retrieve</w:t>
      </w:r>
      <w:r w:rsidR="00F45851" w:rsidRPr="00DD22C0">
        <w:rPr>
          <w:rFonts w:ascii="Times New Roman" w:hAnsi="Times New Roman" w:cs="Times New Roman"/>
          <w:sz w:val="20"/>
          <w:szCs w:val="20"/>
        </w:rPr>
        <w:t>d</w:t>
      </w:r>
      <w:r w:rsidR="00792895" w:rsidRPr="004A6E26">
        <w:rPr>
          <w:rFonts w:ascii="Times New Roman" w:hAnsi="Times New Roman" w:cs="Times New Roman"/>
          <w:sz w:val="20"/>
          <w:szCs w:val="20"/>
        </w:rPr>
        <w:t xml:space="preserve"> in order to be able to process </w:t>
      </w:r>
      <w:r w:rsidR="00C828D6" w:rsidRPr="007C08E0">
        <w:rPr>
          <w:rFonts w:ascii="Times New Roman" w:hAnsi="Times New Roman" w:cs="Times New Roman"/>
          <w:sz w:val="20"/>
          <w:szCs w:val="20"/>
        </w:rPr>
        <w:t>th</w:t>
      </w:r>
      <w:r w:rsidR="008B693F" w:rsidRPr="007B7719">
        <w:rPr>
          <w:rFonts w:ascii="Times New Roman" w:hAnsi="Times New Roman" w:cs="Times New Roman"/>
          <w:sz w:val="20"/>
          <w:szCs w:val="20"/>
        </w:rPr>
        <w:t>at</w:t>
      </w:r>
      <w:r w:rsidR="00C828D6" w:rsidRPr="007C08E0">
        <w:rPr>
          <w:rFonts w:ascii="Times New Roman" w:hAnsi="Times New Roman" w:cs="Times New Roman"/>
          <w:sz w:val="20"/>
          <w:szCs w:val="20"/>
        </w:rPr>
        <w:t xml:space="preserve"> data</w:t>
      </w:r>
      <w:r w:rsidR="004D4755" w:rsidRPr="007C08E0">
        <w:rPr>
          <w:rFonts w:ascii="Times New Roman" w:hAnsi="Times New Roman" w:cs="Times New Roman"/>
          <w:sz w:val="20"/>
          <w:szCs w:val="20"/>
        </w:rPr>
        <w:t xml:space="preserve">, </w:t>
      </w:r>
      <w:r w:rsidR="004D4755" w:rsidRPr="009D2F82">
        <w:rPr>
          <w:rFonts w:ascii="Times New Roman" w:hAnsi="Times New Roman" w:cs="Times New Roman"/>
          <w:sz w:val="20"/>
          <w:szCs w:val="20"/>
        </w:rPr>
        <w:t>as shown</w:t>
      </w:r>
      <w:r w:rsidR="004D4755" w:rsidRPr="00520D12">
        <w:rPr>
          <w:rFonts w:ascii="Times New Roman" w:hAnsi="Times New Roman" w:cs="Times New Roman"/>
          <w:sz w:val="20"/>
          <w:szCs w:val="20"/>
        </w:rPr>
        <w:t xml:space="preserve"> in </w:t>
      </w:r>
      <w:r w:rsidR="004D4755">
        <w:rPr>
          <w:rFonts w:ascii="Times New Roman" w:hAnsi="Times New Roman" w:cs="Times New Roman"/>
          <w:sz w:val="20"/>
          <w:szCs w:val="20"/>
        </w:rPr>
        <w:fldChar w:fldCharType="begin"/>
      </w:r>
      <w:r w:rsidR="004D4755">
        <w:rPr>
          <w:rFonts w:ascii="Times New Roman" w:hAnsi="Times New Roman" w:cs="Times New Roman"/>
          <w:sz w:val="20"/>
          <w:szCs w:val="20"/>
        </w:rPr>
        <w:instrText xml:space="preserve"> REF _Ref47211693 \h  \* MERGEFORMAT </w:instrText>
      </w:r>
      <w:r w:rsidR="004D4755">
        <w:rPr>
          <w:rFonts w:ascii="Times New Roman" w:hAnsi="Times New Roman" w:cs="Times New Roman"/>
          <w:sz w:val="20"/>
          <w:szCs w:val="20"/>
        </w:rPr>
      </w:r>
      <w:r w:rsidR="004D4755">
        <w:rPr>
          <w:rFonts w:ascii="Times New Roman" w:hAnsi="Times New Roman" w:cs="Times New Roman"/>
          <w:sz w:val="20"/>
          <w:szCs w:val="20"/>
        </w:rPr>
        <w:fldChar w:fldCharType="separate"/>
      </w:r>
      <w:r w:rsidR="00E2248A" w:rsidRPr="00F31A99">
        <w:rPr>
          <w:rFonts w:ascii="Times New Roman" w:hAnsi="Times New Roman" w:cs="Times New Roman"/>
          <w:sz w:val="20"/>
          <w:szCs w:val="20"/>
        </w:rPr>
        <w:t>Figure 1</w:t>
      </w:r>
      <w:r w:rsidR="004D4755">
        <w:rPr>
          <w:rFonts w:ascii="Times New Roman" w:hAnsi="Times New Roman" w:cs="Times New Roman"/>
          <w:sz w:val="20"/>
          <w:szCs w:val="20"/>
        </w:rPr>
        <w:fldChar w:fldCharType="end"/>
      </w:r>
      <w:r w:rsidR="004D4755">
        <w:rPr>
          <w:rFonts w:ascii="Times New Roman" w:hAnsi="Times New Roman" w:cs="Times New Roman"/>
          <w:sz w:val="20"/>
          <w:szCs w:val="20"/>
        </w:rPr>
        <w:t>.</w:t>
      </w:r>
    </w:p>
    <w:p w14:paraId="44795D4F" w14:textId="4B0C48D9" w:rsidR="00574B8C" w:rsidRDefault="00B403A1" w:rsidP="00716C35">
      <w:pPr>
        <w:keepNext/>
        <w:spacing w:after="0"/>
        <w:jc w:val="center"/>
      </w:pPr>
      <w:r w:rsidRPr="006C7AAB">
        <w:rPr>
          <w:rFonts w:cstheme="minorHAnsi"/>
        </w:rPr>
        <w:object w:dxaOrig="13860" w:dyaOrig="6361" w14:anchorId="1278E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05pt;height:207.4pt" o:ole="">
            <v:imagedata r:id="rId9" o:title=""/>
          </v:shape>
          <o:OLEObject Type="Embed" ProgID="Visio.Drawing.15" ShapeID="_x0000_i1025" DrawAspect="Content" ObjectID="_1658235909" r:id="rId10"/>
        </w:object>
      </w:r>
    </w:p>
    <w:p w14:paraId="4F4E3E4C" w14:textId="1F8D43ED" w:rsidR="00B72D2E" w:rsidRDefault="00574B8C" w:rsidP="00DF4F92">
      <w:pPr>
        <w:pStyle w:val="Caption"/>
        <w:spacing w:after="240"/>
        <w:jc w:val="center"/>
        <w:rPr>
          <w:i w:val="0"/>
          <w:iCs w:val="0"/>
          <w:color w:val="auto"/>
          <w:sz w:val="20"/>
          <w:szCs w:val="20"/>
        </w:rPr>
      </w:pPr>
      <w:bookmarkStart w:id="14" w:name="_Ref47211693"/>
      <w:r w:rsidRPr="00D7008B">
        <w:rPr>
          <w:i w:val="0"/>
          <w:iCs w:val="0"/>
          <w:color w:val="auto"/>
          <w:sz w:val="20"/>
          <w:szCs w:val="20"/>
        </w:rPr>
        <w:t xml:space="preserve">Figure </w:t>
      </w:r>
      <w:r w:rsidRPr="00D7008B">
        <w:rPr>
          <w:i w:val="0"/>
          <w:iCs w:val="0"/>
          <w:color w:val="auto"/>
          <w:sz w:val="20"/>
          <w:szCs w:val="20"/>
        </w:rPr>
        <w:fldChar w:fldCharType="begin"/>
      </w:r>
      <w:r w:rsidRPr="00D7008B">
        <w:rPr>
          <w:i w:val="0"/>
          <w:iCs w:val="0"/>
          <w:color w:val="auto"/>
          <w:sz w:val="20"/>
          <w:szCs w:val="20"/>
        </w:rPr>
        <w:instrText xml:space="preserve"> SEQ Figure \* ARABIC </w:instrText>
      </w:r>
      <w:r w:rsidRPr="00D7008B">
        <w:rPr>
          <w:i w:val="0"/>
          <w:iCs w:val="0"/>
          <w:color w:val="auto"/>
          <w:sz w:val="20"/>
          <w:szCs w:val="20"/>
        </w:rPr>
        <w:fldChar w:fldCharType="separate"/>
      </w:r>
      <w:r w:rsidR="00E2248A">
        <w:rPr>
          <w:i w:val="0"/>
          <w:iCs w:val="0"/>
          <w:noProof/>
          <w:color w:val="auto"/>
          <w:sz w:val="20"/>
          <w:szCs w:val="20"/>
        </w:rPr>
        <w:t>1</w:t>
      </w:r>
      <w:r w:rsidRPr="00D7008B">
        <w:rPr>
          <w:i w:val="0"/>
          <w:iCs w:val="0"/>
          <w:color w:val="auto"/>
          <w:sz w:val="20"/>
          <w:szCs w:val="20"/>
        </w:rPr>
        <w:fldChar w:fldCharType="end"/>
      </w:r>
      <w:bookmarkEnd w:id="14"/>
      <w:r w:rsidRPr="00D7008B">
        <w:rPr>
          <w:i w:val="0"/>
          <w:iCs w:val="0"/>
          <w:color w:val="auto"/>
          <w:sz w:val="20"/>
          <w:szCs w:val="20"/>
        </w:rPr>
        <w:t xml:space="preserve">. </w:t>
      </w:r>
      <w:r w:rsidR="00AA6716">
        <w:rPr>
          <w:i w:val="0"/>
          <w:iCs w:val="0"/>
          <w:color w:val="auto"/>
          <w:sz w:val="20"/>
          <w:szCs w:val="20"/>
        </w:rPr>
        <w:t>Start of SDT mechanism using</w:t>
      </w:r>
      <w:r w:rsidR="00120D21">
        <w:rPr>
          <w:i w:val="0"/>
          <w:iCs w:val="0"/>
          <w:color w:val="auto"/>
          <w:sz w:val="20"/>
          <w:szCs w:val="20"/>
        </w:rPr>
        <w:t xml:space="preserve"> </w:t>
      </w:r>
      <w:r w:rsidR="009667F4">
        <w:rPr>
          <w:i w:val="0"/>
          <w:iCs w:val="0"/>
          <w:color w:val="auto"/>
          <w:sz w:val="20"/>
          <w:szCs w:val="20"/>
        </w:rPr>
        <w:t xml:space="preserve">RLC </w:t>
      </w:r>
      <w:r w:rsidR="00120D21">
        <w:rPr>
          <w:i w:val="0"/>
          <w:iCs w:val="0"/>
          <w:color w:val="auto"/>
          <w:sz w:val="20"/>
          <w:szCs w:val="20"/>
        </w:rPr>
        <w:t>bearer configuration stored in the</w:t>
      </w:r>
      <w:r w:rsidR="00AA6716">
        <w:rPr>
          <w:i w:val="0"/>
          <w:iCs w:val="0"/>
          <w:color w:val="auto"/>
          <w:sz w:val="20"/>
          <w:szCs w:val="20"/>
        </w:rPr>
        <w:t xml:space="preserve"> UE </w:t>
      </w:r>
      <w:r w:rsidR="00120D21">
        <w:rPr>
          <w:i w:val="0"/>
          <w:iCs w:val="0"/>
          <w:color w:val="auto"/>
          <w:sz w:val="20"/>
          <w:szCs w:val="20"/>
        </w:rPr>
        <w:t>Context</w:t>
      </w:r>
      <w:r w:rsidR="00AA6716">
        <w:rPr>
          <w:i w:val="0"/>
          <w:iCs w:val="0"/>
          <w:color w:val="auto"/>
          <w:sz w:val="20"/>
          <w:szCs w:val="20"/>
        </w:rPr>
        <w:t xml:space="preserve"> (option 1)</w:t>
      </w:r>
    </w:p>
    <w:p w14:paraId="49AAA3CF" w14:textId="744013C1" w:rsidR="00E47E7F" w:rsidRDefault="00121B05" w:rsidP="00EB481A">
      <w:pPr>
        <w:pStyle w:val="ListParagraph"/>
        <w:numPr>
          <w:ilvl w:val="0"/>
          <w:numId w:val="15"/>
        </w:numPr>
        <w:tabs>
          <w:tab w:val="left" w:pos="360"/>
        </w:tabs>
        <w:spacing w:after="60"/>
        <w:ind w:left="360"/>
        <w:contextualSpacing w:val="0"/>
        <w:jc w:val="both"/>
        <w:rPr>
          <w:rFonts w:ascii="Times New Roman" w:hAnsi="Times New Roman" w:cs="Times New Roman"/>
          <w:sz w:val="20"/>
          <w:szCs w:val="20"/>
        </w:rPr>
      </w:pPr>
      <w:r>
        <w:rPr>
          <w:rFonts w:ascii="Times New Roman" w:hAnsi="Times New Roman" w:cs="Times New Roman"/>
          <w:b/>
          <w:bCs/>
          <w:sz w:val="20"/>
          <w:szCs w:val="20"/>
        </w:rPr>
        <w:t xml:space="preserve">UE uses the </w:t>
      </w:r>
      <w:r w:rsidR="009667F4">
        <w:rPr>
          <w:rFonts w:ascii="Times New Roman" w:hAnsi="Times New Roman" w:cs="Times New Roman"/>
          <w:b/>
          <w:bCs/>
          <w:sz w:val="20"/>
          <w:szCs w:val="20"/>
        </w:rPr>
        <w:t xml:space="preserve">RLC </w:t>
      </w:r>
      <w:r>
        <w:rPr>
          <w:rFonts w:ascii="Times New Roman" w:hAnsi="Times New Roman" w:cs="Times New Roman"/>
          <w:b/>
          <w:bCs/>
          <w:sz w:val="20"/>
          <w:szCs w:val="20"/>
        </w:rPr>
        <w:t>bearer configuration</w:t>
      </w:r>
      <w:r w:rsidR="00024ED1">
        <w:rPr>
          <w:rFonts w:ascii="Times New Roman" w:hAnsi="Times New Roman" w:cs="Times New Roman"/>
          <w:b/>
          <w:bCs/>
          <w:sz w:val="20"/>
          <w:szCs w:val="20"/>
        </w:rPr>
        <w:t xml:space="preserve"> provided a</w:t>
      </w:r>
      <w:r w:rsidR="00024ED1" w:rsidRPr="00024ED1">
        <w:rPr>
          <w:rFonts w:ascii="Times New Roman" w:hAnsi="Times New Roman" w:cs="Times New Roman"/>
          <w:b/>
          <w:bCs/>
          <w:sz w:val="20"/>
          <w:szCs w:val="20"/>
        </w:rPr>
        <w:t xml:space="preserve">s </w:t>
      </w:r>
      <w:r w:rsidR="00024ED1" w:rsidRPr="00E42E0E">
        <w:rPr>
          <w:rFonts w:ascii="Times New Roman" w:hAnsi="Times New Roman" w:cs="Times New Roman"/>
          <w:b/>
          <w:bCs/>
          <w:sz w:val="20"/>
          <w:szCs w:val="20"/>
        </w:rPr>
        <w:t xml:space="preserve">default or </w:t>
      </w:r>
      <w:r w:rsidR="003C3B68">
        <w:rPr>
          <w:rFonts w:ascii="Times New Roman" w:hAnsi="Times New Roman" w:cs="Times New Roman"/>
          <w:b/>
          <w:bCs/>
          <w:sz w:val="20"/>
          <w:szCs w:val="20"/>
        </w:rPr>
        <w:t>common</w:t>
      </w:r>
      <w:r w:rsidR="003C3B68" w:rsidRPr="00E42E0E">
        <w:rPr>
          <w:rFonts w:ascii="Times New Roman" w:hAnsi="Times New Roman" w:cs="Times New Roman"/>
          <w:b/>
          <w:bCs/>
          <w:sz w:val="20"/>
          <w:szCs w:val="20"/>
        </w:rPr>
        <w:t xml:space="preserve"> </w:t>
      </w:r>
      <w:r w:rsidR="00024ED1" w:rsidRPr="00E42E0E">
        <w:rPr>
          <w:rFonts w:ascii="Times New Roman" w:hAnsi="Times New Roman" w:cs="Times New Roman"/>
          <w:b/>
          <w:bCs/>
          <w:sz w:val="20"/>
          <w:szCs w:val="20"/>
        </w:rPr>
        <w:t>one</w:t>
      </w:r>
      <w:r w:rsidR="00024ED1">
        <w:rPr>
          <w:rFonts w:ascii="Times New Roman" w:hAnsi="Times New Roman" w:cs="Times New Roman"/>
          <w:b/>
          <w:bCs/>
          <w:sz w:val="20"/>
          <w:szCs w:val="20"/>
        </w:rPr>
        <w:t>.</w:t>
      </w:r>
      <w:r>
        <w:rPr>
          <w:rFonts w:ascii="Times New Roman" w:hAnsi="Times New Roman" w:cs="Times New Roman"/>
          <w:sz w:val="20"/>
          <w:szCs w:val="20"/>
        </w:rPr>
        <w:t xml:space="preserve"> </w:t>
      </w:r>
      <w:r w:rsidR="00233F2B">
        <w:rPr>
          <w:rFonts w:ascii="Times New Roman" w:hAnsi="Times New Roman" w:cs="Times New Roman"/>
          <w:sz w:val="20"/>
          <w:szCs w:val="20"/>
        </w:rPr>
        <w:t>The data uses a</w:t>
      </w:r>
      <w:r>
        <w:rPr>
          <w:rFonts w:ascii="Times New Roman" w:hAnsi="Times New Roman" w:cs="Times New Roman"/>
          <w:sz w:val="20"/>
          <w:szCs w:val="20"/>
        </w:rPr>
        <w:t xml:space="preserve"> default or </w:t>
      </w:r>
      <w:r w:rsidR="003C3B68">
        <w:rPr>
          <w:rFonts w:ascii="Times New Roman" w:hAnsi="Times New Roman" w:cs="Times New Roman"/>
          <w:sz w:val="20"/>
          <w:szCs w:val="20"/>
        </w:rPr>
        <w:t xml:space="preserve">common </w:t>
      </w:r>
      <w:r>
        <w:rPr>
          <w:rFonts w:ascii="Times New Roman" w:hAnsi="Times New Roman" w:cs="Times New Roman"/>
          <w:sz w:val="20"/>
          <w:szCs w:val="20"/>
        </w:rPr>
        <w:t>configuration for</w:t>
      </w:r>
      <w:r w:rsidR="00233F2B">
        <w:rPr>
          <w:rFonts w:ascii="Times New Roman" w:hAnsi="Times New Roman" w:cs="Times New Roman"/>
          <w:sz w:val="20"/>
          <w:szCs w:val="20"/>
        </w:rPr>
        <w:t xml:space="preserve"> both</w:t>
      </w:r>
      <w:r>
        <w:rPr>
          <w:rFonts w:ascii="Times New Roman" w:hAnsi="Times New Roman" w:cs="Times New Roman"/>
          <w:sz w:val="20"/>
          <w:szCs w:val="20"/>
        </w:rPr>
        <w:t xml:space="preserve"> the PHY and the RLC beare</w:t>
      </w:r>
      <w:r w:rsidR="00233F2B">
        <w:rPr>
          <w:rFonts w:ascii="Times New Roman" w:hAnsi="Times New Roman" w:cs="Times New Roman"/>
          <w:sz w:val="20"/>
          <w:szCs w:val="20"/>
        </w:rPr>
        <w:t xml:space="preserve">r. </w:t>
      </w:r>
      <w:r w:rsidRPr="006012C2">
        <w:rPr>
          <w:rFonts w:ascii="Times New Roman" w:hAnsi="Times New Roman" w:cs="Times New Roman"/>
          <w:sz w:val="20"/>
          <w:szCs w:val="20"/>
        </w:rPr>
        <w:t xml:space="preserve">This option </w:t>
      </w:r>
      <w:r w:rsidR="00792895">
        <w:rPr>
          <w:rFonts w:ascii="Times New Roman" w:hAnsi="Times New Roman" w:cs="Times New Roman"/>
          <w:sz w:val="20"/>
          <w:szCs w:val="20"/>
        </w:rPr>
        <w:t>2</w:t>
      </w:r>
      <w:r w:rsidR="00233F2B">
        <w:rPr>
          <w:rFonts w:ascii="Times New Roman" w:hAnsi="Times New Roman" w:cs="Times New Roman"/>
          <w:sz w:val="20"/>
          <w:szCs w:val="20"/>
        </w:rPr>
        <w:t xml:space="preserve"> </w:t>
      </w:r>
      <w:r w:rsidR="004C7448">
        <w:rPr>
          <w:rFonts w:ascii="Times New Roman" w:hAnsi="Times New Roman" w:cs="Times New Roman"/>
          <w:sz w:val="20"/>
          <w:szCs w:val="20"/>
        </w:rPr>
        <w:t xml:space="preserve">allows the DU to process the data </w:t>
      </w:r>
      <w:r w:rsidR="00F32C33">
        <w:rPr>
          <w:rFonts w:ascii="Times New Roman" w:hAnsi="Times New Roman" w:cs="Times New Roman"/>
          <w:sz w:val="20"/>
          <w:szCs w:val="20"/>
        </w:rPr>
        <w:t>when</w:t>
      </w:r>
      <w:r w:rsidR="004C7448">
        <w:rPr>
          <w:rFonts w:ascii="Times New Roman" w:hAnsi="Times New Roman" w:cs="Times New Roman"/>
          <w:sz w:val="20"/>
          <w:szCs w:val="20"/>
        </w:rPr>
        <w:t xml:space="preserve"> it is received and </w:t>
      </w:r>
      <w:r w:rsidR="007C5B12">
        <w:rPr>
          <w:rFonts w:ascii="Times New Roman" w:hAnsi="Times New Roman" w:cs="Times New Roman"/>
          <w:sz w:val="20"/>
          <w:szCs w:val="20"/>
        </w:rPr>
        <w:t xml:space="preserve">to </w:t>
      </w:r>
      <w:r w:rsidR="004C7448">
        <w:rPr>
          <w:rFonts w:ascii="Times New Roman" w:hAnsi="Times New Roman" w:cs="Times New Roman"/>
          <w:sz w:val="20"/>
          <w:szCs w:val="20"/>
        </w:rPr>
        <w:t xml:space="preserve">route it to the CU-UP as soon as it knows the </w:t>
      </w:r>
      <w:r w:rsidR="00542427">
        <w:rPr>
          <w:rFonts w:ascii="Times New Roman" w:hAnsi="Times New Roman" w:cs="Times New Roman"/>
          <w:sz w:val="20"/>
          <w:szCs w:val="20"/>
        </w:rPr>
        <w:t>appropriate</w:t>
      </w:r>
      <w:r w:rsidR="004C7448">
        <w:rPr>
          <w:rFonts w:ascii="Times New Roman" w:hAnsi="Times New Roman" w:cs="Times New Roman"/>
          <w:sz w:val="20"/>
          <w:szCs w:val="20"/>
        </w:rPr>
        <w:t xml:space="preserve"> tunneling e.g. </w:t>
      </w:r>
      <w:r w:rsidR="00C2530B">
        <w:rPr>
          <w:rFonts w:ascii="Times New Roman" w:hAnsi="Times New Roman" w:cs="Times New Roman"/>
          <w:sz w:val="20"/>
          <w:szCs w:val="20"/>
        </w:rPr>
        <w:t>by retrieving the UE context as shown in</w:t>
      </w:r>
      <w:r w:rsidR="00520D12" w:rsidRPr="00520D12">
        <w:rPr>
          <w:rFonts w:ascii="Times New Roman" w:hAnsi="Times New Roman" w:cs="Times New Roman"/>
          <w:sz w:val="20"/>
          <w:szCs w:val="20"/>
        </w:rPr>
        <w:t xml:space="preserve"> </w:t>
      </w:r>
      <w:r w:rsidR="00520D12" w:rsidRPr="00520D12">
        <w:rPr>
          <w:rFonts w:ascii="Times New Roman" w:hAnsi="Times New Roman" w:cs="Times New Roman"/>
          <w:sz w:val="20"/>
          <w:szCs w:val="20"/>
        </w:rPr>
        <w:fldChar w:fldCharType="begin"/>
      </w:r>
      <w:r w:rsidR="00520D12" w:rsidRPr="00520D12">
        <w:rPr>
          <w:rFonts w:ascii="Times New Roman" w:hAnsi="Times New Roman" w:cs="Times New Roman"/>
          <w:sz w:val="20"/>
          <w:szCs w:val="20"/>
        </w:rPr>
        <w:instrText xml:space="preserve"> REF _Ref46867752 \h  \* MERGEFORMAT </w:instrText>
      </w:r>
      <w:r w:rsidR="00520D12" w:rsidRPr="00520D12">
        <w:rPr>
          <w:rFonts w:ascii="Times New Roman" w:hAnsi="Times New Roman" w:cs="Times New Roman"/>
          <w:sz w:val="20"/>
          <w:szCs w:val="20"/>
        </w:rPr>
      </w:r>
      <w:r w:rsidR="00520D12" w:rsidRPr="00520D12">
        <w:rPr>
          <w:rFonts w:ascii="Times New Roman" w:hAnsi="Times New Roman" w:cs="Times New Roman"/>
          <w:sz w:val="20"/>
          <w:szCs w:val="20"/>
        </w:rPr>
        <w:fldChar w:fldCharType="separate"/>
      </w:r>
      <w:r w:rsidR="00E2248A" w:rsidRPr="00F31A99">
        <w:rPr>
          <w:rFonts w:ascii="Times New Roman" w:hAnsi="Times New Roman" w:cs="Times New Roman"/>
          <w:sz w:val="20"/>
          <w:szCs w:val="20"/>
        </w:rPr>
        <w:t xml:space="preserve">Figure </w:t>
      </w:r>
      <w:r w:rsidR="00E2248A" w:rsidRPr="00F31A99">
        <w:rPr>
          <w:rFonts w:ascii="Times New Roman" w:hAnsi="Times New Roman" w:cs="Times New Roman"/>
          <w:noProof/>
          <w:sz w:val="20"/>
          <w:szCs w:val="20"/>
        </w:rPr>
        <w:t>2</w:t>
      </w:r>
      <w:r w:rsidR="00520D12" w:rsidRPr="00520D12">
        <w:rPr>
          <w:rFonts w:ascii="Times New Roman" w:hAnsi="Times New Roman" w:cs="Times New Roman"/>
          <w:sz w:val="20"/>
          <w:szCs w:val="20"/>
        </w:rPr>
        <w:fldChar w:fldCharType="end"/>
      </w:r>
      <w:r w:rsidR="008D2A47">
        <w:rPr>
          <w:rFonts w:ascii="Times New Roman" w:hAnsi="Times New Roman" w:cs="Times New Roman"/>
          <w:sz w:val="20"/>
          <w:szCs w:val="20"/>
        </w:rPr>
        <w:t xml:space="preserve"> or if the tunneling information were available by other means</w:t>
      </w:r>
      <w:r w:rsidR="00520D12">
        <w:rPr>
          <w:rFonts w:ascii="Times New Roman" w:hAnsi="Times New Roman" w:cs="Times New Roman"/>
          <w:sz w:val="20"/>
          <w:szCs w:val="20"/>
        </w:rPr>
        <w:t>.</w:t>
      </w:r>
      <w:r w:rsidR="009E7D3B">
        <w:rPr>
          <w:rFonts w:ascii="Times New Roman" w:hAnsi="Times New Roman" w:cs="Times New Roman"/>
          <w:sz w:val="20"/>
          <w:szCs w:val="20"/>
        </w:rPr>
        <w:t xml:space="preserve"> Other alternatives could be </w:t>
      </w:r>
      <w:r w:rsidR="009E7D3B" w:rsidRPr="009E7D3B">
        <w:rPr>
          <w:rFonts w:ascii="Times New Roman" w:hAnsi="Times New Roman" w:cs="Times New Roman"/>
          <w:sz w:val="20"/>
          <w:szCs w:val="20"/>
        </w:rPr>
        <w:t>if UE provide</w:t>
      </w:r>
      <w:r w:rsidR="009E7D3B">
        <w:rPr>
          <w:rFonts w:ascii="Times New Roman" w:hAnsi="Times New Roman" w:cs="Times New Roman"/>
          <w:sz w:val="20"/>
          <w:szCs w:val="20"/>
        </w:rPr>
        <w:t>s</w:t>
      </w:r>
      <w:r w:rsidR="009E7D3B" w:rsidRPr="009E7D3B">
        <w:rPr>
          <w:rFonts w:ascii="Times New Roman" w:hAnsi="Times New Roman" w:cs="Times New Roman"/>
          <w:sz w:val="20"/>
          <w:szCs w:val="20"/>
        </w:rPr>
        <w:t xml:space="preserve"> the required tunnel identifier to DU or if </w:t>
      </w:r>
      <w:r w:rsidR="009E7D3B">
        <w:rPr>
          <w:rFonts w:ascii="Times New Roman" w:hAnsi="Times New Roman" w:cs="Times New Roman"/>
          <w:sz w:val="20"/>
          <w:szCs w:val="20"/>
        </w:rPr>
        <w:t xml:space="preserve">an </w:t>
      </w:r>
      <w:r w:rsidR="009E7D3B" w:rsidRPr="009E7D3B">
        <w:rPr>
          <w:rFonts w:ascii="Times New Roman" w:hAnsi="Times New Roman" w:cs="Times New Roman"/>
          <w:sz w:val="20"/>
          <w:szCs w:val="20"/>
        </w:rPr>
        <w:t>SDT default tunnel were used between DU and the given CU-UP</w:t>
      </w:r>
      <w:r w:rsidR="004C173B">
        <w:rPr>
          <w:rFonts w:ascii="Times New Roman" w:hAnsi="Times New Roman" w:cs="Times New Roman"/>
          <w:sz w:val="20"/>
          <w:szCs w:val="20"/>
        </w:rPr>
        <w:t>; h</w:t>
      </w:r>
      <w:r w:rsidR="009E7D3B" w:rsidRPr="009E7D3B">
        <w:rPr>
          <w:rFonts w:ascii="Times New Roman" w:hAnsi="Times New Roman" w:cs="Times New Roman"/>
          <w:sz w:val="20"/>
          <w:szCs w:val="20"/>
        </w:rPr>
        <w:t>owever</w:t>
      </w:r>
      <w:r w:rsidR="009E7D3B">
        <w:rPr>
          <w:rFonts w:ascii="Times New Roman" w:hAnsi="Times New Roman" w:cs="Times New Roman"/>
          <w:sz w:val="20"/>
          <w:szCs w:val="20"/>
        </w:rPr>
        <w:t>,</w:t>
      </w:r>
      <w:r w:rsidR="009E7D3B" w:rsidRPr="009E7D3B">
        <w:rPr>
          <w:rFonts w:ascii="Times New Roman" w:hAnsi="Times New Roman" w:cs="Times New Roman"/>
          <w:sz w:val="20"/>
          <w:szCs w:val="20"/>
        </w:rPr>
        <w:t xml:space="preserve"> the</w:t>
      </w:r>
      <w:r w:rsidR="004C173B">
        <w:rPr>
          <w:rFonts w:ascii="Times New Roman" w:hAnsi="Times New Roman" w:cs="Times New Roman"/>
          <w:sz w:val="20"/>
          <w:szCs w:val="20"/>
        </w:rPr>
        <w:t xml:space="preserve"> discussion on whether/how to</w:t>
      </w:r>
      <w:r w:rsidR="009E7D3B" w:rsidRPr="009E7D3B">
        <w:rPr>
          <w:rFonts w:ascii="Times New Roman" w:hAnsi="Times New Roman" w:cs="Times New Roman"/>
          <w:sz w:val="20"/>
          <w:szCs w:val="20"/>
        </w:rPr>
        <w:t xml:space="preserve"> improve </w:t>
      </w:r>
      <w:r w:rsidR="004C173B">
        <w:rPr>
          <w:rFonts w:ascii="Times New Roman" w:hAnsi="Times New Roman" w:cs="Times New Roman"/>
          <w:sz w:val="20"/>
          <w:szCs w:val="20"/>
        </w:rPr>
        <w:t xml:space="preserve">the </w:t>
      </w:r>
      <w:r w:rsidR="009E7D3B" w:rsidRPr="009E7D3B">
        <w:rPr>
          <w:rFonts w:ascii="Times New Roman" w:hAnsi="Times New Roman" w:cs="Times New Roman"/>
          <w:sz w:val="20"/>
          <w:szCs w:val="20"/>
        </w:rPr>
        <w:t xml:space="preserve">handling of the tunneling between DU and CU-UP should be </w:t>
      </w:r>
      <w:r w:rsidR="004C173B">
        <w:rPr>
          <w:rFonts w:ascii="Times New Roman" w:hAnsi="Times New Roman" w:cs="Times New Roman"/>
          <w:sz w:val="20"/>
          <w:szCs w:val="20"/>
        </w:rPr>
        <w:t>driven</w:t>
      </w:r>
      <w:r w:rsidR="009E7D3B" w:rsidRPr="009E7D3B">
        <w:rPr>
          <w:rFonts w:ascii="Times New Roman" w:hAnsi="Times New Roman" w:cs="Times New Roman"/>
          <w:sz w:val="20"/>
          <w:szCs w:val="20"/>
        </w:rPr>
        <w:t xml:space="preserve"> by RAN3 as responsible WG.</w:t>
      </w:r>
    </w:p>
    <w:p w14:paraId="34E11419" w14:textId="639DBE9C" w:rsidR="00B72D2E" w:rsidRDefault="00FB241E" w:rsidP="007B7719">
      <w:pPr>
        <w:keepNext/>
        <w:spacing w:after="0"/>
        <w:jc w:val="center"/>
      </w:pPr>
      <w:r w:rsidRPr="006C7AAB">
        <w:rPr>
          <w:rFonts w:cstheme="minorHAnsi"/>
        </w:rPr>
        <w:object w:dxaOrig="14401" w:dyaOrig="7189" w14:anchorId="6A4D23A3">
          <v:shape id="_x0000_i1026" type="#_x0000_t75" style="width:468.7pt;height:234.35pt" o:ole="">
            <v:imagedata r:id="rId11" o:title=""/>
          </v:shape>
          <o:OLEObject Type="Embed" ProgID="Visio.Drawing.15" ShapeID="_x0000_i1026" DrawAspect="Content" ObjectID="_1658235910" r:id="rId12"/>
        </w:object>
      </w:r>
    </w:p>
    <w:p w14:paraId="39CCD2E2" w14:textId="213FBB6A" w:rsidR="00B72D2E" w:rsidRDefault="00B72D2E" w:rsidP="00564BCD">
      <w:pPr>
        <w:pStyle w:val="Caption"/>
        <w:spacing w:after="240"/>
        <w:jc w:val="center"/>
        <w:rPr>
          <w:i w:val="0"/>
          <w:iCs w:val="0"/>
          <w:color w:val="auto"/>
          <w:sz w:val="20"/>
          <w:szCs w:val="20"/>
        </w:rPr>
      </w:pPr>
      <w:bookmarkStart w:id="15" w:name="_Ref46867752"/>
      <w:r w:rsidRPr="00D7008B">
        <w:rPr>
          <w:i w:val="0"/>
          <w:iCs w:val="0"/>
          <w:color w:val="auto"/>
          <w:sz w:val="20"/>
          <w:szCs w:val="20"/>
        </w:rPr>
        <w:t xml:space="preserve">Figure </w:t>
      </w:r>
      <w:r w:rsidRPr="00D7008B">
        <w:rPr>
          <w:i w:val="0"/>
          <w:iCs w:val="0"/>
          <w:color w:val="auto"/>
          <w:sz w:val="20"/>
          <w:szCs w:val="20"/>
        </w:rPr>
        <w:fldChar w:fldCharType="begin"/>
      </w:r>
      <w:r w:rsidRPr="00D7008B">
        <w:rPr>
          <w:i w:val="0"/>
          <w:iCs w:val="0"/>
          <w:color w:val="auto"/>
          <w:sz w:val="20"/>
          <w:szCs w:val="20"/>
        </w:rPr>
        <w:instrText xml:space="preserve"> SEQ Figure \* ARABIC </w:instrText>
      </w:r>
      <w:r w:rsidRPr="00D7008B">
        <w:rPr>
          <w:i w:val="0"/>
          <w:iCs w:val="0"/>
          <w:color w:val="auto"/>
          <w:sz w:val="20"/>
          <w:szCs w:val="20"/>
        </w:rPr>
        <w:fldChar w:fldCharType="separate"/>
      </w:r>
      <w:r w:rsidR="00E2248A">
        <w:rPr>
          <w:i w:val="0"/>
          <w:iCs w:val="0"/>
          <w:noProof/>
          <w:color w:val="auto"/>
          <w:sz w:val="20"/>
          <w:szCs w:val="20"/>
        </w:rPr>
        <w:t>2</w:t>
      </w:r>
      <w:r w:rsidRPr="00D7008B">
        <w:rPr>
          <w:i w:val="0"/>
          <w:iCs w:val="0"/>
          <w:color w:val="auto"/>
          <w:sz w:val="20"/>
          <w:szCs w:val="20"/>
        </w:rPr>
        <w:fldChar w:fldCharType="end"/>
      </w:r>
      <w:bookmarkEnd w:id="15"/>
      <w:r w:rsidRPr="00D7008B">
        <w:rPr>
          <w:i w:val="0"/>
          <w:iCs w:val="0"/>
          <w:color w:val="auto"/>
          <w:sz w:val="20"/>
          <w:szCs w:val="20"/>
        </w:rPr>
        <w:t xml:space="preserve">. </w:t>
      </w:r>
      <w:r w:rsidR="00186681">
        <w:rPr>
          <w:i w:val="0"/>
          <w:iCs w:val="0"/>
          <w:color w:val="auto"/>
          <w:sz w:val="20"/>
          <w:szCs w:val="20"/>
        </w:rPr>
        <w:t>Start of SDT mechanism using default/</w:t>
      </w:r>
      <w:r w:rsidR="00B124CA">
        <w:rPr>
          <w:i w:val="0"/>
          <w:iCs w:val="0"/>
          <w:color w:val="auto"/>
          <w:sz w:val="20"/>
          <w:szCs w:val="20"/>
        </w:rPr>
        <w:t>common</w:t>
      </w:r>
      <w:r w:rsidR="00186681">
        <w:rPr>
          <w:i w:val="0"/>
          <w:iCs w:val="0"/>
          <w:color w:val="auto"/>
          <w:sz w:val="20"/>
          <w:szCs w:val="20"/>
        </w:rPr>
        <w:t xml:space="preserve"> </w:t>
      </w:r>
      <w:r w:rsidR="009572DE">
        <w:rPr>
          <w:i w:val="0"/>
          <w:iCs w:val="0"/>
          <w:color w:val="auto"/>
          <w:sz w:val="20"/>
          <w:szCs w:val="20"/>
        </w:rPr>
        <w:t xml:space="preserve">RLC </w:t>
      </w:r>
      <w:r w:rsidR="00186681">
        <w:rPr>
          <w:i w:val="0"/>
          <w:iCs w:val="0"/>
          <w:color w:val="auto"/>
          <w:sz w:val="20"/>
          <w:szCs w:val="20"/>
        </w:rPr>
        <w:t>bearer configuration (option 2)</w:t>
      </w:r>
    </w:p>
    <w:p w14:paraId="43DA7E9B" w14:textId="6F57BA3F" w:rsidR="001F7AFB" w:rsidRPr="001F7AFB" w:rsidRDefault="00A90418" w:rsidP="00E42E0E">
      <w:r>
        <w:lastRenderedPageBreak/>
        <w:t xml:space="preserve">Therefore, </w:t>
      </w:r>
      <w:r w:rsidR="00B27224">
        <w:t xml:space="preserve">RAN2 should discuss </w:t>
      </w:r>
      <w:r w:rsidR="00191F06">
        <w:t xml:space="preserve">which </w:t>
      </w:r>
      <w:r w:rsidR="00B27224">
        <w:t xml:space="preserve">radio bearer configuration is </w:t>
      </w:r>
      <w:r w:rsidR="00191F06">
        <w:t xml:space="preserve">used by UE and DU </w:t>
      </w:r>
      <w:r w:rsidR="001C5405">
        <w:t>for SDT mechanism</w:t>
      </w:r>
      <w:r w:rsidR="00B27224">
        <w:t>.</w:t>
      </w:r>
    </w:p>
    <w:p w14:paraId="136C6E63" w14:textId="75AFDB94" w:rsidR="00564BCD" w:rsidRDefault="00FC4F42" w:rsidP="007B7719">
      <w:pPr>
        <w:pStyle w:val="Proposal"/>
        <w:numPr>
          <w:ilvl w:val="0"/>
          <w:numId w:val="4"/>
        </w:numPr>
        <w:jc w:val="left"/>
      </w:pPr>
      <w:bookmarkStart w:id="16" w:name="_Toc477888239"/>
      <w:bookmarkStart w:id="17" w:name="_Toc478114424"/>
      <w:bookmarkStart w:id="18" w:name="_Toc478139321"/>
      <w:bookmarkStart w:id="19" w:name="_Toc478164249"/>
      <w:bookmarkStart w:id="20" w:name="_Toc478166236"/>
      <w:bookmarkStart w:id="21" w:name="_Toc478166327"/>
      <w:bookmarkStart w:id="22" w:name="_Toc478166375"/>
      <w:bookmarkStart w:id="23" w:name="_Toc528244348"/>
      <w:bookmarkStart w:id="24" w:name="_Toc528244363"/>
      <w:bookmarkStart w:id="25" w:name="_Toc22282238"/>
      <w:bookmarkStart w:id="26" w:name="_Toc22282245"/>
      <w:bookmarkStart w:id="27" w:name="_Toc22282357"/>
      <w:bookmarkStart w:id="28" w:name="_Toc46872462"/>
      <w:bookmarkStart w:id="29" w:name="_Toc46872485"/>
      <w:bookmarkStart w:id="30" w:name="_Toc47217818"/>
      <w:bookmarkStart w:id="31" w:name="_Toc47348538"/>
      <w:bookmarkStart w:id="32" w:name="_Toc47376827"/>
      <w:bookmarkStart w:id="33" w:name="_Toc47477858"/>
      <w:bookmarkStart w:id="34" w:name="_Toc47509109"/>
      <w:bookmarkStart w:id="35" w:name="_Toc47511191"/>
      <w:bookmarkStart w:id="36" w:name="_Toc47530510"/>
      <w:bookmarkStart w:id="37" w:name="_Toc47610496"/>
      <w:bookmarkStart w:id="38" w:name="_Toc47611551"/>
      <w:bookmarkStart w:id="39" w:name="_Toc47621247"/>
      <w:bookmarkStart w:id="40" w:name="_Toc47622862"/>
      <w:r>
        <w:t xml:space="preserve">When </w:t>
      </w:r>
      <w:r w:rsidRPr="00564BCD">
        <w:t>initiating SDT</w:t>
      </w:r>
      <w:r>
        <w:t xml:space="preserve"> mechanism, </w:t>
      </w:r>
      <w:r w:rsidR="003C27C7">
        <w:t xml:space="preserve">RAN2 </w:t>
      </w:r>
      <w:r>
        <w:t>t</w:t>
      </w:r>
      <w:r w:rsidR="00564BCD">
        <w:t xml:space="preserve">o discuss </w:t>
      </w:r>
      <w:r w:rsidR="0032072E">
        <w:t xml:space="preserve">which </w:t>
      </w:r>
      <w:r w:rsidR="00A657C9">
        <w:t xml:space="preserve">RLC </w:t>
      </w:r>
      <w:r w:rsidR="0032072E">
        <w:t>bearer</w:t>
      </w:r>
      <w:r w:rsidR="00564BCD" w:rsidRPr="00564BCD">
        <w:t xml:space="preserve"> configuration</w:t>
      </w:r>
      <w:r w:rsidR="0032072E">
        <w:t xml:space="preserve"> is used</w:t>
      </w:r>
      <w:r w:rsidR="00F61584">
        <w:t xml:space="preserve"> by UE</w:t>
      </w:r>
      <w:r w:rsidR="0009659A">
        <w:t xml:space="preserve"> in RRC_INACTIVE</w:t>
      </w:r>
      <w:r w:rsidR="00F61584">
        <w:t xml:space="preserve"> and</w:t>
      </w:r>
      <w:r w:rsidR="0009659A">
        <w:t xml:space="preserve"> </w:t>
      </w:r>
      <w:r w:rsidR="00CC7310">
        <w:t xml:space="preserve">the </w:t>
      </w:r>
      <w:r w:rsidR="0009659A">
        <w:t>current</w:t>
      </w:r>
      <w:r w:rsidR="00F61584">
        <w:t xml:space="preserve"> </w:t>
      </w:r>
      <w:r w:rsidR="008D2A47">
        <w:t xml:space="preserve">cell (or </w:t>
      </w:r>
      <w:r w:rsidR="00F61584">
        <w:t>DU</w:t>
      </w:r>
      <w:r w:rsidR="008D2A47">
        <w:t>)</w:t>
      </w:r>
      <w:r>
        <w:t>:</w:t>
      </w:r>
      <w:r w:rsidR="00564BCD" w:rsidRPr="00564BCD">
        <w:t xml:space="preserve"> </w:t>
      </w:r>
      <w:r w:rsidR="0021357A">
        <w:br/>
      </w:r>
      <w:r w:rsidR="00564BCD">
        <w:t xml:space="preserve">option 1) </w:t>
      </w:r>
      <w:r w:rsidR="00F61584">
        <w:t>the one stored in UE Context</w:t>
      </w:r>
      <w:r w:rsidR="00564BCD">
        <w:t xml:space="preserve">, </w:t>
      </w:r>
      <w:r w:rsidR="0021357A">
        <w:t xml:space="preserve">or </w:t>
      </w:r>
      <w:r w:rsidR="0021357A">
        <w:br/>
      </w:r>
      <w:r w:rsidR="00564BCD">
        <w:t xml:space="preserve">option 2) </w:t>
      </w:r>
      <w:r w:rsidR="00564BCD" w:rsidRPr="00564BCD">
        <w:t xml:space="preserve">a default or </w:t>
      </w:r>
      <w:r w:rsidR="007A0694">
        <w:t>c</w:t>
      </w:r>
      <w:r w:rsidR="00564BCD" w:rsidRPr="00564BCD">
        <w:t>o</w:t>
      </w:r>
      <w:r w:rsidR="007A0694">
        <w:t>mmo</w:t>
      </w:r>
      <w:r w:rsidR="00564BCD" w:rsidRPr="00564BCD">
        <w:t xml:space="preserve">n </w:t>
      </w:r>
      <w:r w:rsidR="00F61584">
        <w:t>one</w:t>
      </w:r>
      <w:r w:rsidR="000D55CF">
        <w:t xml:space="preserve"> (which identifies a configuration that is </w:t>
      </w:r>
      <w:r w:rsidR="000D55CF" w:rsidRPr="00145635">
        <w:t xml:space="preserve">pre-defined in specification or </w:t>
      </w:r>
      <w:r w:rsidR="000D55CF">
        <w:t>configured</w:t>
      </w:r>
      <w:r w:rsidR="000D55CF" w:rsidRPr="00145635">
        <w:t xml:space="preserve"> by gNB</w:t>
      </w:r>
      <w:r w:rsidR="000D55CF">
        <w:t>)</w:t>
      </w:r>
      <w:r w:rsidR="00564BCD">
        <w:t>.</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00564BCD">
        <w:t xml:space="preserve"> </w:t>
      </w:r>
    </w:p>
    <w:p w14:paraId="2AAAF27C" w14:textId="72CBA684" w:rsidR="00DB59D3" w:rsidRDefault="00D07BF4" w:rsidP="00867C8B">
      <w:pPr>
        <w:jc w:val="both"/>
      </w:pPr>
      <w:r>
        <w:t xml:space="preserve">The above discussion assumed legacy DU configuration handling.  </w:t>
      </w:r>
      <w:r w:rsidR="00044CD7">
        <w:t>At least f</w:t>
      </w:r>
      <w:r>
        <w:t xml:space="preserve">or PUR operation, since it is only valid in the same cell, it </w:t>
      </w:r>
      <w:r w:rsidR="002A1868">
        <w:t>is</w:t>
      </w:r>
      <w:r>
        <w:t xml:space="preserve"> </w:t>
      </w:r>
      <w:r w:rsidR="005C2156">
        <w:t>more efficient to retain the DU context</w:t>
      </w:r>
      <w:r w:rsidR="00E94875">
        <w:t xml:space="preserve"> </w:t>
      </w:r>
      <w:r w:rsidR="00925BB0">
        <w:t xml:space="preserve">and the </w:t>
      </w:r>
      <w:r w:rsidR="0067583E">
        <w:t>tunnels to CU-UP</w:t>
      </w:r>
      <w:r w:rsidR="00044CD7">
        <w:t xml:space="preserve">, as shown in </w:t>
      </w:r>
      <w:r w:rsidR="00044CD7" w:rsidRPr="00F31A99">
        <w:fldChar w:fldCharType="begin"/>
      </w:r>
      <w:r w:rsidR="00044CD7" w:rsidRPr="00F31A99">
        <w:instrText xml:space="preserve"> REF _Ref47599379 \h </w:instrText>
      </w:r>
      <w:r w:rsidR="00E2248A" w:rsidRPr="00F31A99">
        <w:instrText xml:space="preserve"> \* MERGEFORMAT </w:instrText>
      </w:r>
      <w:r w:rsidR="00044CD7" w:rsidRPr="00F31A99">
        <w:fldChar w:fldCharType="separate"/>
      </w:r>
      <w:r w:rsidR="00E2248A" w:rsidRPr="00F31A99">
        <w:t xml:space="preserve">Figure </w:t>
      </w:r>
      <w:r w:rsidR="00E2248A" w:rsidRPr="00F31A99">
        <w:rPr>
          <w:noProof/>
        </w:rPr>
        <w:t>3</w:t>
      </w:r>
      <w:r w:rsidR="00044CD7" w:rsidRPr="00F31A99">
        <w:fldChar w:fldCharType="end"/>
      </w:r>
      <w:r w:rsidR="00960A31" w:rsidRPr="00E2248A">
        <w:t>.</w:t>
      </w:r>
      <w:r w:rsidR="00960A31">
        <w:t xml:space="preserve">  It avoids a lot of network signalling and </w:t>
      </w:r>
      <w:r w:rsidR="00046A55">
        <w:t xml:space="preserve">data </w:t>
      </w:r>
      <w:r w:rsidR="00E94875">
        <w:t>delay</w:t>
      </w:r>
      <w:r w:rsidR="00256A23">
        <w:t xml:space="preserve"> as the DU can</w:t>
      </w:r>
      <w:r w:rsidR="00E94875">
        <w:t xml:space="preserve"> process the data </w:t>
      </w:r>
      <w:r w:rsidR="00256A23">
        <w:t xml:space="preserve">and </w:t>
      </w:r>
      <w:r w:rsidR="00E94875">
        <w:t>forward to the CU-UP</w:t>
      </w:r>
      <w:r w:rsidR="00046A55">
        <w:t xml:space="preserve"> immediately</w:t>
      </w:r>
      <w:r w:rsidR="00E94875">
        <w:t xml:space="preserve">.  </w:t>
      </w:r>
    </w:p>
    <w:p w14:paraId="6E3F737E" w14:textId="67974E04" w:rsidR="00CD01DD" w:rsidRDefault="00FE18CF" w:rsidP="007B7719">
      <w:pPr>
        <w:keepNext/>
        <w:spacing w:after="0"/>
        <w:jc w:val="center"/>
      </w:pPr>
      <w:r w:rsidRPr="006C7AAB">
        <w:rPr>
          <w:rFonts w:cstheme="minorHAnsi"/>
        </w:rPr>
        <w:object w:dxaOrig="13393" w:dyaOrig="6037" w14:anchorId="3B72524B">
          <v:shape id="_x0000_i1027" type="#_x0000_t75" style="width:436.05pt;height:196.45pt" o:ole="">
            <v:imagedata r:id="rId13" o:title=""/>
          </v:shape>
          <o:OLEObject Type="Embed" ProgID="Visio.Drawing.15" ShapeID="_x0000_i1027" DrawAspect="Content" ObjectID="_1658235911" r:id="rId14"/>
        </w:object>
      </w:r>
    </w:p>
    <w:p w14:paraId="39D1A3CE" w14:textId="3C4665B1" w:rsidR="00DB59D3" w:rsidRPr="00C35FE9" w:rsidRDefault="00CD01DD" w:rsidP="007B7719">
      <w:pPr>
        <w:pStyle w:val="Caption"/>
        <w:jc w:val="center"/>
      </w:pPr>
      <w:bookmarkStart w:id="41" w:name="_Ref47599379"/>
      <w:r w:rsidRPr="00C35FE9">
        <w:rPr>
          <w:i w:val="0"/>
          <w:iCs w:val="0"/>
          <w:color w:val="auto"/>
          <w:sz w:val="20"/>
          <w:szCs w:val="20"/>
        </w:rPr>
        <w:t xml:space="preserve">Figure </w:t>
      </w:r>
      <w:r w:rsidRPr="007B7719">
        <w:rPr>
          <w:i w:val="0"/>
          <w:iCs w:val="0"/>
          <w:color w:val="auto"/>
          <w:sz w:val="20"/>
          <w:szCs w:val="20"/>
        </w:rPr>
        <w:fldChar w:fldCharType="begin"/>
      </w:r>
      <w:r w:rsidRPr="00C35FE9">
        <w:rPr>
          <w:i w:val="0"/>
          <w:iCs w:val="0"/>
          <w:color w:val="auto"/>
          <w:sz w:val="20"/>
          <w:szCs w:val="20"/>
        </w:rPr>
        <w:instrText xml:space="preserve"> SEQ Figure \* ARABIC </w:instrText>
      </w:r>
      <w:r w:rsidRPr="007B7719">
        <w:rPr>
          <w:i w:val="0"/>
          <w:iCs w:val="0"/>
          <w:color w:val="auto"/>
          <w:sz w:val="20"/>
          <w:szCs w:val="20"/>
        </w:rPr>
        <w:fldChar w:fldCharType="separate"/>
      </w:r>
      <w:r w:rsidR="00E2248A">
        <w:rPr>
          <w:i w:val="0"/>
          <w:iCs w:val="0"/>
          <w:noProof/>
          <w:color w:val="auto"/>
          <w:sz w:val="20"/>
          <w:szCs w:val="20"/>
        </w:rPr>
        <w:t>3</w:t>
      </w:r>
      <w:r w:rsidRPr="007B7719">
        <w:rPr>
          <w:i w:val="0"/>
          <w:iCs w:val="0"/>
          <w:color w:val="auto"/>
          <w:sz w:val="20"/>
          <w:szCs w:val="20"/>
        </w:rPr>
        <w:fldChar w:fldCharType="end"/>
      </w:r>
      <w:bookmarkEnd w:id="41"/>
      <w:r w:rsidRPr="00C35FE9">
        <w:rPr>
          <w:i w:val="0"/>
          <w:iCs w:val="0"/>
          <w:color w:val="auto"/>
          <w:sz w:val="20"/>
          <w:szCs w:val="20"/>
        </w:rPr>
        <w:t xml:space="preserve">. Start of SDT mechanism </w:t>
      </w:r>
      <w:r w:rsidR="00C35FE9" w:rsidRPr="00C35FE9">
        <w:rPr>
          <w:i w:val="0"/>
          <w:iCs w:val="0"/>
          <w:color w:val="auto"/>
          <w:sz w:val="20"/>
          <w:szCs w:val="20"/>
        </w:rPr>
        <w:t xml:space="preserve">retaining UE context in DU while </w:t>
      </w:r>
      <w:r w:rsidRPr="00C35FE9">
        <w:rPr>
          <w:i w:val="0"/>
          <w:iCs w:val="0"/>
          <w:color w:val="auto"/>
          <w:sz w:val="20"/>
          <w:szCs w:val="20"/>
        </w:rPr>
        <w:t>using RLC bearer configuration stored in the UE Context (option 3)</w:t>
      </w:r>
    </w:p>
    <w:p w14:paraId="38C602E4" w14:textId="1B5BF62A" w:rsidR="00E7590B" w:rsidRDefault="00DB59D3" w:rsidP="00867C8B">
      <w:pPr>
        <w:jc w:val="both"/>
      </w:pPr>
      <w:r>
        <w:t>Therefore</w:t>
      </w:r>
      <w:r w:rsidR="00996918">
        <w:t xml:space="preserve"> at least</w:t>
      </w:r>
      <w:r>
        <w:t xml:space="preserve"> f</w:t>
      </w:r>
      <w:r w:rsidR="00E60E26">
        <w:t>or th</w:t>
      </w:r>
      <w:r w:rsidR="00996918">
        <w:t>e PUR</w:t>
      </w:r>
      <w:r w:rsidR="00E60E26">
        <w:t xml:space="preserve"> case, it is simpler to re-use the </w:t>
      </w:r>
      <w:r w:rsidR="005132B3">
        <w:t xml:space="preserve">stored RLC configuration.  </w:t>
      </w:r>
    </w:p>
    <w:p w14:paraId="7C4C4800" w14:textId="31FF7157" w:rsidR="0095460E" w:rsidRDefault="0095460E" w:rsidP="007B7719">
      <w:pPr>
        <w:pStyle w:val="observ"/>
        <w:ind w:left="360"/>
      </w:pPr>
      <w:bookmarkStart w:id="42" w:name="_Toc47511187"/>
      <w:bookmarkStart w:id="43" w:name="_Toc47530505"/>
      <w:bookmarkStart w:id="44" w:name="_Toc47610490"/>
      <w:bookmarkStart w:id="45" w:name="_Toc47611547"/>
      <w:bookmarkStart w:id="46" w:name="_Toc47621244"/>
      <w:bookmarkStart w:id="47" w:name="_Toc47622868"/>
      <w:r>
        <w:t xml:space="preserve">Retaining the UE context in the DU is </w:t>
      </w:r>
      <w:r w:rsidR="003762E0">
        <w:t>efficient in terms of signalling and delay, especially for PUR operation.</w:t>
      </w:r>
      <w:bookmarkEnd w:id="42"/>
      <w:bookmarkEnd w:id="43"/>
      <w:bookmarkEnd w:id="44"/>
      <w:bookmarkEnd w:id="45"/>
      <w:bookmarkEnd w:id="46"/>
      <w:bookmarkEnd w:id="47"/>
      <w:r w:rsidR="003762E0">
        <w:t xml:space="preserve"> </w:t>
      </w:r>
    </w:p>
    <w:p w14:paraId="75C268FE" w14:textId="77777777" w:rsidR="002812A9" w:rsidRDefault="002812A9" w:rsidP="00867C8B">
      <w:pPr>
        <w:jc w:val="both"/>
      </w:pPr>
    </w:p>
    <w:p w14:paraId="1BDB1AFD" w14:textId="0FD262A4" w:rsidR="005132B3" w:rsidRDefault="002812A9" w:rsidP="00867C8B">
      <w:pPr>
        <w:jc w:val="both"/>
      </w:pPr>
      <w:r>
        <w:t>Moreover</w:t>
      </w:r>
      <w:r w:rsidR="00F31A99">
        <w:t>,</w:t>
      </w:r>
      <w:r>
        <w:t xml:space="preserve"> c</w:t>
      </w:r>
      <w:r w:rsidR="005132B3">
        <w:t>onsidering that some network signalling may be needed (depending on RAN3 design)</w:t>
      </w:r>
      <w:r w:rsidR="00593420">
        <w:t>,</w:t>
      </w:r>
      <w:r w:rsidR="005132B3">
        <w:t xml:space="preserve"> for</w:t>
      </w:r>
      <w:r w:rsidR="009373CA">
        <w:t xml:space="preserve"> example for the</w:t>
      </w:r>
      <w:r w:rsidR="005132B3">
        <w:t xml:space="preserve"> tunneling information even if we use default</w:t>
      </w:r>
      <w:r w:rsidR="00581550">
        <w:t>/common</w:t>
      </w:r>
      <w:r w:rsidR="005132B3">
        <w:t xml:space="preserve"> configuration for RLC bearer</w:t>
      </w:r>
      <w:r w:rsidR="00593420">
        <w:t>,</w:t>
      </w:r>
      <w:r w:rsidR="00581550">
        <w:t xml:space="preserve"> </w:t>
      </w:r>
      <w:r w:rsidR="00F853E0">
        <w:t xml:space="preserve">there </w:t>
      </w:r>
      <w:r w:rsidR="009373CA">
        <w:t>might</w:t>
      </w:r>
      <w:r w:rsidR="00F853E0">
        <w:t xml:space="preserve"> not</w:t>
      </w:r>
      <w:r w:rsidR="009373CA">
        <w:t xml:space="preserve"> be</w:t>
      </w:r>
      <w:r w:rsidR="00F853E0">
        <w:t xml:space="preserve"> much benefit in using default</w:t>
      </w:r>
      <w:r w:rsidR="009373CA">
        <w:t>/common</w:t>
      </w:r>
      <w:r w:rsidR="00F853E0">
        <w:t xml:space="preserve"> RLC configuration. </w:t>
      </w:r>
      <w:r w:rsidR="00FF76F0">
        <w:t>Moreover</w:t>
      </w:r>
      <w:r w:rsidR="00796642">
        <w:t>,</w:t>
      </w:r>
      <w:r w:rsidR="00FF76F0">
        <w:t xml:space="preserve"> </w:t>
      </w:r>
      <w:r w:rsidR="001852D9">
        <w:t xml:space="preserve">the usage of stored configuration (instead of the default/common one) might be more desirable when having to </w:t>
      </w:r>
      <w:r w:rsidR="008F5C57">
        <w:t>handle the fallback scenario to resume</w:t>
      </w:r>
      <w:r w:rsidR="001C6AED">
        <w:t>. For this scenario,</w:t>
      </w:r>
      <w:r w:rsidR="008F5C57">
        <w:t xml:space="preserve"> the </w:t>
      </w:r>
      <w:r w:rsidR="00C26518">
        <w:t xml:space="preserve">UE in RRC_INACTIVE is already using the stored configuration for the data which </w:t>
      </w:r>
      <w:r w:rsidR="001C6AED">
        <w:t>would be</w:t>
      </w:r>
      <w:r w:rsidR="00C26518">
        <w:t xml:space="preserve"> the same </w:t>
      </w:r>
      <w:r w:rsidR="00DE276D">
        <w:t>configuration</w:t>
      </w:r>
      <w:r w:rsidR="00F57A99">
        <w:t xml:space="preserve"> </w:t>
      </w:r>
      <w:r w:rsidR="001C6AED">
        <w:t xml:space="preserve">used </w:t>
      </w:r>
      <w:r w:rsidR="00F57A99">
        <w:t xml:space="preserve">after falling back </w:t>
      </w:r>
      <w:r w:rsidR="001C6AED">
        <w:t>in</w:t>
      </w:r>
      <w:r w:rsidR="00F57A99">
        <w:t>to</w:t>
      </w:r>
      <w:r w:rsidR="001C6AED">
        <w:t xml:space="preserve"> RRC_CONNECTED</w:t>
      </w:r>
      <w:r w:rsidR="00F57A99">
        <w:t xml:space="preserve"> </w:t>
      </w:r>
      <w:r w:rsidR="00ED0933">
        <w:t xml:space="preserve">(which </w:t>
      </w:r>
      <w:r w:rsidR="00DE276D">
        <w:t>might</w:t>
      </w:r>
      <w:r w:rsidR="00ED0933">
        <w:t xml:space="preserve"> be even more critical if the data was segmented </w:t>
      </w:r>
      <w:r w:rsidR="00135328">
        <w:t>having</w:t>
      </w:r>
      <w:r w:rsidR="00ED0933">
        <w:t xml:space="preserve"> the 1</w:t>
      </w:r>
      <w:r w:rsidR="00ED0933" w:rsidRPr="007B7719">
        <w:rPr>
          <w:vertAlign w:val="superscript"/>
        </w:rPr>
        <w:t>st</w:t>
      </w:r>
      <w:r w:rsidR="00581550">
        <w:t xml:space="preserve"> segment is sent while UE was in RRC_INACTIVE and </w:t>
      </w:r>
      <w:r w:rsidR="00581550" w:rsidRPr="004A6E26">
        <w:t xml:space="preserve">the following one after getting into </w:t>
      </w:r>
      <w:r w:rsidR="00581550" w:rsidRPr="00B403A1">
        <w:t>RRC_CONNECTED</w:t>
      </w:r>
      <w:r w:rsidR="00135328" w:rsidRPr="00B403A1">
        <w:t>)</w:t>
      </w:r>
      <w:r w:rsidR="00FF76F0" w:rsidRPr="00B403A1">
        <w:t>.</w:t>
      </w:r>
      <w:r w:rsidR="00F853E0" w:rsidRPr="00B403A1">
        <w:t xml:space="preserve"> </w:t>
      </w:r>
      <w:r w:rsidR="007361A8" w:rsidRPr="00B403A1">
        <w:t xml:space="preserve">In addition, </w:t>
      </w:r>
      <w:r w:rsidR="00EF2F69" w:rsidRPr="00B403A1">
        <w:t xml:space="preserve">the usage of stored configuration could benefit when </w:t>
      </w:r>
      <w:r w:rsidR="00E10568" w:rsidRPr="00B403A1">
        <w:t>keeping the RLC bearer instance in use across different SDT access done by a UE in RRC_INACTIVE</w:t>
      </w:r>
      <w:r w:rsidR="00EF2F69" w:rsidRPr="00B403A1">
        <w:t xml:space="preserve">. </w:t>
      </w:r>
      <w:r w:rsidR="004D0571" w:rsidRPr="00B403A1">
        <w:t xml:space="preserve">Given the above benefit, </w:t>
      </w:r>
      <w:r w:rsidR="007A27D2" w:rsidRPr="00B403A1">
        <w:t>u</w:t>
      </w:r>
      <w:r w:rsidR="003762E0" w:rsidRPr="00B403A1">
        <w:t xml:space="preserve">sing the stored configuration allows </w:t>
      </w:r>
      <w:r w:rsidR="00307219" w:rsidRPr="00B403A1">
        <w:t xml:space="preserve">a </w:t>
      </w:r>
      <w:r w:rsidR="003762E0" w:rsidRPr="00B403A1">
        <w:t xml:space="preserve">common </w:t>
      </w:r>
      <w:r w:rsidR="007A27D2" w:rsidRPr="00B403A1">
        <w:t xml:space="preserve">and efficient </w:t>
      </w:r>
      <w:r w:rsidR="003762E0" w:rsidRPr="00B403A1">
        <w:t xml:space="preserve">behavior for </w:t>
      </w:r>
      <w:r w:rsidR="00307219" w:rsidRPr="00B403A1">
        <w:t xml:space="preserve">both </w:t>
      </w:r>
      <w:r w:rsidR="009B485C" w:rsidRPr="00B403A1">
        <w:t xml:space="preserve">PUR and RACH </w:t>
      </w:r>
      <w:r w:rsidR="00307219" w:rsidRPr="00B403A1">
        <w:t>SDT mechanism</w:t>
      </w:r>
      <w:r w:rsidR="009B485C" w:rsidRPr="00B403A1">
        <w:t>s.</w:t>
      </w:r>
      <w:r w:rsidR="009B485C">
        <w:t xml:space="preserve">  </w:t>
      </w:r>
    </w:p>
    <w:p w14:paraId="76DEBF59" w14:textId="07648EAC" w:rsidR="00EB0232" w:rsidRDefault="009B485C" w:rsidP="00EB0232">
      <w:pPr>
        <w:pStyle w:val="Proposal"/>
        <w:numPr>
          <w:ilvl w:val="0"/>
          <w:numId w:val="4"/>
        </w:numPr>
        <w:jc w:val="left"/>
      </w:pPr>
      <w:bookmarkStart w:id="48" w:name="_Toc47530511"/>
      <w:bookmarkStart w:id="49" w:name="_Toc47610497"/>
      <w:bookmarkStart w:id="50" w:name="_Toc47611552"/>
      <w:bookmarkStart w:id="51" w:name="_Toc47509110"/>
      <w:bookmarkStart w:id="52" w:name="_Toc47511192"/>
      <w:bookmarkStart w:id="53" w:name="_Toc47530512"/>
      <w:bookmarkStart w:id="54" w:name="_Toc47610498"/>
      <w:bookmarkStart w:id="55" w:name="_Toc47611553"/>
      <w:bookmarkStart w:id="56" w:name="_Toc47621248"/>
      <w:bookmarkStart w:id="57" w:name="_Toc47622863"/>
      <w:bookmarkEnd w:id="48"/>
      <w:bookmarkEnd w:id="49"/>
      <w:bookmarkEnd w:id="50"/>
      <w:r>
        <w:t xml:space="preserve">Stored configuration </w:t>
      </w:r>
      <w:r w:rsidR="000E6EA8">
        <w:t xml:space="preserve">in the UE Context </w:t>
      </w:r>
      <w:r>
        <w:t>is used for the RLC bearer</w:t>
      </w:r>
      <w:r w:rsidR="000E6EA8">
        <w:t xml:space="preserve"> configuration</w:t>
      </w:r>
      <w:r>
        <w:t xml:space="preserve"> for</w:t>
      </w:r>
      <w:r w:rsidR="000E6EA8">
        <w:t xml:space="preserve"> any</w:t>
      </w:r>
      <w:r>
        <w:t xml:space="preserve"> SDT</w:t>
      </w:r>
      <w:bookmarkEnd w:id="51"/>
      <w:bookmarkEnd w:id="52"/>
      <w:r w:rsidR="00EB0232">
        <w:t xml:space="preserve"> </w:t>
      </w:r>
      <w:r w:rsidR="000E6EA8">
        <w:t>mechanism (RACH and PUR).</w:t>
      </w:r>
      <w:bookmarkEnd w:id="53"/>
      <w:bookmarkEnd w:id="54"/>
      <w:bookmarkEnd w:id="55"/>
      <w:bookmarkEnd w:id="56"/>
      <w:bookmarkEnd w:id="57"/>
    </w:p>
    <w:p w14:paraId="7240F385" w14:textId="0B6326B6" w:rsidR="007D2864" w:rsidRDefault="007D2864" w:rsidP="003C3949">
      <w:pPr>
        <w:jc w:val="both"/>
      </w:pPr>
    </w:p>
    <w:p w14:paraId="75D0C485" w14:textId="77777777" w:rsidR="002D6334" w:rsidRDefault="002D6334" w:rsidP="003C3949">
      <w:pPr>
        <w:jc w:val="both"/>
      </w:pPr>
    </w:p>
    <w:p w14:paraId="0A95DD62" w14:textId="3D944145" w:rsidR="001164D9" w:rsidRDefault="009D5A96" w:rsidP="003C3949">
      <w:pPr>
        <w:jc w:val="both"/>
      </w:pPr>
      <w:r>
        <w:lastRenderedPageBreak/>
        <w:t xml:space="preserve">The CU-UP context and the PDCP </w:t>
      </w:r>
      <w:r w:rsidR="00C71FAA">
        <w:t>of</w:t>
      </w:r>
      <w:r>
        <w:t xml:space="preserve"> the bearer carrying data </w:t>
      </w:r>
      <w:r w:rsidRPr="004A6E26">
        <w:t xml:space="preserve">can be re-used </w:t>
      </w:r>
      <w:r w:rsidR="00C71FAA" w:rsidRPr="004A6E26">
        <w:t xml:space="preserve">for SDT.  </w:t>
      </w:r>
      <w:r w:rsidR="00F1620D" w:rsidRPr="003C27C7">
        <w:t>In</w:t>
      </w:r>
      <w:r w:rsidR="000252DC" w:rsidRPr="004A6E26">
        <w:t xml:space="preserve"> l</w:t>
      </w:r>
      <w:r w:rsidR="008C1F7E" w:rsidRPr="007D2864">
        <w:t xml:space="preserve">egacy </w:t>
      </w:r>
      <w:r w:rsidR="000252DC" w:rsidRPr="007D2864">
        <w:t>Resume procedure, the security keys are always changed</w:t>
      </w:r>
      <w:r w:rsidR="005A46B8" w:rsidRPr="007D2864">
        <w:t xml:space="preserve"> and </w:t>
      </w:r>
      <w:r w:rsidR="008C1F7E" w:rsidRPr="007D2864">
        <w:t>PDCP re-establish</w:t>
      </w:r>
      <w:r w:rsidR="005A46B8" w:rsidRPr="007D2864">
        <w:t xml:space="preserve">ed.  </w:t>
      </w:r>
      <w:r w:rsidR="001164D9" w:rsidRPr="007D2864">
        <w:t>This behavior can</w:t>
      </w:r>
      <w:r w:rsidR="00222586" w:rsidRPr="007D2864">
        <w:t xml:space="preserve">, in principle, be </w:t>
      </w:r>
      <w:r w:rsidR="001164D9" w:rsidRPr="007D2864">
        <w:t>re-used,</w:t>
      </w:r>
      <w:r w:rsidR="006F467A" w:rsidRPr="007D2864">
        <w:t xml:space="preserve"> i.e.</w:t>
      </w:r>
      <w:r w:rsidR="001164D9" w:rsidRPr="007D2864">
        <w:t xml:space="preserve"> </w:t>
      </w:r>
      <w:r w:rsidR="00222586" w:rsidRPr="007D2864">
        <w:t>if</w:t>
      </w:r>
      <w:r w:rsidR="001164D9" w:rsidRPr="007D2864">
        <w:t xml:space="preserve"> UE is provided with a new NCC, PDCP is re-established</w:t>
      </w:r>
      <w:r w:rsidR="00F1620D" w:rsidRPr="007D2864">
        <w:t xml:space="preserve"> for each SDT transfer session.</w:t>
      </w:r>
      <w:r w:rsidR="004B28E1" w:rsidRPr="007D2864">
        <w:t xml:space="preserve"> S</w:t>
      </w:r>
      <w:r w:rsidR="006F467A" w:rsidRPr="007D2864">
        <w:t>i</w:t>
      </w:r>
      <w:r w:rsidR="004B28E1" w:rsidRPr="007D2864">
        <w:t xml:space="preserve">gnalling details can be </w:t>
      </w:r>
      <w:r w:rsidR="002812A9">
        <w:t xml:space="preserve">further </w:t>
      </w:r>
      <w:r w:rsidR="004B28E1" w:rsidRPr="004A6E26">
        <w:t>discussed in stage 3.</w:t>
      </w:r>
    </w:p>
    <w:p w14:paraId="64C5C4C4" w14:textId="6C20DDD3" w:rsidR="004255F6" w:rsidRDefault="008C1F7E" w:rsidP="003C3949">
      <w:pPr>
        <w:jc w:val="both"/>
      </w:pPr>
      <w:r>
        <w:t xml:space="preserve">ROHC protocol is reset for all UM and AM DRBs except if </w:t>
      </w:r>
      <w:r w:rsidRPr="007B7719">
        <w:rPr>
          <w:i/>
          <w:iCs/>
        </w:rPr>
        <w:t>drb-ContinueROHC</w:t>
      </w:r>
      <w:r>
        <w:t xml:space="preserve"> is configured</w:t>
      </w:r>
      <w:r w:rsidR="00E21E20">
        <w:t xml:space="preserve"> in Resume message</w:t>
      </w:r>
      <w:r>
        <w:t>.</w:t>
      </w:r>
      <w:r w:rsidR="00475A5D">
        <w:t xml:space="preserve"> </w:t>
      </w:r>
      <w:r w:rsidR="00E21E20">
        <w:t xml:space="preserve">As there is no Resume message for SDT, it is not possible to provide this indication of </w:t>
      </w:r>
      <w:r w:rsidR="004255F6" w:rsidRPr="005B1B10">
        <w:rPr>
          <w:i/>
          <w:iCs/>
        </w:rPr>
        <w:t>drb-ContinueROHC</w:t>
      </w:r>
      <w:r w:rsidR="004255F6">
        <w:t xml:space="preserve">.  </w:t>
      </w:r>
      <w:r w:rsidR="0037333D">
        <w:t xml:space="preserve"> </w:t>
      </w:r>
      <w:r w:rsidR="00946E30">
        <w:t>Typically, it is possible to continue RoHC within the same CU-UP</w:t>
      </w:r>
      <w:r w:rsidR="00A63E2D">
        <w:t xml:space="preserve"> – that is, when the UE is resuming within the same CU-UP region</w:t>
      </w:r>
      <w:r w:rsidR="0084751F">
        <w:t xml:space="preserve"> or when the </w:t>
      </w:r>
      <w:r w:rsidR="00A110C4">
        <w:t xml:space="preserve">UE </w:t>
      </w:r>
      <w:r w:rsidR="0084751F">
        <w:t>context is not relocated</w:t>
      </w:r>
      <w:r w:rsidR="00A63E2D">
        <w:t xml:space="preserve">.  </w:t>
      </w:r>
      <w:r w:rsidR="00946E30">
        <w:t xml:space="preserve">However, the UE is not aware </w:t>
      </w:r>
      <w:r w:rsidR="00A63E2D">
        <w:t>of these network aspects in general</w:t>
      </w:r>
      <w:r w:rsidR="006F467A">
        <w:t>,</w:t>
      </w:r>
      <w:r w:rsidR="007C6DA8">
        <w:t xml:space="preserve"> unless it is also made to coincide with </w:t>
      </w:r>
      <w:r w:rsidR="006F467A">
        <w:t>UE’s</w:t>
      </w:r>
      <w:r w:rsidR="007C6DA8">
        <w:t xml:space="preserve"> RNA boundary. </w:t>
      </w:r>
      <w:r w:rsidR="0064642E">
        <w:t xml:space="preserve"> </w:t>
      </w:r>
    </w:p>
    <w:p w14:paraId="29C05FCE" w14:textId="43EAD56C" w:rsidR="008C1F7E" w:rsidRDefault="00475A5D" w:rsidP="003C3949">
      <w:pPr>
        <w:jc w:val="both"/>
      </w:pPr>
      <w:r>
        <w:t>Taken this into consideration the following options seems possible for SDT mechanism</w:t>
      </w:r>
      <w:r w:rsidR="000C7571">
        <w:t xml:space="preserve"> to handle the </w:t>
      </w:r>
      <w:r w:rsidR="00C012A5">
        <w:t>RoHC</w:t>
      </w:r>
      <w:r w:rsidR="00500AFF">
        <w:t>:</w:t>
      </w:r>
    </w:p>
    <w:p w14:paraId="35BA69E8" w14:textId="7FB87B89" w:rsidR="003C3949" w:rsidRPr="00B56910" w:rsidRDefault="0064642E" w:rsidP="00596A78">
      <w:pPr>
        <w:pStyle w:val="ListParagraph"/>
        <w:numPr>
          <w:ilvl w:val="0"/>
          <w:numId w:val="25"/>
        </w:numPr>
        <w:jc w:val="both"/>
      </w:pPr>
      <w:r>
        <w:rPr>
          <w:rFonts w:ascii="Times New Roman" w:hAnsi="Times New Roman" w:cs="Times New Roman"/>
          <w:sz w:val="20"/>
          <w:szCs w:val="20"/>
        </w:rPr>
        <w:t xml:space="preserve">RoHC is always reset </w:t>
      </w:r>
      <w:r w:rsidR="00102E1B">
        <w:rPr>
          <w:rFonts w:ascii="Times New Roman" w:hAnsi="Times New Roman" w:cs="Times New Roman"/>
          <w:sz w:val="20"/>
          <w:szCs w:val="20"/>
        </w:rPr>
        <w:t>in</w:t>
      </w:r>
      <w:r>
        <w:rPr>
          <w:rFonts w:ascii="Times New Roman" w:hAnsi="Times New Roman" w:cs="Times New Roman"/>
          <w:sz w:val="20"/>
          <w:szCs w:val="20"/>
        </w:rPr>
        <w:t xml:space="preserve"> </w:t>
      </w:r>
      <w:r w:rsidR="006F467A">
        <w:rPr>
          <w:rFonts w:ascii="Times New Roman" w:hAnsi="Times New Roman" w:cs="Times New Roman"/>
          <w:sz w:val="20"/>
          <w:szCs w:val="20"/>
        </w:rPr>
        <w:t xml:space="preserve">each </w:t>
      </w:r>
      <w:r>
        <w:rPr>
          <w:rFonts w:ascii="Times New Roman" w:hAnsi="Times New Roman" w:cs="Times New Roman"/>
          <w:sz w:val="20"/>
          <w:szCs w:val="20"/>
        </w:rPr>
        <w:t>SDT</w:t>
      </w:r>
      <w:r w:rsidR="00E70555">
        <w:rPr>
          <w:rFonts w:ascii="Times New Roman" w:hAnsi="Times New Roman" w:cs="Times New Roman"/>
          <w:sz w:val="20"/>
          <w:szCs w:val="20"/>
        </w:rPr>
        <w:t>.  This is clearly quite inefficient.</w:t>
      </w:r>
    </w:p>
    <w:p w14:paraId="1249961D" w14:textId="6368292F" w:rsidR="0064642E" w:rsidRPr="00682C07" w:rsidRDefault="00030C56" w:rsidP="007B7719">
      <w:pPr>
        <w:pStyle w:val="ListParagraph"/>
        <w:numPr>
          <w:ilvl w:val="0"/>
          <w:numId w:val="25"/>
        </w:numPr>
        <w:jc w:val="both"/>
      </w:pPr>
      <w:r>
        <w:rPr>
          <w:rFonts w:ascii="Times New Roman" w:hAnsi="Times New Roman" w:cs="Times New Roman"/>
          <w:sz w:val="20"/>
          <w:szCs w:val="20"/>
        </w:rPr>
        <w:t>RoHC is n</w:t>
      </w:r>
      <w:r w:rsidR="00E70555">
        <w:rPr>
          <w:rFonts w:ascii="Times New Roman" w:hAnsi="Times New Roman" w:cs="Times New Roman"/>
          <w:sz w:val="20"/>
          <w:szCs w:val="20"/>
        </w:rPr>
        <w:t xml:space="preserve">ot reset for PUR </w:t>
      </w:r>
      <w:r w:rsidR="00102E1B">
        <w:rPr>
          <w:rFonts w:ascii="Times New Roman" w:hAnsi="Times New Roman" w:cs="Times New Roman"/>
          <w:sz w:val="20"/>
          <w:szCs w:val="20"/>
        </w:rPr>
        <w:t>but is</w:t>
      </w:r>
      <w:r w:rsidR="00E70555">
        <w:rPr>
          <w:rFonts w:ascii="Times New Roman" w:hAnsi="Times New Roman" w:cs="Times New Roman"/>
          <w:sz w:val="20"/>
          <w:szCs w:val="20"/>
        </w:rPr>
        <w:t xml:space="preserve"> reset for RACH</w:t>
      </w:r>
      <w:r w:rsidR="00102E1B">
        <w:rPr>
          <w:rFonts w:ascii="Times New Roman" w:hAnsi="Times New Roman" w:cs="Times New Roman"/>
          <w:sz w:val="20"/>
          <w:szCs w:val="20"/>
        </w:rPr>
        <w:t xml:space="preserve"> in each</w:t>
      </w:r>
      <w:r w:rsidR="00E70555">
        <w:rPr>
          <w:rFonts w:ascii="Times New Roman" w:hAnsi="Times New Roman" w:cs="Times New Roman"/>
          <w:sz w:val="20"/>
          <w:szCs w:val="20"/>
        </w:rPr>
        <w:t xml:space="preserve"> SDT</w:t>
      </w:r>
      <w:r w:rsidR="00996C2D">
        <w:rPr>
          <w:rFonts w:ascii="Times New Roman" w:hAnsi="Times New Roman" w:cs="Times New Roman"/>
          <w:sz w:val="20"/>
          <w:szCs w:val="20"/>
        </w:rPr>
        <w:t>.</w:t>
      </w:r>
    </w:p>
    <w:p w14:paraId="6B99E142" w14:textId="29D8E35E" w:rsidR="003C3949" w:rsidRPr="00682C07" w:rsidRDefault="00102E1B" w:rsidP="007B7719">
      <w:pPr>
        <w:pStyle w:val="ListParagraph"/>
        <w:numPr>
          <w:ilvl w:val="0"/>
          <w:numId w:val="25"/>
        </w:numPr>
        <w:jc w:val="both"/>
      </w:pPr>
      <w:r>
        <w:rPr>
          <w:rFonts w:ascii="Times New Roman" w:hAnsi="Times New Roman" w:cs="Times New Roman"/>
          <w:sz w:val="20"/>
          <w:szCs w:val="20"/>
        </w:rPr>
        <w:t>A n</w:t>
      </w:r>
      <w:r w:rsidR="0084751F">
        <w:rPr>
          <w:rFonts w:ascii="Times New Roman" w:hAnsi="Times New Roman" w:cs="Times New Roman"/>
          <w:sz w:val="20"/>
          <w:szCs w:val="20"/>
        </w:rPr>
        <w:t>etwork</w:t>
      </w:r>
      <w:r>
        <w:rPr>
          <w:rFonts w:ascii="Times New Roman" w:hAnsi="Times New Roman" w:cs="Times New Roman"/>
          <w:sz w:val="20"/>
          <w:szCs w:val="20"/>
        </w:rPr>
        <w:t xml:space="preserve"> based</w:t>
      </w:r>
      <w:r w:rsidR="0084751F">
        <w:rPr>
          <w:rFonts w:ascii="Times New Roman" w:hAnsi="Times New Roman" w:cs="Times New Roman"/>
          <w:sz w:val="20"/>
          <w:szCs w:val="20"/>
        </w:rPr>
        <w:t xml:space="preserve"> solution</w:t>
      </w:r>
      <w:r>
        <w:rPr>
          <w:rFonts w:ascii="Times New Roman" w:hAnsi="Times New Roman" w:cs="Times New Roman"/>
          <w:sz w:val="20"/>
          <w:szCs w:val="20"/>
        </w:rPr>
        <w:t xml:space="preserve"> is adopted</w:t>
      </w:r>
      <w:r w:rsidR="0043202A">
        <w:rPr>
          <w:rFonts w:ascii="Times New Roman" w:hAnsi="Times New Roman" w:cs="Times New Roman"/>
          <w:sz w:val="20"/>
          <w:szCs w:val="20"/>
        </w:rPr>
        <w:t xml:space="preserve">, such as RoHC relocation, </w:t>
      </w:r>
      <w:r w:rsidR="00C86C4E">
        <w:rPr>
          <w:rFonts w:ascii="Times New Roman" w:hAnsi="Times New Roman" w:cs="Times New Roman"/>
          <w:sz w:val="20"/>
          <w:szCs w:val="20"/>
        </w:rPr>
        <w:t>handling in anchor node</w:t>
      </w:r>
      <w:r w:rsidR="00C012A5">
        <w:rPr>
          <w:rFonts w:ascii="Times New Roman" w:hAnsi="Times New Roman" w:cs="Times New Roman"/>
          <w:sz w:val="20"/>
          <w:szCs w:val="20"/>
        </w:rPr>
        <w:t>, aligning RNA with CU-UP boundary</w:t>
      </w:r>
      <w:r w:rsidR="00C86C4E">
        <w:rPr>
          <w:rFonts w:ascii="Times New Roman" w:hAnsi="Times New Roman" w:cs="Times New Roman"/>
          <w:sz w:val="20"/>
          <w:szCs w:val="20"/>
        </w:rPr>
        <w:t xml:space="preserve"> can be considered</w:t>
      </w:r>
      <w:r w:rsidR="005C4C69">
        <w:rPr>
          <w:rFonts w:ascii="Times New Roman" w:hAnsi="Times New Roman" w:cs="Times New Roman"/>
          <w:sz w:val="20"/>
          <w:szCs w:val="20"/>
        </w:rPr>
        <w:t>.</w:t>
      </w:r>
    </w:p>
    <w:p w14:paraId="1482E65E" w14:textId="13986B0B" w:rsidR="003F416C" w:rsidRDefault="003F416C" w:rsidP="003F416C">
      <w:pPr>
        <w:pStyle w:val="Proposal"/>
        <w:numPr>
          <w:ilvl w:val="0"/>
          <w:numId w:val="4"/>
        </w:numPr>
      </w:pPr>
      <w:bookmarkStart w:id="58" w:name="_Toc47509111"/>
      <w:bookmarkStart w:id="59" w:name="_Toc47511193"/>
      <w:bookmarkStart w:id="60" w:name="_Toc47530513"/>
      <w:bookmarkStart w:id="61" w:name="_Toc47610499"/>
      <w:bookmarkStart w:id="62" w:name="_Toc47611554"/>
      <w:bookmarkStart w:id="63" w:name="_Toc47621249"/>
      <w:bookmarkStart w:id="64" w:name="_Toc47477860"/>
      <w:bookmarkStart w:id="65" w:name="_Toc47622864"/>
      <w:r>
        <w:t xml:space="preserve">For a UE in RRC_INACTIVE supporting SDT mechanism, </w:t>
      </w:r>
      <w:r w:rsidRPr="00AE2675">
        <w:t xml:space="preserve">to discuss </w:t>
      </w:r>
      <w:r w:rsidR="00FC4389" w:rsidRPr="00AE2675">
        <w:t xml:space="preserve">further </w:t>
      </w:r>
      <w:r w:rsidRPr="00AE2675">
        <w:t xml:space="preserve">the handling of the </w:t>
      </w:r>
      <w:r w:rsidR="00F75D8A" w:rsidRPr="00A24E6B">
        <w:t>RoHC</w:t>
      </w:r>
      <w:r w:rsidR="004D383C" w:rsidRPr="00A24E6B">
        <w:t xml:space="preserve"> considering option (1) RoHC is reset in each S</w:t>
      </w:r>
      <w:r w:rsidR="00102E1B" w:rsidRPr="00A24E6B">
        <w:t>DT, option (2) RoHC is not reset for PUR but is reset for RACH in each SDT</w:t>
      </w:r>
      <w:r w:rsidR="00102E1B" w:rsidRPr="005E0875">
        <w:t xml:space="preserve">, and </w:t>
      </w:r>
      <w:r w:rsidR="00102E1B" w:rsidRPr="00C63907">
        <w:t>option (3) a network based solution is adopted (e.g.</w:t>
      </w:r>
      <w:r w:rsidR="00491E01" w:rsidRPr="004A6E26">
        <w:t xml:space="preserve"> considering</w:t>
      </w:r>
      <w:r w:rsidR="00102E1B" w:rsidRPr="004A6E26">
        <w:t xml:space="preserve"> RoHC relocation, handling in anchor node, aligning RNA with CU-UP boundary</w:t>
      </w:r>
      <w:r w:rsidR="00491E01" w:rsidRPr="004A6E26">
        <w:t>)</w:t>
      </w:r>
      <w:r w:rsidR="00C86C4E" w:rsidRPr="00AE2675">
        <w:t>.</w:t>
      </w:r>
      <w:bookmarkEnd w:id="58"/>
      <w:bookmarkEnd w:id="59"/>
      <w:bookmarkEnd w:id="60"/>
      <w:bookmarkEnd w:id="61"/>
      <w:bookmarkEnd w:id="62"/>
      <w:bookmarkEnd w:id="63"/>
      <w:bookmarkEnd w:id="65"/>
      <w:r>
        <w:t xml:space="preserve"> </w:t>
      </w:r>
      <w:bookmarkEnd w:id="64"/>
    </w:p>
    <w:p w14:paraId="5AEB6B5E" w14:textId="77777777" w:rsidR="003F416C" w:rsidRPr="007B7719" w:rsidRDefault="003F416C" w:rsidP="00867C8B">
      <w:pPr>
        <w:jc w:val="both"/>
        <w:rPr>
          <w:lang w:val="en-GB"/>
        </w:rPr>
      </w:pPr>
    </w:p>
    <w:p w14:paraId="48FD4DC4" w14:textId="121BEF64" w:rsidR="006A3F69" w:rsidRDefault="006A3F69" w:rsidP="006A3F69">
      <w:pPr>
        <w:pStyle w:val="Heading3"/>
      </w:pPr>
      <w:r>
        <w:t xml:space="preserve">End of SDT and handling of </w:t>
      </w:r>
      <w:r w:rsidR="00AB1AB5">
        <w:t xml:space="preserve">the radio bearer </w:t>
      </w:r>
      <w:r>
        <w:t xml:space="preserve">configuration </w:t>
      </w:r>
    </w:p>
    <w:p w14:paraId="3B415DE6" w14:textId="2D4CA269" w:rsidR="00877BD7" w:rsidRDefault="006A3F69" w:rsidP="00867C8B">
      <w:pPr>
        <w:jc w:val="both"/>
        <w:rPr>
          <w:lang w:val="en-GB"/>
        </w:rPr>
      </w:pPr>
      <w:r>
        <w:rPr>
          <w:lang w:val="en-GB"/>
        </w:rPr>
        <w:t xml:space="preserve">The end of the SDT is inter-related with the </w:t>
      </w:r>
      <w:r w:rsidR="00331CB7">
        <w:rPr>
          <w:lang w:val="en-GB"/>
        </w:rPr>
        <w:t xml:space="preserve">radio bearer configuration </w:t>
      </w:r>
      <w:r w:rsidR="00FB7A93">
        <w:rPr>
          <w:lang w:val="en-GB"/>
        </w:rPr>
        <w:t xml:space="preserve">topics and </w:t>
      </w:r>
      <w:r>
        <w:rPr>
          <w:lang w:val="en-GB"/>
        </w:rPr>
        <w:t>options discussed in</w:t>
      </w:r>
      <w:r w:rsidR="005F6A39">
        <w:rPr>
          <w:lang w:val="en-GB"/>
        </w:rPr>
        <w:t xml:space="preserve"> </w:t>
      </w:r>
      <w:r>
        <w:rPr>
          <w:lang w:val="en-GB"/>
        </w:rPr>
        <w:t xml:space="preserve">previous section </w:t>
      </w:r>
      <w:r>
        <w:rPr>
          <w:lang w:val="en-GB"/>
        </w:rPr>
        <w:fldChar w:fldCharType="begin"/>
      </w:r>
      <w:r>
        <w:rPr>
          <w:lang w:val="en-GB"/>
        </w:rPr>
        <w:instrText xml:space="preserve"> REF _Ref46870974 \n \h </w:instrText>
      </w:r>
      <w:r>
        <w:rPr>
          <w:lang w:val="en-GB"/>
        </w:rPr>
      </w:r>
      <w:r>
        <w:rPr>
          <w:lang w:val="en-GB"/>
        </w:rPr>
        <w:fldChar w:fldCharType="separate"/>
      </w:r>
      <w:r w:rsidR="00E2248A">
        <w:rPr>
          <w:lang w:val="en-GB"/>
        </w:rPr>
        <w:t>2.1.1</w:t>
      </w:r>
      <w:r>
        <w:rPr>
          <w:lang w:val="en-GB"/>
        </w:rPr>
        <w:fldChar w:fldCharType="end"/>
      </w:r>
      <w:r w:rsidR="00FD4F91">
        <w:rPr>
          <w:lang w:val="en-GB"/>
        </w:rPr>
        <w:t xml:space="preserve">. </w:t>
      </w:r>
      <w:r w:rsidR="005F6A39">
        <w:rPr>
          <w:lang w:val="en-GB"/>
        </w:rPr>
        <w:t xml:space="preserve">Therefore, this </w:t>
      </w:r>
      <w:r w:rsidR="00CF464F">
        <w:rPr>
          <w:lang w:val="en-GB"/>
        </w:rPr>
        <w:t xml:space="preserve">is not </w:t>
      </w:r>
      <w:r w:rsidR="005F6A39">
        <w:rPr>
          <w:lang w:val="en-GB"/>
        </w:rPr>
        <w:t xml:space="preserve">discussed </w:t>
      </w:r>
      <w:r w:rsidR="00BE7567">
        <w:rPr>
          <w:lang w:val="en-GB"/>
        </w:rPr>
        <w:t>here</w:t>
      </w:r>
      <w:r w:rsidR="00CF464F">
        <w:rPr>
          <w:lang w:val="en-GB"/>
        </w:rPr>
        <w:t xml:space="preserve"> </w:t>
      </w:r>
      <w:r w:rsidR="005F6A39">
        <w:rPr>
          <w:lang w:val="en-GB"/>
        </w:rPr>
        <w:t>again</w:t>
      </w:r>
      <w:r w:rsidR="00A82E0B">
        <w:rPr>
          <w:lang w:val="en-GB"/>
        </w:rPr>
        <w:t xml:space="preserve"> when discussing the end of the SDT mechanism</w:t>
      </w:r>
      <w:r w:rsidR="005F6A39">
        <w:rPr>
          <w:lang w:val="en-GB"/>
        </w:rPr>
        <w:t>.</w:t>
      </w:r>
    </w:p>
    <w:p w14:paraId="24B8B719" w14:textId="08AFD5A2" w:rsidR="00564BCD" w:rsidRPr="00564BCD" w:rsidRDefault="005F6A39" w:rsidP="00867C8B">
      <w:pPr>
        <w:jc w:val="both"/>
        <w:rPr>
          <w:lang w:val="en-GB"/>
        </w:rPr>
      </w:pPr>
      <w:r>
        <w:rPr>
          <w:lang w:val="en-GB"/>
        </w:rPr>
        <w:t>On other hand</w:t>
      </w:r>
      <w:r w:rsidR="00FD4F91">
        <w:rPr>
          <w:lang w:val="en-GB"/>
        </w:rPr>
        <w:t>,</w:t>
      </w:r>
      <w:r w:rsidR="006A3F69">
        <w:rPr>
          <w:lang w:val="en-GB"/>
        </w:rPr>
        <w:t xml:space="preserve"> there </w:t>
      </w:r>
      <w:r w:rsidR="00A4385F">
        <w:rPr>
          <w:lang w:val="en-GB"/>
        </w:rPr>
        <w:t>is</w:t>
      </w:r>
      <w:r w:rsidR="006A3F69">
        <w:rPr>
          <w:lang w:val="en-GB"/>
        </w:rPr>
        <w:t xml:space="preserve"> a need</w:t>
      </w:r>
      <w:r w:rsidR="00A4385F">
        <w:rPr>
          <w:lang w:val="en-GB"/>
        </w:rPr>
        <w:t xml:space="preserve"> to </w:t>
      </w:r>
      <w:r w:rsidR="00A4385F" w:rsidRPr="009D2F82">
        <w:rPr>
          <w:lang w:val="en-GB"/>
        </w:rPr>
        <w:t xml:space="preserve">discuss how/whether </w:t>
      </w:r>
      <w:r w:rsidR="004A104C" w:rsidRPr="00AE2675">
        <w:rPr>
          <w:lang w:val="en-GB"/>
        </w:rPr>
        <w:t xml:space="preserve">at the </w:t>
      </w:r>
      <w:r w:rsidR="00A4385F" w:rsidRPr="00AE2675">
        <w:rPr>
          <w:lang w:val="en-GB"/>
        </w:rPr>
        <w:t xml:space="preserve">end of the </w:t>
      </w:r>
      <w:r w:rsidR="004A104C" w:rsidRPr="00AE2675">
        <w:rPr>
          <w:lang w:val="en-GB"/>
        </w:rPr>
        <w:t>SDT</w:t>
      </w:r>
      <w:r w:rsidR="003505FB" w:rsidRPr="00AE2675">
        <w:rPr>
          <w:lang w:val="en-GB"/>
        </w:rPr>
        <w:t xml:space="preserve">, </w:t>
      </w:r>
      <w:r w:rsidR="004A104C" w:rsidRPr="00A24E6B">
        <w:rPr>
          <w:lang w:val="en-GB"/>
        </w:rPr>
        <w:t>any signaling (e.g.</w:t>
      </w:r>
      <w:r w:rsidR="00A4385F" w:rsidRPr="00A24E6B">
        <w:rPr>
          <w:lang w:val="en-GB"/>
        </w:rPr>
        <w:t xml:space="preserve"> </w:t>
      </w:r>
      <w:r w:rsidR="00A4385F" w:rsidRPr="00A24E6B">
        <w:rPr>
          <w:i/>
          <w:lang w:val="en-GB"/>
        </w:rPr>
        <w:t>RRCRelease</w:t>
      </w:r>
      <w:r w:rsidR="00A4385F" w:rsidRPr="00A24E6B">
        <w:rPr>
          <w:lang w:val="en-GB"/>
        </w:rPr>
        <w:t xml:space="preserve"> </w:t>
      </w:r>
      <w:r w:rsidR="004A104C" w:rsidRPr="00A24E6B">
        <w:rPr>
          <w:lang w:val="en-GB"/>
        </w:rPr>
        <w:t xml:space="preserve">message) </w:t>
      </w:r>
      <w:r w:rsidR="00A4385F" w:rsidRPr="009D2F82">
        <w:rPr>
          <w:lang w:val="en-GB"/>
        </w:rPr>
        <w:t>can</w:t>
      </w:r>
      <w:r w:rsidR="00B31A42" w:rsidRPr="009D2F82">
        <w:rPr>
          <w:lang w:val="en-GB"/>
        </w:rPr>
        <w:t>/should</w:t>
      </w:r>
      <w:r w:rsidR="00A4385F" w:rsidRPr="009D2F82">
        <w:rPr>
          <w:lang w:val="en-GB"/>
        </w:rPr>
        <w:t xml:space="preserve"> be sent multiple</w:t>
      </w:r>
      <w:r w:rsidR="004A104C" w:rsidRPr="009D2F82">
        <w:rPr>
          <w:lang w:val="en-GB"/>
        </w:rPr>
        <w:t>x</w:t>
      </w:r>
      <w:r w:rsidR="00A4385F" w:rsidRPr="009D2F82">
        <w:rPr>
          <w:lang w:val="en-GB"/>
        </w:rPr>
        <w:t xml:space="preserve">ed </w:t>
      </w:r>
      <w:r w:rsidR="00B31A42" w:rsidRPr="009D2F82">
        <w:rPr>
          <w:lang w:val="en-GB"/>
        </w:rPr>
        <w:t>or not</w:t>
      </w:r>
      <w:r w:rsidR="00A4385F" w:rsidRPr="009D2F82">
        <w:rPr>
          <w:lang w:val="en-GB"/>
        </w:rPr>
        <w:t xml:space="preserve"> with a last DL data</w:t>
      </w:r>
      <w:r w:rsidR="00CE0DE9" w:rsidRPr="009D2F82">
        <w:rPr>
          <w:lang w:val="en-GB"/>
        </w:rPr>
        <w:t>.</w:t>
      </w:r>
      <w:r w:rsidR="00FD4F91" w:rsidRPr="009D2F82">
        <w:rPr>
          <w:lang w:val="en-GB"/>
        </w:rPr>
        <w:t xml:space="preserve"> </w:t>
      </w:r>
      <w:r w:rsidR="001900C0" w:rsidRPr="009D2F82">
        <w:rPr>
          <w:lang w:val="en-GB"/>
        </w:rPr>
        <w:t xml:space="preserve"> LTE EDT always require</w:t>
      </w:r>
      <w:r w:rsidR="00A82E0B" w:rsidRPr="009D2F82">
        <w:rPr>
          <w:lang w:val="en-GB"/>
        </w:rPr>
        <w:t>s</w:t>
      </w:r>
      <w:r w:rsidR="001900C0" w:rsidRPr="009D2F82">
        <w:rPr>
          <w:lang w:val="en-GB"/>
        </w:rPr>
        <w:t xml:space="preserve"> that </w:t>
      </w:r>
      <w:r w:rsidR="0046266B" w:rsidRPr="009D2F82">
        <w:rPr>
          <w:lang w:val="en-GB"/>
        </w:rPr>
        <w:t>the DL data and RRC message are multiplexed and sent together</w:t>
      </w:r>
      <w:r w:rsidR="007862BE" w:rsidRPr="009D2F82">
        <w:rPr>
          <w:lang w:val="en-GB"/>
        </w:rPr>
        <w:t>.  In NR, the RRC message</w:t>
      </w:r>
      <w:r w:rsidR="007862BE">
        <w:rPr>
          <w:lang w:val="en-GB"/>
        </w:rPr>
        <w:t xml:space="preserve"> comes from the CU-CP and data from CU-UP.  </w:t>
      </w:r>
      <w:r w:rsidR="00A82E0B">
        <w:rPr>
          <w:lang w:val="en-GB"/>
        </w:rPr>
        <w:t xml:space="preserve"> </w:t>
      </w:r>
      <w:r w:rsidR="00D0378A" w:rsidRPr="00D0378A">
        <w:rPr>
          <w:lang w:val="en-GB"/>
        </w:rPr>
        <w:fldChar w:fldCharType="begin"/>
      </w:r>
      <w:r w:rsidR="00D0378A" w:rsidRPr="00D0378A">
        <w:rPr>
          <w:lang w:val="en-GB"/>
        </w:rPr>
        <w:instrText xml:space="preserve"> REF _Ref46871722 \h  \* MERGEFORMAT </w:instrText>
      </w:r>
      <w:r w:rsidR="00D0378A" w:rsidRPr="00D0378A">
        <w:rPr>
          <w:lang w:val="en-GB"/>
        </w:rPr>
      </w:r>
      <w:r w:rsidR="00D0378A" w:rsidRPr="00D0378A">
        <w:rPr>
          <w:lang w:val="en-GB"/>
        </w:rPr>
        <w:fldChar w:fldCharType="separate"/>
      </w:r>
      <w:r w:rsidR="00E2248A" w:rsidRPr="00D7008B">
        <w:t xml:space="preserve">Figure </w:t>
      </w:r>
      <w:r w:rsidR="00E2248A" w:rsidRPr="00F31A99">
        <w:rPr>
          <w:noProof/>
        </w:rPr>
        <w:t>4</w:t>
      </w:r>
      <w:r w:rsidR="00D0378A" w:rsidRPr="00D0378A">
        <w:rPr>
          <w:lang w:val="en-GB"/>
        </w:rPr>
        <w:fldChar w:fldCharType="end"/>
      </w:r>
      <w:r w:rsidR="0020581F">
        <w:rPr>
          <w:lang w:val="en-GB"/>
        </w:rPr>
        <w:t xml:space="preserve"> shows how the DU receives the </w:t>
      </w:r>
      <w:proofErr w:type="spellStart"/>
      <w:r w:rsidR="0020581F" w:rsidRPr="00E42E0E">
        <w:rPr>
          <w:i/>
          <w:iCs/>
          <w:lang w:val="en-GB"/>
        </w:rPr>
        <w:t>RRCRelease</w:t>
      </w:r>
      <w:proofErr w:type="spellEnd"/>
      <w:r w:rsidR="0020581F">
        <w:rPr>
          <w:lang w:val="en-GB"/>
        </w:rPr>
        <w:t xml:space="preserve"> message from CU-CP vs the DL data that comes from the </w:t>
      </w:r>
      <w:r w:rsidR="002C4239">
        <w:rPr>
          <w:lang w:val="en-GB"/>
        </w:rPr>
        <w:t>C</w:t>
      </w:r>
      <w:r w:rsidR="0020581F">
        <w:rPr>
          <w:lang w:val="en-GB"/>
        </w:rPr>
        <w:t>U-</w:t>
      </w:r>
      <w:r w:rsidR="0020581F" w:rsidRPr="00AE2675">
        <w:rPr>
          <w:lang w:val="en-GB"/>
        </w:rPr>
        <w:t>UP. Therefore</w:t>
      </w:r>
      <w:r w:rsidR="002C4239" w:rsidRPr="00AE2675">
        <w:rPr>
          <w:lang w:val="en-GB"/>
        </w:rPr>
        <w:t xml:space="preserve">, the DU may not know when to hold the data </w:t>
      </w:r>
      <w:r w:rsidR="00070F5C" w:rsidRPr="0043461F">
        <w:rPr>
          <w:lang w:val="en-GB"/>
        </w:rPr>
        <w:t xml:space="preserve">or </w:t>
      </w:r>
      <w:r w:rsidR="002C4239" w:rsidRPr="0043461F">
        <w:rPr>
          <w:lang w:val="en-GB"/>
        </w:rPr>
        <w:t xml:space="preserve">the </w:t>
      </w:r>
      <w:r w:rsidR="00D66CE4" w:rsidRPr="00A24E6B">
        <w:rPr>
          <w:i/>
          <w:lang w:val="en-GB"/>
        </w:rPr>
        <w:t>RRCRelease</w:t>
      </w:r>
      <w:r w:rsidR="00D66CE4" w:rsidRPr="00A24E6B">
        <w:rPr>
          <w:lang w:val="en-GB"/>
        </w:rPr>
        <w:t xml:space="preserve"> </w:t>
      </w:r>
      <w:r w:rsidR="00BB2847" w:rsidRPr="00A24E6B">
        <w:rPr>
          <w:lang w:val="en-GB"/>
        </w:rPr>
        <w:t xml:space="preserve">message that </w:t>
      </w:r>
      <w:r w:rsidR="00D66CE4" w:rsidRPr="00A24E6B">
        <w:rPr>
          <w:lang w:val="en-GB"/>
        </w:rPr>
        <w:t xml:space="preserve">could arrive </w:t>
      </w:r>
      <w:r w:rsidR="00CF03BD" w:rsidRPr="00A24E6B">
        <w:rPr>
          <w:lang w:val="en-GB"/>
        </w:rPr>
        <w:t xml:space="preserve">in different order </w:t>
      </w:r>
      <w:r w:rsidR="00BB2847" w:rsidRPr="00A24E6B">
        <w:rPr>
          <w:lang w:val="en-GB"/>
        </w:rPr>
        <w:t xml:space="preserve">at the DU </w:t>
      </w:r>
      <w:r w:rsidR="00872917" w:rsidRPr="00A24E6B">
        <w:rPr>
          <w:lang w:val="en-GB"/>
        </w:rPr>
        <w:t xml:space="preserve">in order to multiplex them.  Or worse </w:t>
      </w:r>
      <w:r w:rsidR="00425DF3" w:rsidRPr="00A24E6B">
        <w:rPr>
          <w:lang w:val="en-GB"/>
        </w:rPr>
        <w:t xml:space="preserve">the </w:t>
      </w:r>
      <w:r w:rsidR="00D66CE4" w:rsidRPr="00DD22C0">
        <w:rPr>
          <w:lang w:val="en-GB"/>
        </w:rPr>
        <w:t xml:space="preserve">last </w:t>
      </w:r>
      <w:r w:rsidR="00070F5C" w:rsidRPr="00DD22C0">
        <w:rPr>
          <w:lang w:val="en-GB"/>
        </w:rPr>
        <w:t xml:space="preserve">optional </w:t>
      </w:r>
      <w:r w:rsidR="00D66CE4" w:rsidRPr="00DD22C0">
        <w:rPr>
          <w:lang w:val="en-GB"/>
        </w:rPr>
        <w:t>DL data</w:t>
      </w:r>
      <w:r w:rsidR="00CF03BD" w:rsidRPr="00DD22C0">
        <w:rPr>
          <w:lang w:val="en-GB"/>
        </w:rPr>
        <w:t xml:space="preserve"> may not </w:t>
      </w:r>
      <w:r w:rsidR="001833C5" w:rsidRPr="00DD22C0">
        <w:rPr>
          <w:lang w:val="en-GB"/>
        </w:rPr>
        <w:t xml:space="preserve">even </w:t>
      </w:r>
      <w:r w:rsidR="00CF03BD" w:rsidRPr="00DD22C0">
        <w:rPr>
          <w:lang w:val="en-GB"/>
        </w:rPr>
        <w:t>be present</w:t>
      </w:r>
      <w:r w:rsidR="00D66CE4" w:rsidRPr="00DD22C0">
        <w:rPr>
          <w:lang w:val="en-GB"/>
        </w:rPr>
        <w:t xml:space="preserve">. </w:t>
      </w:r>
    </w:p>
    <w:p w14:paraId="19BB169A" w14:textId="245F9022" w:rsidR="00FD4F91" w:rsidRDefault="006D5A8D" w:rsidP="00FD4F91">
      <w:pPr>
        <w:keepNext/>
        <w:spacing w:after="0"/>
        <w:jc w:val="both"/>
      </w:pPr>
      <w:r w:rsidRPr="006C7AAB">
        <w:rPr>
          <w:rFonts w:cstheme="minorHAnsi"/>
        </w:rPr>
        <w:object w:dxaOrig="13549" w:dyaOrig="4356" w14:anchorId="7386E98F">
          <v:shape id="_x0000_i1028" type="#_x0000_t75" style="width:441.05pt;height:142.1pt" o:ole="">
            <v:imagedata r:id="rId15" o:title=""/>
          </v:shape>
          <o:OLEObject Type="Embed" ProgID="Visio.Drawing.15" ShapeID="_x0000_i1028" DrawAspect="Content" ObjectID="_1658235912" r:id="rId16"/>
        </w:object>
      </w:r>
    </w:p>
    <w:p w14:paraId="395ECAF7" w14:textId="5CCC1EA7" w:rsidR="00FD4F91" w:rsidRPr="007B7719" w:rsidRDefault="00FD4F91" w:rsidP="00FD4F91">
      <w:pPr>
        <w:pStyle w:val="Caption"/>
        <w:spacing w:after="240"/>
        <w:jc w:val="center"/>
        <w:rPr>
          <w:i w:val="0"/>
          <w:iCs w:val="0"/>
          <w:color w:val="auto"/>
          <w:sz w:val="20"/>
          <w:szCs w:val="20"/>
        </w:rPr>
      </w:pPr>
      <w:bookmarkStart w:id="66" w:name="_Ref46871722"/>
      <w:r w:rsidRPr="00D7008B">
        <w:rPr>
          <w:i w:val="0"/>
          <w:iCs w:val="0"/>
          <w:color w:val="auto"/>
          <w:sz w:val="20"/>
          <w:szCs w:val="20"/>
        </w:rPr>
        <w:t xml:space="preserve">Figure </w:t>
      </w:r>
      <w:r w:rsidRPr="00D7008B">
        <w:rPr>
          <w:i w:val="0"/>
          <w:iCs w:val="0"/>
          <w:color w:val="auto"/>
          <w:sz w:val="20"/>
          <w:szCs w:val="20"/>
        </w:rPr>
        <w:fldChar w:fldCharType="begin"/>
      </w:r>
      <w:r w:rsidRPr="00D7008B">
        <w:rPr>
          <w:i w:val="0"/>
          <w:iCs w:val="0"/>
          <w:color w:val="auto"/>
          <w:sz w:val="20"/>
          <w:szCs w:val="20"/>
        </w:rPr>
        <w:instrText xml:space="preserve"> SEQ Figure \* ARABIC </w:instrText>
      </w:r>
      <w:r w:rsidRPr="00D7008B">
        <w:rPr>
          <w:i w:val="0"/>
          <w:iCs w:val="0"/>
          <w:color w:val="auto"/>
          <w:sz w:val="20"/>
          <w:szCs w:val="20"/>
        </w:rPr>
        <w:fldChar w:fldCharType="separate"/>
      </w:r>
      <w:r w:rsidR="00E2248A">
        <w:rPr>
          <w:i w:val="0"/>
          <w:iCs w:val="0"/>
          <w:noProof/>
          <w:color w:val="auto"/>
          <w:sz w:val="20"/>
          <w:szCs w:val="20"/>
        </w:rPr>
        <w:t>4</w:t>
      </w:r>
      <w:r w:rsidRPr="00D7008B">
        <w:rPr>
          <w:i w:val="0"/>
          <w:iCs w:val="0"/>
          <w:color w:val="auto"/>
          <w:sz w:val="20"/>
          <w:szCs w:val="20"/>
        </w:rPr>
        <w:fldChar w:fldCharType="end"/>
      </w:r>
      <w:bookmarkEnd w:id="66"/>
      <w:r w:rsidRPr="00D7008B">
        <w:rPr>
          <w:i w:val="0"/>
          <w:iCs w:val="0"/>
          <w:color w:val="auto"/>
          <w:sz w:val="20"/>
          <w:szCs w:val="20"/>
        </w:rPr>
        <w:t xml:space="preserve">. </w:t>
      </w:r>
      <w:r w:rsidR="00DB5BB6">
        <w:rPr>
          <w:i w:val="0"/>
          <w:iCs w:val="0"/>
          <w:color w:val="auto"/>
          <w:sz w:val="20"/>
          <w:szCs w:val="20"/>
        </w:rPr>
        <w:t xml:space="preserve">End of </w:t>
      </w:r>
      <w:r>
        <w:rPr>
          <w:i w:val="0"/>
          <w:iCs w:val="0"/>
          <w:color w:val="auto"/>
          <w:sz w:val="20"/>
          <w:szCs w:val="20"/>
        </w:rPr>
        <w:t>SDT</w:t>
      </w:r>
      <w:r w:rsidR="00DB5BB6">
        <w:rPr>
          <w:i w:val="0"/>
          <w:iCs w:val="0"/>
          <w:color w:val="auto"/>
          <w:sz w:val="20"/>
          <w:szCs w:val="20"/>
        </w:rPr>
        <w:t xml:space="preserve"> mechanism multiplexing </w:t>
      </w:r>
      <w:r w:rsidR="00DB5BB6" w:rsidRPr="00E42E0E">
        <w:rPr>
          <w:color w:val="auto"/>
          <w:sz w:val="20"/>
          <w:szCs w:val="20"/>
        </w:rPr>
        <w:t>RRCRelease</w:t>
      </w:r>
      <w:r w:rsidR="00DB5BB6">
        <w:rPr>
          <w:i w:val="0"/>
          <w:iCs w:val="0"/>
          <w:color w:val="auto"/>
          <w:sz w:val="20"/>
          <w:szCs w:val="20"/>
        </w:rPr>
        <w:t xml:space="preserve"> </w:t>
      </w:r>
      <w:r w:rsidR="00F51F9F">
        <w:rPr>
          <w:i w:val="0"/>
          <w:iCs w:val="0"/>
          <w:color w:val="auto"/>
          <w:sz w:val="20"/>
          <w:szCs w:val="20"/>
        </w:rPr>
        <w:t xml:space="preserve">and DL </w:t>
      </w:r>
      <w:r w:rsidR="00F51F9F" w:rsidRPr="007B7719">
        <w:rPr>
          <w:i w:val="0"/>
          <w:iCs w:val="0"/>
          <w:color w:val="auto"/>
          <w:sz w:val="20"/>
          <w:szCs w:val="20"/>
        </w:rPr>
        <w:t>data</w:t>
      </w:r>
      <w:r w:rsidR="00DB5BB6" w:rsidRPr="007B7719">
        <w:rPr>
          <w:i w:val="0"/>
          <w:iCs w:val="0"/>
          <w:color w:val="auto"/>
          <w:sz w:val="20"/>
          <w:szCs w:val="20"/>
        </w:rPr>
        <w:t xml:space="preserve"> provided by CU-CP </w:t>
      </w:r>
      <w:r w:rsidR="0043461F" w:rsidRPr="007B7719">
        <w:rPr>
          <w:i w:val="0"/>
          <w:iCs w:val="0"/>
          <w:color w:val="auto"/>
          <w:sz w:val="20"/>
          <w:szCs w:val="20"/>
        </w:rPr>
        <w:t xml:space="preserve">/ </w:t>
      </w:r>
      <w:r w:rsidR="00F51F9F" w:rsidRPr="007B7719">
        <w:rPr>
          <w:i w:val="0"/>
          <w:iCs w:val="0"/>
          <w:color w:val="auto"/>
          <w:sz w:val="20"/>
          <w:szCs w:val="20"/>
        </w:rPr>
        <w:t>CU-UP respectively.</w:t>
      </w:r>
    </w:p>
    <w:p w14:paraId="58710BA3" w14:textId="6379A857" w:rsidR="00770C86" w:rsidRPr="00E2248A" w:rsidRDefault="00770C86" w:rsidP="00770C86">
      <w:pPr>
        <w:jc w:val="both"/>
        <w:rPr>
          <w:lang w:val="en-GB"/>
        </w:rPr>
      </w:pPr>
      <w:bookmarkStart w:id="67" w:name="_Toc46872463"/>
      <w:bookmarkStart w:id="68" w:name="_Toc46872486"/>
      <w:bookmarkStart w:id="69" w:name="_Toc47217820"/>
      <w:bookmarkStart w:id="70" w:name="_Toc47348540"/>
      <w:bookmarkStart w:id="71" w:name="_Toc47376829"/>
      <w:bookmarkStart w:id="72" w:name="_Toc47477861"/>
      <w:bookmarkStart w:id="73" w:name="_Toc47509112"/>
      <w:bookmarkStart w:id="74" w:name="_Toc47511194"/>
      <w:r w:rsidRPr="007B7719">
        <w:rPr>
          <w:lang w:val="en-GB"/>
        </w:rPr>
        <w:t xml:space="preserve">As proposed in </w:t>
      </w:r>
      <w:r w:rsidRPr="007B7719">
        <w:rPr>
          <w:lang w:val="en-GB"/>
        </w:rPr>
        <w:fldChar w:fldCharType="begin"/>
      </w:r>
      <w:r w:rsidRPr="007B7719">
        <w:rPr>
          <w:lang w:val="en-GB"/>
        </w:rPr>
        <w:instrText xml:space="preserve"> REF _Ref46757011 \r \h </w:instrText>
      </w:r>
      <w:r w:rsidR="007B7719">
        <w:rPr>
          <w:lang w:val="en-GB"/>
        </w:rPr>
        <w:instrText xml:space="preserve"> \* MERGEFORMAT </w:instrText>
      </w:r>
      <w:r w:rsidRPr="007B7719">
        <w:rPr>
          <w:lang w:val="en-GB"/>
        </w:rPr>
      </w:r>
      <w:r w:rsidRPr="007B7719">
        <w:rPr>
          <w:lang w:val="en-GB"/>
        </w:rPr>
        <w:fldChar w:fldCharType="separate"/>
      </w:r>
      <w:r w:rsidR="00E2248A">
        <w:rPr>
          <w:lang w:val="en-GB"/>
        </w:rPr>
        <w:t>[2]</w:t>
      </w:r>
      <w:r w:rsidRPr="007B7719">
        <w:rPr>
          <w:lang w:val="en-GB"/>
        </w:rPr>
        <w:fldChar w:fldCharType="end"/>
      </w:r>
      <w:r w:rsidRPr="007B7719">
        <w:rPr>
          <w:lang w:val="en-GB"/>
        </w:rPr>
        <w:t xml:space="preserve">, considering there may be more than one data packet exchanged in one SDT, NR should </w:t>
      </w:r>
      <w:r w:rsidR="0030316E" w:rsidRPr="00F31A99">
        <w:rPr>
          <w:lang w:val="en-GB"/>
        </w:rPr>
        <w:t>also</w:t>
      </w:r>
      <w:r w:rsidR="0030316E" w:rsidRPr="007B7719">
        <w:rPr>
          <w:lang w:val="en-GB"/>
        </w:rPr>
        <w:t xml:space="preserve"> </w:t>
      </w:r>
      <w:r w:rsidRPr="00E2248A">
        <w:rPr>
          <w:lang w:val="en-GB"/>
        </w:rPr>
        <w:t xml:space="preserve">support sending RRC release and DL data separately.  </w:t>
      </w:r>
    </w:p>
    <w:p w14:paraId="68FB6F85" w14:textId="160155CF" w:rsidR="00BD361C" w:rsidRPr="00F31A99" w:rsidRDefault="00D0378A" w:rsidP="009A3947">
      <w:pPr>
        <w:pStyle w:val="Proposal"/>
        <w:numPr>
          <w:ilvl w:val="0"/>
          <w:numId w:val="4"/>
        </w:numPr>
      </w:pPr>
      <w:bookmarkStart w:id="75" w:name="_Toc47530514"/>
      <w:bookmarkStart w:id="76" w:name="_Toc47610500"/>
      <w:bookmarkStart w:id="77" w:name="_Toc47611555"/>
      <w:bookmarkStart w:id="78" w:name="_Toc47621250"/>
      <w:bookmarkStart w:id="79" w:name="_Toc47622865"/>
      <w:r w:rsidRPr="00E2248A">
        <w:t>When ending</w:t>
      </w:r>
      <w:r w:rsidRPr="00F31A99">
        <w:t xml:space="preserve"> SDT-RACH mechanism, </w:t>
      </w:r>
      <w:r w:rsidR="00D65C79" w:rsidRPr="00F31A99">
        <w:t xml:space="preserve">it should be </w:t>
      </w:r>
      <w:r w:rsidR="000402FC" w:rsidRPr="00F31A99">
        <w:t>possible</w:t>
      </w:r>
      <w:r w:rsidR="007C4DFD" w:rsidRPr="00F31A99">
        <w:t xml:space="preserve"> </w:t>
      </w:r>
      <w:r w:rsidR="00004D3E" w:rsidRPr="00F31A99">
        <w:t xml:space="preserve">to send </w:t>
      </w:r>
      <w:r w:rsidR="000402FC" w:rsidRPr="00F31A99">
        <w:t>last</w:t>
      </w:r>
      <w:r w:rsidR="00194371" w:rsidRPr="00F31A99">
        <w:t xml:space="preserve"> SDT</w:t>
      </w:r>
      <w:r w:rsidR="000402FC" w:rsidRPr="00F31A99">
        <w:t xml:space="preserve"> signaling (e.g. </w:t>
      </w:r>
      <w:r w:rsidR="000402FC" w:rsidRPr="00F31A99">
        <w:rPr>
          <w:i/>
          <w:iCs/>
        </w:rPr>
        <w:t>RRCRelease</w:t>
      </w:r>
      <w:r w:rsidR="000402FC" w:rsidRPr="00F31A99">
        <w:t xml:space="preserve"> message) </w:t>
      </w:r>
      <w:r w:rsidR="00004D3E" w:rsidRPr="00F31A99">
        <w:t xml:space="preserve">separately </w:t>
      </w:r>
      <w:r w:rsidR="00E46D8F" w:rsidRPr="00F31A99">
        <w:t xml:space="preserve">or together </w:t>
      </w:r>
      <w:r w:rsidR="006F0FCC" w:rsidRPr="00F31A99">
        <w:t>with</w:t>
      </w:r>
      <w:r w:rsidR="00004D3E" w:rsidRPr="00F31A99">
        <w:t xml:space="preserve"> </w:t>
      </w:r>
      <w:r w:rsidRPr="00F31A99">
        <w:t xml:space="preserve">the last DL </w:t>
      </w:r>
      <w:bookmarkEnd w:id="67"/>
      <w:bookmarkEnd w:id="68"/>
      <w:r w:rsidR="00B20A19" w:rsidRPr="00F31A99">
        <w:t>data.</w:t>
      </w:r>
      <w:bookmarkEnd w:id="69"/>
      <w:bookmarkEnd w:id="70"/>
      <w:bookmarkEnd w:id="71"/>
      <w:bookmarkEnd w:id="72"/>
      <w:bookmarkEnd w:id="73"/>
      <w:bookmarkEnd w:id="74"/>
      <w:bookmarkEnd w:id="75"/>
      <w:bookmarkEnd w:id="76"/>
      <w:bookmarkEnd w:id="77"/>
      <w:bookmarkEnd w:id="78"/>
      <w:bookmarkEnd w:id="79"/>
      <w:r w:rsidRPr="00F31A99">
        <w:t xml:space="preserve"> </w:t>
      </w:r>
      <w:bookmarkStart w:id="80" w:name="_Toc46872464"/>
      <w:bookmarkEnd w:id="80"/>
    </w:p>
    <w:p w14:paraId="329F682D" w14:textId="77777777" w:rsidR="00EB410E" w:rsidRPr="00B3102E" w:rsidRDefault="00EB410E" w:rsidP="00F31A99">
      <w:pPr>
        <w:spacing w:after="0"/>
        <w:rPr>
          <w:lang w:eastAsia="x-none"/>
        </w:rPr>
      </w:pPr>
      <w:bookmarkStart w:id="81" w:name="_Toc463058201"/>
      <w:bookmarkStart w:id="82" w:name="_Toc463058245"/>
      <w:bookmarkStart w:id="83" w:name="_Toc463058202"/>
      <w:bookmarkStart w:id="84" w:name="_Toc463058246"/>
      <w:bookmarkStart w:id="85" w:name="_Toc463058203"/>
      <w:bookmarkStart w:id="86" w:name="_Toc463058247"/>
      <w:bookmarkStart w:id="87" w:name="_Toc465992504"/>
      <w:bookmarkStart w:id="88" w:name="_Toc465993063"/>
      <w:bookmarkStart w:id="89" w:name="_Toc465993086"/>
      <w:bookmarkEnd w:id="81"/>
      <w:bookmarkEnd w:id="82"/>
      <w:bookmarkEnd w:id="83"/>
      <w:bookmarkEnd w:id="84"/>
      <w:bookmarkEnd w:id="85"/>
      <w:bookmarkEnd w:id="86"/>
      <w:bookmarkEnd w:id="87"/>
      <w:bookmarkEnd w:id="88"/>
      <w:bookmarkEnd w:id="89"/>
    </w:p>
    <w:p w14:paraId="335B3198" w14:textId="6CCAEBD9" w:rsidR="00867C8B" w:rsidRDefault="00FF4462" w:rsidP="00867C8B">
      <w:pPr>
        <w:pStyle w:val="Heading2"/>
      </w:pPr>
      <w:bookmarkStart w:id="90" w:name="_Ref47217559"/>
      <w:r>
        <w:t xml:space="preserve">Handling when </w:t>
      </w:r>
      <w:r w:rsidR="00AB6C27">
        <w:t xml:space="preserve">UE Context is </w:t>
      </w:r>
      <w:r w:rsidR="00AB6C27" w:rsidRPr="00AB6C27">
        <w:rPr>
          <w:u w:val="single"/>
        </w:rPr>
        <w:t>not</w:t>
      </w:r>
      <w:r w:rsidR="00AB6C27">
        <w:t xml:space="preserve"> relocated from anchor gNB</w:t>
      </w:r>
      <w:bookmarkEnd w:id="90"/>
    </w:p>
    <w:p w14:paraId="5AF1E5A7" w14:textId="246D5BCC" w:rsidR="00AB6C27" w:rsidRDefault="00D0472B" w:rsidP="00AB6C27">
      <w:pPr>
        <w:jc w:val="both"/>
      </w:pPr>
      <w:r w:rsidRPr="00D0472B">
        <w:t>When SDT is performed</w:t>
      </w:r>
      <w:r w:rsidR="00F52B65">
        <w:t xml:space="preserve"> in a different cell </w:t>
      </w:r>
      <w:r w:rsidR="00AE4045">
        <w:t xml:space="preserve">than where </w:t>
      </w:r>
      <w:r w:rsidR="00F52B65">
        <w:t xml:space="preserve">the UE context is stored </w:t>
      </w:r>
      <w:r w:rsidR="00AD7510">
        <w:t xml:space="preserve">and </w:t>
      </w:r>
      <w:r w:rsidRPr="00D0472B">
        <w:t>UE Context relocation</w:t>
      </w:r>
      <w:r w:rsidR="00F52B65">
        <w:t xml:space="preserve"> is not perform</w:t>
      </w:r>
      <w:r w:rsidR="00D9214A">
        <w:t>ed</w:t>
      </w:r>
      <w:r w:rsidRPr="00D0472B">
        <w:t xml:space="preserve">, </w:t>
      </w:r>
      <w:r>
        <w:t xml:space="preserve">different approaches are possible </w:t>
      </w:r>
      <w:r w:rsidR="00D9214A">
        <w:t>to</w:t>
      </w:r>
      <w:r>
        <w:t xml:space="preserve"> handl</w:t>
      </w:r>
      <w:r w:rsidR="00D9214A">
        <w:t>e this</w:t>
      </w:r>
      <w:r>
        <w:t>:</w:t>
      </w:r>
    </w:p>
    <w:p w14:paraId="7BA354BB" w14:textId="126775B5" w:rsidR="00D0472B" w:rsidRPr="007B7719" w:rsidRDefault="00D0472B" w:rsidP="00D0472B">
      <w:pPr>
        <w:pStyle w:val="ListParagraph"/>
        <w:numPr>
          <w:ilvl w:val="0"/>
          <w:numId w:val="18"/>
        </w:numPr>
        <w:spacing w:after="60"/>
        <w:contextualSpacing w:val="0"/>
        <w:jc w:val="both"/>
        <w:rPr>
          <w:rFonts w:ascii="Times New Roman" w:hAnsi="Times New Roman" w:cs="Times New Roman"/>
          <w:sz w:val="20"/>
          <w:szCs w:val="20"/>
        </w:rPr>
      </w:pPr>
      <w:r w:rsidRPr="00D0472B">
        <w:rPr>
          <w:rFonts w:ascii="Times New Roman" w:hAnsi="Times New Roman" w:cs="Times New Roman"/>
          <w:sz w:val="20"/>
          <w:szCs w:val="20"/>
        </w:rPr>
        <w:t xml:space="preserve"> </w:t>
      </w:r>
      <w:r>
        <w:rPr>
          <w:rFonts w:ascii="Times New Roman" w:hAnsi="Times New Roman" w:cs="Times New Roman"/>
          <w:sz w:val="20"/>
          <w:szCs w:val="20"/>
        </w:rPr>
        <w:t>C</w:t>
      </w:r>
      <w:r w:rsidRPr="00D0472B">
        <w:rPr>
          <w:rFonts w:ascii="Times New Roman" w:hAnsi="Times New Roman" w:cs="Times New Roman"/>
          <w:sz w:val="20"/>
          <w:szCs w:val="20"/>
        </w:rPr>
        <w:t xml:space="preserve">urrent </w:t>
      </w:r>
      <w:r w:rsidRPr="007B7719">
        <w:rPr>
          <w:rFonts w:ascii="Times New Roman" w:hAnsi="Times New Roman" w:cs="Times New Roman"/>
          <w:sz w:val="20"/>
          <w:szCs w:val="20"/>
        </w:rPr>
        <w:t xml:space="preserve">gNB forwards UE’s messages to the anchor gNB which is the one in charge of decoding the information and generating the corresponding </w:t>
      </w:r>
      <w:r w:rsidR="007B65B6" w:rsidRPr="007B7719">
        <w:rPr>
          <w:rFonts w:ascii="Times New Roman" w:hAnsi="Times New Roman" w:cs="Times New Roman"/>
          <w:sz w:val="20"/>
          <w:szCs w:val="20"/>
        </w:rPr>
        <w:t>response</w:t>
      </w:r>
      <w:r w:rsidRPr="007B7719">
        <w:rPr>
          <w:rFonts w:ascii="Times New Roman" w:hAnsi="Times New Roman" w:cs="Times New Roman"/>
          <w:sz w:val="20"/>
          <w:szCs w:val="20"/>
        </w:rPr>
        <w:t xml:space="preserve">. This option 1) would follow similar approach to legacy NR operation of periodic RNAU without context relocation. </w:t>
      </w:r>
    </w:p>
    <w:p w14:paraId="4968D3E5" w14:textId="6BD86775" w:rsidR="00D0472B" w:rsidRPr="00F31A99" w:rsidRDefault="00D0472B" w:rsidP="00E42E0E">
      <w:pPr>
        <w:pStyle w:val="ListParagraph"/>
        <w:numPr>
          <w:ilvl w:val="0"/>
          <w:numId w:val="18"/>
        </w:numPr>
        <w:spacing w:after="240"/>
        <w:contextualSpacing w:val="0"/>
        <w:jc w:val="both"/>
        <w:rPr>
          <w:rFonts w:ascii="Times New Roman" w:hAnsi="Times New Roman" w:cs="Times New Roman"/>
          <w:sz w:val="20"/>
          <w:szCs w:val="20"/>
        </w:rPr>
      </w:pPr>
      <w:r w:rsidRPr="007B7719">
        <w:rPr>
          <w:rFonts w:ascii="Times New Roman" w:hAnsi="Times New Roman" w:cs="Times New Roman"/>
          <w:sz w:val="20"/>
          <w:szCs w:val="20"/>
        </w:rPr>
        <w:t>Current gNB gets a copy of the UE context or security keys required from anchor gNB</w:t>
      </w:r>
      <w:r w:rsidR="005D321C" w:rsidRPr="007B7719">
        <w:rPr>
          <w:rFonts w:ascii="Times New Roman" w:hAnsi="Times New Roman" w:cs="Times New Roman"/>
          <w:sz w:val="20"/>
          <w:szCs w:val="20"/>
        </w:rPr>
        <w:t xml:space="preserve"> to the current gNB, and the data is processed by the current gNB. </w:t>
      </w:r>
      <w:r w:rsidR="00F9761E" w:rsidRPr="007B7719">
        <w:rPr>
          <w:rFonts w:ascii="Times New Roman" w:hAnsi="Times New Roman" w:cs="Times New Roman"/>
          <w:sz w:val="20"/>
          <w:szCs w:val="20"/>
        </w:rPr>
        <w:t>However,</w:t>
      </w:r>
      <w:r w:rsidR="005D321C" w:rsidRPr="007B7719">
        <w:rPr>
          <w:rFonts w:ascii="Times New Roman" w:hAnsi="Times New Roman" w:cs="Times New Roman"/>
          <w:sz w:val="20"/>
          <w:szCs w:val="20"/>
        </w:rPr>
        <w:t xml:space="preserve"> </w:t>
      </w:r>
      <w:r w:rsidR="00F9761E" w:rsidRPr="007B7719">
        <w:rPr>
          <w:rFonts w:ascii="Times New Roman" w:hAnsi="Times New Roman" w:cs="Times New Roman"/>
          <w:sz w:val="20"/>
          <w:szCs w:val="20"/>
        </w:rPr>
        <w:t>this option 2)</w:t>
      </w:r>
      <w:r w:rsidR="005D321C" w:rsidRPr="007B7719">
        <w:rPr>
          <w:rFonts w:ascii="Times New Roman" w:hAnsi="Times New Roman" w:cs="Times New Roman"/>
          <w:sz w:val="20"/>
          <w:szCs w:val="20"/>
        </w:rPr>
        <w:t xml:space="preserve"> still needs to sen</w:t>
      </w:r>
      <w:r w:rsidR="00F9761E" w:rsidRPr="007B7719">
        <w:rPr>
          <w:rFonts w:ascii="Times New Roman" w:hAnsi="Times New Roman" w:cs="Times New Roman"/>
          <w:sz w:val="20"/>
          <w:szCs w:val="20"/>
        </w:rPr>
        <w:t>d</w:t>
      </w:r>
      <w:r w:rsidR="00B070B6" w:rsidRPr="007B7719">
        <w:rPr>
          <w:rFonts w:ascii="Times New Roman" w:hAnsi="Times New Roman" w:cs="Times New Roman"/>
          <w:sz w:val="20"/>
          <w:szCs w:val="20"/>
        </w:rPr>
        <w:t xml:space="preserve"> the signaling/data via</w:t>
      </w:r>
      <w:r w:rsidR="005D321C" w:rsidRPr="007B7719">
        <w:rPr>
          <w:rFonts w:ascii="Times New Roman" w:hAnsi="Times New Roman" w:cs="Times New Roman"/>
          <w:sz w:val="20"/>
          <w:szCs w:val="20"/>
        </w:rPr>
        <w:t xml:space="preserve"> the anchor gNB </w:t>
      </w:r>
      <w:r w:rsidR="00B070B6" w:rsidRPr="007B7719">
        <w:rPr>
          <w:rFonts w:ascii="Times New Roman" w:hAnsi="Times New Roman" w:cs="Times New Roman"/>
          <w:sz w:val="20"/>
          <w:szCs w:val="20"/>
        </w:rPr>
        <w:t xml:space="preserve">as the tunneling </w:t>
      </w:r>
      <w:r w:rsidR="00A8685C" w:rsidRPr="00F31A99">
        <w:rPr>
          <w:rFonts w:ascii="Times New Roman" w:hAnsi="Times New Roman" w:cs="Times New Roman"/>
          <w:sz w:val="20"/>
          <w:szCs w:val="20"/>
        </w:rPr>
        <w:t>to CN</w:t>
      </w:r>
      <w:r w:rsidR="00A8685C" w:rsidRPr="007B7719">
        <w:rPr>
          <w:rFonts w:ascii="Times New Roman" w:hAnsi="Times New Roman" w:cs="Times New Roman"/>
          <w:sz w:val="20"/>
          <w:szCs w:val="20"/>
        </w:rPr>
        <w:t xml:space="preserve"> </w:t>
      </w:r>
      <w:r w:rsidR="00B070B6" w:rsidRPr="002D6334">
        <w:rPr>
          <w:rFonts w:ascii="Times New Roman" w:hAnsi="Times New Roman" w:cs="Times New Roman"/>
          <w:sz w:val="20"/>
          <w:szCs w:val="20"/>
        </w:rPr>
        <w:t xml:space="preserve">are kept in the anchor gNB while UE is in RRC_INACTIVE and </w:t>
      </w:r>
      <w:r w:rsidR="002D37B1" w:rsidRPr="00F31A99">
        <w:rPr>
          <w:rFonts w:ascii="Times New Roman" w:hAnsi="Times New Roman" w:cs="Times New Roman"/>
          <w:sz w:val="20"/>
          <w:szCs w:val="20"/>
        </w:rPr>
        <w:t xml:space="preserve">there is no </w:t>
      </w:r>
      <w:r w:rsidR="00B070B6" w:rsidRPr="00F31A99">
        <w:rPr>
          <w:rFonts w:ascii="Times New Roman" w:hAnsi="Times New Roman" w:cs="Times New Roman"/>
          <w:sz w:val="20"/>
          <w:szCs w:val="20"/>
        </w:rPr>
        <w:t xml:space="preserve">the </w:t>
      </w:r>
      <w:r w:rsidR="007D3611" w:rsidRPr="00F31A99">
        <w:rPr>
          <w:rFonts w:ascii="Times New Roman" w:hAnsi="Times New Roman" w:cs="Times New Roman"/>
          <w:sz w:val="20"/>
          <w:szCs w:val="20"/>
        </w:rPr>
        <w:t>UE context relocation</w:t>
      </w:r>
      <w:r w:rsidRPr="00F31A99">
        <w:rPr>
          <w:rFonts w:ascii="Times New Roman" w:hAnsi="Times New Roman" w:cs="Times New Roman"/>
          <w:sz w:val="20"/>
          <w:szCs w:val="20"/>
        </w:rPr>
        <w:t>.</w:t>
      </w:r>
    </w:p>
    <w:p w14:paraId="55F1F71F" w14:textId="0AFB36DB" w:rsidR="009A3947" w:rsidRPr="005E0875" w:rsidRDefault="005D321C" w:rsidP="009A3947">
      <w:pPr>
        <w:jc w:val="both"/>
      </w:pPr>
      <w:r w:rsidRPr="007B7719">
        <w:t xml:space="preserve">While </w:t>
      </w:r>
      <w:r w:rsidRPr="002D6334">
        <w:t>b</w:t>
      </w:r>
      <w:r w:rsidR="00D0472B" w:rsidRPr="002D6334">
        <w:t xml:space="preserve">oth options </w:t>
      </w:r>
      <w:r w:rsidRPr="002D6334">
        <w:t>seems</w:t>
      </w:r>
      <w:r w:rsidR="00D0472B" w:rsidRPr="002D6334">
        <w:t xml:space="preserve"> feasi</w:t>
      </w:r>
      <w:r w:rsidR="00D0472B" w:rsidRPr="00F31A99">
        <w:t>ble, op</w:t>
      </w:r>
      <w:r w:rsidR="00D0472B" w:rsidRPr="007B7719">
        <w:t xml:space="preserve">tion </w:t>
      </w:r>
      <w:r w:rsidR="004F2ED4" w:rsidRPr="002D6334">
        <w:t>(</w:t>
      </w:r>
      <w:r w:rsidR="00D0472B" w:rsidRPr="002D6334">
        <w:t>2</w:t>
      </w:r>
      <w:r w:rsidR="004F2ED4" w:rsidRPr="002D6334">
        <w:t>)</w:t>
      </w:r>
      <w:r w:rsidR="00D0472B" w:rsidRPr="002D6334">
        <w:t xml:space="preserve"> </w:t>
      </w:r>
      <w:r w:rsidR="009A3947" w:rsidRPr="002D6334">
        <w:t>requires that the</w:t>
      </w:r>
      <w:r w:rsidR="00D0472B" w:rsidRPr="002D6334">
        <w:t xml:space="preserve"> current and anchor gNB share security information and keep redundant information</w:t>
      </w:r>
      <w:r w:rsidR="009A3947" w:rsidRPr="00E2248A">
        <w:t xml:space="preserve"> (including UE context</w:t>
      </w:r>
      <w:r w:rsidR="009A3947">
        <w:t xml:space="preserve"> and updated suspend configuration amongst others) </w:t>
      </w:r>
      <w:r w:rsidR="00CA74AE">
        <w:t>and still</w:t>
      </w:r>
      <w:r w:rsidR="007D3611">
        <w:t xml:space="preserve"> requires</w:t>
      </w:r>
      <w:r w:rsidR="00CA74AE">
        <w:t xml:space="preserve"> forward</w:t>
      </w:r>
      <w:r w:rsidR="007D3611">
        <w:t>ing</w:t>
      </w:r>
      <w:r w:rsidR="00CA74AE">
        <w:t xml:space="preserve"> </w:t>
      </w:r>
      <w:r w:rsidR="004F2ED4">
        <w:t xml:space="preserve">signaling/data </w:t>
      </w:r>
      <w:r w:rsidR="00CA74AE">
        <w:t>to and from the anchor gNB</w:t>
      </w:r>
      <w:r w:rsidR="005F4C88">
        <w:t xml:space="preserve"> as previously explained. Considering all of those aspects</w:t>
      </w:r>
      <w:r w:rsidR="00CA74AE">
        <w:t xml:space="preserve">, </w:t>
      </w:r>
      <w:r w:rsidR="005F4C88">
        <w:t xml:space="preserve">option </w:t>
      </w:r>
      <w:r w:rsidR="004F2ED4">
        <w:t>(</w:t>
      </w:r>
      <w:r w:rsidR="005F4C88">
        <w:t xml:space="preserve">2) </w:t>
      </w:r>
      <w:r w:rsidR="004F2ED4">
        <w:t>is</w:t>
      </w:r>
      <w:r w:rsidR="009A3947">
        <w:t xml:space="preserve"> not preferable. Therefore option </w:t>
      </w:r>
      <w:r w:rsidR="004F2ED4">
        <w:t>(</w:t>
      </w:r>
      <w:r w:rsidR="009A3947">
        <w:t>1</w:t>
      </w:r>
      <w:r w:rsidR="004F2ED4">
        <w:t>)</w:t>
      </w:r>
      <w:r w:rsidR="009A3947">
        <w:t xml:space="preserve"> looks </w:t>
      </w:r>
      <w:r w:rsidR="004F2ED4">
        <w:t xml:space="preserve">better </w:t>
      </w:r>
      <w:r w:rsidR="006F0FCC">
        <w:t>with</w:t>
      </w:r>
      <w:r w:rsidR="009A3947">
        <w:t xml:space="preserve"> </w:t>
      </w:r>
      <w:r w:rsidR="006F0FCC">
        <w:t xml:space="preserve">the </w:t>
      </w:r>
      <w:r w:rsidR="009A3947">
        <w:t>impli</w:t>
      </w:r>
      <w:r w:rsidR="006F0FCC">
        <w:t>cation</w:t>
      </w:r>
      <w:r w:rsidR="009A3947">
        <w:t xml:space="preserve"> that current gNB forwards any UE signaling/data for the a</w:t>
      </w:r>
      <w:r w:rsidR="009A3947" w:rsidRPr="009A3947">
        <w:t xml:space="preserve">nchor </w:t>
      </w:r>
      <w:r w:rsidR="009A3947">
        <w:t>gNB</w:t>
      </w:r>
      <w:r w:rsidR="009A3947" w:rsidRPr="009A3947">
        <w:t xml:space="preserve"> </w:t>
      </w:r>
      <w:r w:rsidR="009A3947">
        <w:t xml:space="preserve">to </w:t>
      </w:r>
      <w:r w:rsidR="009A3947" w:rsidRPr="009A3947">
        <w:t>handle</w:t>
      </w:r>
      <w:r w:rsidR="009A3947">
        <w:t xml:space="preserve"> it.</w:t>
      </w:r>
      <w:r w:rsidR="006A2BE3">
        <w:t xml:space="preserve"> </w:t>
      </w:r>
      <w:r w:rsidR="004D23FE">
        <w:t xml:space="preserve"> This </w:t>
      </w:r>
      <w:r w:rsidR="002B27FE" w:rsidRPr="00DD22C0">
        <w:t xml:space="preserve">option (1) </w:t>
      </w:r>
      <w:r w:rsidR="005376AF" w:rsidRPr="00DD22C0">
        <w:t>will</w:t>
      </w:r>
      <w:r w:rsidR="002B27FE" w:rsidRPr="00DD22C0">
        <w:t xml:space="preserve"> </w:t>
      </w:r>
      <w:r w:rsidR="00CA74AE" w:rsidRPr="00DD22C0">
        <w:t xml:space="preserve">involve forwarding </w:t>
      </w:r>
      <w:r w:rsidR="004D23FE" w:rsidRPr="00DD22C0">
        <w:t>RRC messages via CU-CP and user plane data through CU-UP</w:t>
      </w:r>
      <w:r w:rsidR="005376AF" w:rsidRPr="00384D1F">
        <w:t xml:space="preserve"> </w:t>
      </w:r>
      <w:r w:rsidR="00F60165" w:rsidRPr="00384D1F">
        <w:t xml:space="preserve">which is more complex than </w:t>
      </w:r>
      <w:r w:rsidR="00DD22C0" w:rsidRPr="007B7719">
        <w:t xml:space="preserve">legacy </w:t>
      </w:r>
      <w:r w:rsidR="00F60165" w:rsidRPr="00DD22C0">
        <w:t>Periodic RNAU</w:t>
      </w:r>
      <w:r w:rsidR="00BA1A50" w:rsidRPr="005E0875">
        <w:t>.</w:t>
      </w:r>
      <w:r w:rsidR="00DF5F80" w:rsidRPr="005E0875">
        <w:t xml:space="preserve">  </w:t>
      </w:r>
    </w:p>
    <w:p w14:paraId="6A589A25" w14:textId="62742910" w:rsidR="00DF5F80" w:rsidRDefault="00DF5F80" w:rsidP="009A3947">
      <w:pPr>
        <w:jc w:val="both"/>
      </w:pPr>
      <w:r w:rsidRPr="00DD22C0">
        <w:t xml:space="preserve">Populating the UE context in the DU </w:t>
      </w:r>
      <w:r w:rsidR="000D0E18" w:rsidRPr="00DD22C0">
        <w:t xml:space="preserve">and tunnels </w:t>
      </w:r>
      <w:r w:rsidRPr="00DD22C0">
        <w:t xml:space="preserve">is also more complex and involves more signalling </w:t>
      </w:r>
      <w:r w:rsidR="000D0E18" w:rsidRPr="00DD22C0">
        <w:t xml:space="preserve">because </w:t>
      </w:r>
      <w:r w:rsidR="007A3ADD" w:rsidRPr="00DD22C0">
        <w:t xml:space="preserve">there are </w:t>
      </w:r>
      <w:r w:rsidR="000D0E18" w:rsidRPr="00DD22C0">
        <w:t xml:space="preserve">more </w:t>
      </w:r>
      <w:r w:rsidR="00E200C2" w:rsidRPr="00DD22C0">
        <w:t>hops in each of these signalling between the anchor CU and current DU via the</w:t>
      </w:r>
      <w:r w:rsidR="00E200C2">
        <w:t xml:space="preserve"> current CU. All these </w:t>
      </w:r>
      <w:r w:rsidR="00B27C55">
        <w:t xml:space="preserve">aspects </w:t>
      </w:r>
      <w:r w:rsidR="00DD22C0">
        <w:t xml:space="preserve">and </w:t>
      </w:r>
      <w:r w:rsidR="00E200C2">
        <w:t>discussion should be driven by RAN3 WG</w:t>
      </w:r>
      <w:r w:rsidR="007A3ADD">
        <w:t>,</w:t>
      </w:r>
      <w:r w:rsidR="00B27C55">
        <w:t xml:space="preserve"> and RAN2 can wait for RAN3 input</w:t>
      </w:r>
      <w:r w:rsidR="006B5BE9">
        <w:t xml:space="preserve"> to see if any RAN2 changes are required from this.</w:t>
      </w:r>
    </w:p>
    <w:p w14:paraId="783FC676" w14:textId="45947632" w:rsidR="00BA1A50" w:rsidRPr="00F31A99" w:rsidRDefault="00D0378A" w:rsidP="00E42E0E">
      <w:pPr>
        <w:pStyle w:val="observ"/>
        <w:ind w:left="360"/>
      </w:pPr>
      <w:bookmarkStart w:id="91" w:name="_Toc47217823"/>
      <w:bookmarkStart w:id="92" w:name="_Toc47348531"/>
      <w:bookmarkStart w:id="93" w:name="_Toc47217824"/>
      <w:bookmarkStart w:id="94" w:name="_Toc47348532"/>
      <w:bookmarkStart w:id="95" w:name="_Toc47217825"/>
      <w:bookmarkStart w:id="96" w:name="_Toc47348533"/>
      <w:bookmarkStart w:id="97" w:name="_Hlk46873153"/>
      <w:bookmarkStart w:id="98" w:name="_Toc47217826"/>
      <w:bookmarkStart w:id="99" w:name="_Toc47348534"/>
      <w:bookmarkStart w:id="100" w:name="_Toc47376825"/>
      <w:bookmarkStart w:id="101" w:name="_Toc47477856"/>
      <w:bookmarkStart w:id="102" w:name="_Toc47511188"/>
      <w:bookmarkStart w:id="103" w:name="_Toc47530506"/>
      <w:bookmarkStart w:id="104" w:name="_Toc47610491"/>
      <w:bookmarkStart w:id="105" w:name="_Toc47611548"/>
      <w:bookmarkStart w:id="106" w:name="_Toc47621245"/>
      <w:bookmarkStart w:id="107" w:name="_Toc46872465"/>
      <w:bookmarkStart w:id="108" w:name="_Toc46872487"/>
      <w:bookmarkStart w:id="109" w:name="_Toc47622869"/>
      <w:bookmarkEnd w:id="91"/>
      <w:bookmarkEnd w:id="92"/>
      <w:bookmarkEnd w:id="93"/>
      <w:bookmarkEnd w:id="94"/>
      <w:bookmarkEnd w:id="95"/>
      <w:bookmarkEnd w:id="96"/>
      <w:r w:rsidRPr="007B7719">
        <w:t>When SD</w:t>
      </w:r>
      <w:r w:rsidR="00BA1A50" w:rsidRPr="007B7719">
        <w:t>T</w:t>
      </w:r>
      <w:r w:rsidRPr="007B7719">
        <w:t xml:space="preserve"> is </w:t>
      </w:r>
      <w:r w:rsidR="00FC0941" w:rsidRPr="007B7719">
        <w:t xml:space="preserve">initiated </w:t>
      </w:r>
      <w:r w:rsidR="00BA1A50" w:rsidRPr="007B7719">
        <w:t xml:space="preserve">in a different cell </w:t>
      </w:r>
      <w:r w:rsidR="007B65B6" w:rsidRPr="007B7719">
        <w:t xml:space="preserve">than where </w:t>
      </w:r>
      <w:r w:rsidR="00BA1A50" w:rsidRPr="007B7719">
        <w:t xml:space="preserve">the UE context is stored but </w:t>
      </w:r>
      <w:r w:rsidRPr="007B7719">
        <w:t>UE Context relocation</w:t>
      </w:r>
      <w:r w:rsidR="00FC0941" w:rsidRPr="007B7719">
        <w:t xml:space="preserve"> </w:t>
      </w:r>
      <w:r w:rsidR="007B3C80" w:rsidRPr="007B7719">
        <w:t xml:space="preserve">is </w:t>
      </w:r>
      <w:r w:rsidR="00FC0941" w:rsidRPr="007B7719">
        <w:t>not performed</w:t>
      </w:r>
      <w:r w:rsidRPr="007B7719">
        <w:t>,</w:t>
      </w:r>
      <w:r w:rsidR="00FC0941" w:rsidRPr="007B7719">
        <w:t xml:space="preserve"> it seems preferable that</w:t>
      </w:r>
      <w:r w:rsidRPr="007B7719">
        <w:t xml:space="preserve"> current gNB forwards UE’s messages </w:t>
      </w:r>
      <w:r w:rsidR="00CC3300" w:rsidRPr="007B7719">
        <w:t>and data</w:t>
      </w:r>
      <w:r w:rsidRPr="007B7719">
        <w:t xml:space="preserve"> to </w:t>
      </w:r>
      <w:r w:rsidR="00DF5F80" w:rsidRPr="007B7719">
        <w:t>and from</w:t>
      </w:r>
      <w:r w:rsidRPr="007B7719">
        <w:t xml:space="preserve"> the anchor gNB which is the one in charge of decoding the information and generating the corresponding </w:t>
      </w:r>
      <w:bookmarkEnd w:id="97"/>
      <w:r w:rsidR="007B65B6" w:rsidRPr="007B7719">
        <w:t xml:space="preserve">response </w:t>
      </w:r>
      <w:r w:rsidR="00FC0941" w:rsidRPr="007B7719">
        <w:t>(similar to legacy periodic RNAU)</w:t>
      </w:r>
      <w:r w:rsidR="00FC0941" w:rsidRPr="00F31A99">
        <w:t>.</w:t>
      </w:r>
      <w:bookmarkEnd w:id="98"/>
      <w:bookmarkEnd w:id="99"/>
      <w:bookmarkEnd w:id="100"/>
      <w:bookmarkEnd w:id="101"/>
      <w:bookmarkEnd w:id="102"/>
      <w:bookmarkEnd w:id="103"/>
      <w:bookmarkEnd w:id="104"/>
      <w:bookmarkEnd w:id="105"/>
      <w:bookmarkEnd w:id="106"/>
      <w:bookmarkEnd w:id="109"/>
    </w:p>
    <w:p w14:paraId="586FE371" w14:textId="6B873267" w:rsidR="008B5AE3" w:rsidRPr="005E0875" w:rsidRDefault="008B5AE3" w:rsidP="00E42E0E">
      <w:pPr>
        <w:pStyle w:val="observ"/>
        <w:ind w:left="360"/>
      </w:pPr>
      <w:bookmarkStart w:id="110" w:name="_Toc47610492"/>
      <w:bookmarkStart w:id="111" w:name="_Toc47611549"/>
      <w:bookmarkStart w:id="112" w:name="_Toc47621246"/>
      <w:bookmarkStart w:id="113" w:name="_Toc47622870"/>
      <w:r w:rsidRPr="00384D1F">
        <w:t xml:space="preserve">The forwarding of signalling and data to the anchor </w:t>
      </w:r>
      <w:r w:rsidR="0092773E" w:rsidRPr="00384D1F">
        <w:t xml:space="preserve">CU-CP and CU-UP </w:t>
      </w:r>
      <w:r w:rsidR="0092773E" w:rsidRPr="005E0875">
        <w:t xml:space="preserve">will involve considerably more </w:t>
      </w:r>
      <w:r w:rsidR="00DB1E21" w:rsidRPr="005E0875">
        <w:t xml:space="preserve">network </w:t>
      </w:r>
      <w:r w:rsidR="0092773E" w:rsidRPr="005E0875">
        <w:t xml:space="preserve">signalling than </w:t>
      </w:r>
      <w:r w:rsidR="00384D1F" w:rsidRPr="007B7719">
        <w:t xml:space="preserve">for legacy periodic </w:t>
      </w:r>
      <w:r w:rsidR="0092773E" w:rsidRPr="00384D1F">
        <w:t>RNAU</w:t>
      </w:r>
      <w:r w:rsidR="00384D1F" w:rsidRPr="007B7719">
        <w:t xml:space="preserve"> procedure</w:t>
      </w:r>
      <w:r w:rsidR="0092773E" w:rsidRPr="00384D1F">
        <w:t>.</w:t>
      </w:r>
      <w:bookmarkEnd w:id="110"/>
      <w:bookmarkEnd w:id="111"/>
      <w:bookmarkEnd w:id="112"/>
      <w:bookmarkEnd w:id="113"/>
      <w:r w:rsidR="0092773E" w:rsidRPr="00384D1F">
        <w:t xml:space="preserve">  </w:t>
      </w:r>
    </w:p>
    <w:p w14:paraId="3BD0A7DB" w14:textId="028BC7A2" w:rsidR="00BD361C" w:rsidRPr="005E0875" w:rsidRDefault="00AC4A42" w:rsidP="00867C8B">
      <w:pPr>
        <w:pStyle w:val="Proposal"/>
        <w:numPr>
          <w:ilvl w:val="0"/>
          <w:numId w:val="4"/>
        </w:numPr>
      </w:pPr>
      <w:bookmarkStart w:id="114" w:name="_Toc47217821"/>
      <w:bookmarkStart w:id="115" w:name="_Toc47348541"/>
      <w:bookmarkStart w:id="116" w:name="_Toc47376830"/>
      <w:bookmarkStart w:id="117" w:name="_Toc47477862"/>
      <w:bookmarkStart w:id="118" w:name="_Toc47509113"/>
      <w:bookmarkStart w:id="119" w:name="_Toc47511195"/>
      <w:bookmarkStart w:id="120" w:name="_Toc47530515"/>
      <w:bookmarkStart w:id="121" w:name="_Toc47610501"/>
      <w:bookmarkStart w:id="122" w:name="_Toc47611556"/>
      <w:bookmarkStart w:id="123" w:name="_Toc47621251"/>
      <w:bookmarkStart w:id="124" w:name="_Toc47622866"/>
      <w:r w:rsidRPr="005E0875">
        <w:t>O</w:t>
      </w:r>
      <w:r w:rsidR="00FC0941" w:rsidRPr="005E0875">
        <w:t xml:space="preserve">n how to </w:t>
      </w:r>
      <w:r w:rsidR="007B3C80" w:rsidRPr="005E0875">
        <w:t xml:space="preserve">enable </w:t>
      </w:r>
      <w:r w:rsidR="00B024E3" w:rsidRPr="005E0875">
        <w:t xml:space="preserve">SDT operation when this is initiated in a different cell </w:t>
      </w:r>
      <w:r w:rsidR="00BC7678" w:rsidRPr="005E0875">
        <w:t xml:space="preserve">than where </w:t>
      </w:r>
      <w:r w:rsidR="00B024E3" w:rsidRPr="005E0875">
        <w:t xml:space="preserve">the UE context is stored </w:t>
      </w:r>
      <w:r w:rsidR="00BC0823" w:rsidRPr="007B7719">
        <w:rPr>
          <w:u w:val="single"/>
        </w:rPr>
        <w:t>without</w:t>
      </w:r>
      <w:r w:rsidR="00BC0823" w:rsidRPr="005E0875">
        <w:t xml:space="preserve"> </w:t>
      </w:r>
      <w:r w:rsidR="00B024E3" w:rsidRPr="005E0875">
        <w:t>UE Context relocation</w:t>
      </w:r>
      <w:r w:rsidRPr="005E0875">
        <w:t>, RAN2 should wait for RAN3 conclusion</w:t>
      </w:r>
      <w:r w:rsidR="00A277D2" w:rsidRPr="005E0875">
        <w:t xml:space="preserve"> on preferred approach</w:t>
      </w:r>
      <w:r w:rsidR="00B024E3" w:rsidRPr="005E0875">
        <w:t xml:space="preserve"> before discussing potential RAN2 impacts, if any</w:t>
      </w:r>
      <w:r w:rsidR="00D0378A" w:rsidRPr="005E0875">
        <w:t>.</w:t>
      </w:r>
      <w:bookmarkEnd w:id="107"/>
      <w:bookmarkEnd w:id="108"/>
      <w:bookmarkEnd w:id="114"/>
      <w:bookmarkEnd w:id="115"/>
      <w:bookmarkEnd w:id="116"/>
      <w:bookmarkEnd w:id="117"/>
      <w:bookmarkEnd w:id="118"/>
      <w:bookmarkEnd w:id="119"/>
      <w:bookmarkEnd w:id="120"/>
      <w:bookmarkEnd w:id="121"/>
      <w:bookmarkEnd w:id="122"/>
      <w:bookmarkEnd w:id="123"/>
      <w:bookmarkEnd w:id="124"/>
    </w:p>
    <w:p w14:paraId="41D016C6" w14:textId="0F9276E9" w:rsidR="00867C8B" w:rsidRDefault="00867C8B" w:rsidP="00867C8B">
      <w:pPr>
        <w:rPr>
          <w:lang w:eastAsia="x-none"/>
        </w:rPr>
      </w:pPr>
    </w:p>
    <w:p w14:paraId="2F8D4C4C" w14:textId="45BDF3E5" w:rsidR="00EB410E" w:rsidRDefault="00EB410E" w:rsidP="00EB410E">
      <w:pPr>
        <w:jc w:val="both"/>
        <w:rPr>
          <w:lang w:val="en-GB"/>
        </w:rPr>
      </w:pPr>
    </w:p>
    <w:p w14:paraId="23427089" w14:textId="01293BAD" w:rsidR="006D5A8D" w:rsidRDefault="006D5A8D">
      <w:pPr>
        <w:overflowPunct/>
        <w:autoSpaceDE/>
        <w:autoSpaceDN/>
        <w:adjustRightInd/>
        <w:spacing w:after="0"/>
        <w:rPr>
          <w:lang w:val="en-GB"/>
        </w:rPr>
      </w:pPr>
      <w:bookmarkStart w:id="125" w:name="_GoBack"/>
      <w:bookmarkEnd w:id="125"/>
      <w:r>
        <w:rPr>
          <w:lang w:val="en-GB"/>
        </w:rPr>
        <w:br w:type="page"/>
      </w:r>
    </w:p>
    <w:p w14:paraId="25E30EBA" w14:textId="77777777" w:rsidR="003A0A0B" w:rsidRPr="00083BE4" w:rsidRDefault="003A0A0B" w:rsidP="00EB410E">
      <w:pPr>
        <w:jc w:val="both"/>
        <w:rPr>
          <w:lang w:val="en-GB"/>
        </w:rPr>
      </w:pPr>
    </w:p>
    <w:p w14:paraId="5AB4BABA" w14:textId="77777777" w:rsidR="00EB410E" w:rsidRDefault="00EB410E" w:rsidP="00EB410E">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4C95D53C" w14:textId="77777777" w:rsidR="00BE6D90"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BE6D90" w:rsidRPr="00BF76B2">
        <w:rPr>
          <w:b/>
          <w:noProof/>
        </w:rPr>
        <w:t>Observation 1.</w:t>
      </w:r>
      <w:r w:rsidR="00BE6D90">
        <w:rPr>
          <w:rFonts w:asciiTheme="minorHAnsi" w:eastAsiaTheme="minorEastAsia" w:hAnsiTheme="minorHAnsi" w:cstheme="minorBidi"/>
          <w:noProof/>
          <w:sz w:val="22"/>
        </w:rPr>
        <w:tab/>
      </w:r>
      <w:r w:rsidR="00BE6D90" w:rsidRPr="00BF76B2">
        <w:rPr>
          <w:noProof/>
        </w:rPr>
        <w:t xml:space="preserve">For SDT mechanism, </w:t>
      </w:r>
      <w:r w:rsidR="00BE6D90">
        <w:rPr>
          <w:noProof/>
        </w:rPr>
        <w:t>the PHY configuration uses a “default or common configuration” where the term of “default or common configuration” identifies a configuration that is pre-defined in specification or configured by gNB (via broadcast or even dedicated signaling)</w:t>
      </w:r>
      <w:r w:rsidR="00BE6D90" w:rsidRPr="00BF76B2">
        <w:rPr>
          <w:noProof/>
        </w:rPr>
        <w:t>.</w:t>
      </w:r>
    </w:p>
    <w:p w14:paraId="2B223724" w14:textId="77777777" w:rsidR="00BE6D90" w:rsidRDefault="00BE6D90">
      <w:pPr>
        <w:pStyle w:val="TOC1"/>
        <w:rPr>
          <w:rFonts w:asciiTheme="minorHAnsi" w:eastAsiaTheme="minorEastAsia" w:hAnsiTheme="minorHAnsi" w:cstheme="minorBidi"/>
          <w:noProof/>
          <w:sz w:val="22"/>
        </w:rPr>
      </w:pPr>
      <w:r w:rsidRPr="00BF76B2">
        <w:rPr>
          <w:b/>
          <w:noProof/>
        </w:rPr>
        <w:t>Observation 2.</w:t>
      </w:r>
      <w:r>
        <w:rPr>
          <w:rFonts w:asciiTheme="minorHAnsi" w:eastAsiaTheme="minorEastAsia" w:hAnsiTheme="minorHAnsi" w:cstheme="minorBidi"/>
          <w:noProof/>
          <w:sz w:val="22"/>
        </w:rPr>
        <w:tab/>
      </w:r>
      <w:r>
        <w:rPr>
          <w:noProof/>
        </w:rPr>
        <w:t>Retaining the UE context in the DU is efficient in terms of signalling and delay, especially for PUR operation.</w:t>
      </w:r>
    </w:p>
    <w:p w14:paraId="5AAA1979" w14:textId="77777777" w:rsidR="00BE6D90" w:rsidRDefault="00BE6D90">
      <w:pPr>
        <w:pStyle w:val="TOC1"/>
        <w:rPr>
          <w:rFonts w:asciiTheme="minorHAnsi" w:eastAsiaTheme="minorEastAsia" w:hAnsiTheme="minorHAnsi" w:cstheme="minorBidi"/>
          <w:noProof/>
          <w:sz w:val="22"/>
        </w:rPr>
      </w:pPr>
      <w:r w:rsidRPr="00BF76B2">
        <w:rPr>
          <w:b/>
          <w:noProof/>
        </w:rPr>
        <w:t>Observation 3.</w:t>
      </w:r>
      <w:r>
        <w:rPr>
          <w:rFonts w:asciiTheme="minorHAnsi" w:eastAsiaTheme="minorEastAsia" w:hAnsiTheme="minorHAnsi" w:cstheme="minorBidi"/>
          <w:noProof/>
          <w:sz w:val="22"/>
        </w:rPr>
        <w:tab/>
      </w:r>
      <w:r>
        <w:rPr>
          <w:noProof/>
        </w:rPr>
        <w:t>When SDT is initiated in a different cell than where the UE context is stored but UE Context relocation is not performed, it seems preferable that current gNB forwards UE’s messages and data to and from the anchor gNB which is the one in charge of decoding the information and generating the corresponding response (similar to legacy periodic RNAU).</w:t>
      </w:r>
    </w:p>
    <w:p w14:paraId="4AA0160A" w14:textId="77777777" w:rsidR="00BE6D90" w:rsidRDefault="00BE6D90">
      <w:pPr>
        <w:pStyle w:val="TOC1"/>
        <w:rPr>
          <w:rFonts w:asciiTheme="minorHAnsi" w:eastAsiaTheme="minorEastAsia" w:hAnsiTheme="minorHAnsi" w:cstheme="minorBidi"/>
          <w:noProof/>
          <w:sz w:val="22"/>
        </w:rPr>
      </w:pPr>
      <w:r w:rsidRPr="00BF76B2">
        <w:rPr>
          <w:b/>
          <w:noProof/>
        </w:rPr>
        <w:t>Observation 4.</w:t>
      </w:r>
      <w:r>
        <w:rPr>
          <w:rFonts w:asciiTheme="minorHAnsi" w:eastAsiaTheme="minorEastAsia" w:hAnsiTheme="minorHAnsi" w:cstheme="minorBidi"/>
          <w:noProof/>
          <w:sz w:val="22"/>
        </w:rPr>
        <w:tab/>
      </w:r>
      <w:r>
        <w:rPr>
          <w:noProof/>
        </w:rPr>
        <w:t>The forwarding of signalling and data to the anchor CU-CP and CU-UP will involve considerably more network signalling than for legacy periodic RNAU procedure.</w:t>
      </w:r>
    </w:p>
    <w:p w14:paraId="5239C8EE" w14:textId="5B8BF321"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423C777F" w14:textId="77777777" w:rsidR="00BE6D90"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BE6D90" w:rsidRPr="00A85801">
        <w:rPr>
          <w:b/>
          <w:noProof/>
        </w:rPr>
        <w:t>Proposal 1.</w:t>
      </w:r>
      <w:r w:rsidR="00BE6D90">
        <w:rPr>
          <w:rFonts w:asciiTheme="minorHAnsi" w:eastAsiaTheme="minorEastAsia" w:hAnsiTheme="minorHAnsi" w:cstheme="minorBidi"/>
          <w:noProof/>
          <w:sz w:val="22"/>
        </w:rPr>
        <w:tab/>
      </w:r>
      <w:r w:rsidR="00BE6D90">
        <w:rPr>
          <w:noProof/>
        </w:rPr>
        <w:t>When initiating SDT mechanism, RAN2 to discuss which RLC bearer configuration is used by UE in RRC_INACTIVE and the current cell (or DU):  option 1) the one stored in UE Context, or  option 2) a default or common one (which identifies a configuration that is pre-defined in specification or configured by gNB).</w:t>
      </w:r>
    </w:p>
    <w:p w14:paraId="24C11CAE" w14:textId="77777777" w:rsidR="00BE6D90" w:rsidRDefault="00BE6D90">
      <w:pPr>
        <w:pStyle w:val="TOC1"/>
        <w:rPr>
          <w:rFonts w:asciiTheme="minorHAnsi" w:eastAsiaTheme="minorEastAsia" w:hAnsiTheme="minorHAnsi" w:cstheme="minorBidi"/>
          <w:noProof/>
          <w:sz w:val="22"/>
        </w:rPr>
      </w:pPr>
      <w:r w:rsidRPr="00A85801">
        <w:rPr>
          <w:b/>
          <w:noProof/>
        </w:rPr>
        <w:t>Proposal 2.</w:t>
      </w:r>
      <w:r>
        <w:rPr>
          <w:rFonts w:asciiTheme="minorHAnsi" w:eastAsiaTheme="minorEastAsia" w:hAnsiTheme="minorHAnsi" w:cstheme="minorBidi"/>
          <w:noProof/>
          <w:sz w:val="22"/>
        </w:rPr>
        <w:tab/>
      </w:r>
      <w:r>
        <w:rPr>
          <w:noProof/>
        </w:rPr>
        <w:t>Stored configuration in the UE Context is used for the RLC bearer configuration for any SDT mechanism (RACH and PUR).</w:t>
      </w:r>
    </w:p>
    <w:p w14:paraId="1F75F503" w14:textId="77777777" w:rsidR="00BE6D90" w:rsidRDefault="00BE6D90">
      <w:pPr>
        <w:pStyle w:val="TOC1"/>
        <w:rPr>
          <w:rFonts w:asciiTheme="minorHAnsi" w:eastAsiaTheme="minorEastAsia" w:hAnsiTheme="minorHAnsi" w:cstheme="minorBidi"/>
          <w:noProof/>
          <w:sz w:val="22"/>
        </w:rPr>
      </w:pPr>
      <w:r w:rsidRPr="00A85801">
        <w:rPr>
          <w:b/>
          <w:noProof/>
        </w:rPr>
        <w:t>Proposal 3.</w:t>
      </w:r>
      <w:r>
        <w:rPr>
          <w:rFonts w:asciiTheme="minorHAnsi" w:eastAsiaTheme="minorEastAsia" w:hAnsiTheme="minorHAnsi" w:cstheme="minorBidi"/>
          <w:noProof/>
          <w:sz w:val="22"/>
        </w:rPr>
        <w:tab/>
      </w:r>
      <w:r>
        <w:rPr>
          <w:noProof/>
        </w:rPr>
        <w:t>For a UE in RRC_INACTIVE supporting SDT mechanism, to discuss further the handling of the RoHC considering option (1) RoHC is reset in each SDT, option (2) RoHC is not reset for PUR but is reset for RACH in each SDT, and option (3) a network based solution is adopted (e.g. considering RoHC relocation, handling in anchor node, aligning RNA with CU-UP boundary).</w:t>
      </w:r>
    </w:p>
    <w:p w14:paraId="0B45379B" w14:textId="77777777" w:rsidR="00BE6D90" w:rsidRDefault="00BE6D90">
      <w:pPr>
        <w:pStyle w:val="TOC1"/>
        <w:rPr>
          <w:rFonts w:asciiTheme="minorHAnsi" w:eastAsiaTheme="minorEastAsia" w:hAnsiTheme="minorHAnsi" w:cstheme="minorBidi"/>
          <w:noProof/>
          <w:sz w:val="22"/>
        </w:rPr>
      </w:pPr>
      <w:r w:rsidRPr="00A85801">
        <w:rPr>
          <w:b/>
          <w:noProof/>
        </w:rPr>
        <w:t>Proposal 4.</w:t>
      </w:r>
      <w:r>
        <w:rPr>
          <w:rFonts w:asciiTheme="minorHAnsi" w:eastAsiaTheme="minorEastAsia" w:hAnsiTheme="minorHAnsi" w:cstheme="minorBidi"/>
          <w:noProof/>
          <w:sz w:val="22"/>
        </w:rPr>
        <w:tab/>
      </w:r>
      <w:r>
        <w:rPr>
          <w:noProof/>
        </w:rPr>
        <w:t xml:space="preserve">When ending SDT-RACH mechanism, it should be possible to send last SDT signaling (e.g. </w:t>
      </w:r>
      <w:r w:rsidRPr="00A85801">
        <w:rPr>
          <w:i/>
          <w:iCs/>
          <w:noProof/>
        </w:rPr>
        <w:t>RRCRelease</w:t>
      </w:r>
      <w:r>
        <w:rPr>
          <w:noProof/>
        </w:rPr>
        <w:t xml:space="preserve"> message) separately or together with the last DL data.</w:t>
      </w:r>
    </w:p>
    <w:p w14:paraId="7972DBAB" w14:textId="77777777" w:rsidR="00BE6D90" w:rsidRDefault="00BE6D90">
      <w:pPr>
        <w:pStyle w:val="TOC1"/>
        <w:rPr>
          <w:rFonts w:asciiTheme="minorHAnsi" w:eastAsiaTheme="minorEastAsia" w:hAnsiTheme="minorHAnsi" w:cstheme="minorBidi"/>
          <w:noProof/>
          <w:sz w:val="22"/>
        </w:rPr>
      </w:pPr>
      <w:r w:rsidRPr="00A85801">
        <w:rPr>
          <w:b/>
          <w:noProof/>
        </w:rPr>
        <w:t>Proposal 5.</w:t>
      </w:r>
      <w:r>
        <w:rPr>
          <w:rFonts w:asciiTheme="minorHAnsi" w:eastAsiaTheme="minorEastAsia" w:hAnsiTheme="minorHAnsi" w:cstheme="minorBidi"/>
          <w:noProof/>
          <w:sz w:val="22"/>
        </w:rPr>
        <w:tab/>
      </w:r>
      <w:r>
        <w:rPr>
          <w:noProof/>
        </w:rPr>
        <w:t xml:space="preserve">On how to enable SDT operation when this is initiated in a different cell than where the UE context is stored </w:t>
      </w:r>
      <w:r w:rsidRPr="00A85801">
        <w:rPr>
          <w:noProof/>
          <w:u w:val="single"/>
        </w:rPr>
        <w:t>without</w:t>
      </w:r>
      <w:r>
        <w:rPr>
          <w:noProof/>
        </w:rPr>
        <w:t xml:space="preserve"> UE Context relocation, RAN2 should wait for RAN3 conclusion on preferred approach before discussing potential RAN2 impacts, if any.</w:t>
      </w:r>
    </w:p>
    <w:p w14:paraId="3A6D97CC" w14:textId="7C93035E" w:rsidR="001D136B" w:rsidRDefault="00EB410E" w:rsidP="00BD361C">
      <w:pPr>
        <w:jc w:val="both"/>
        <w:rPr>
          <w:lang w:eastAsia="zh-CN"/>
        </w:rPr>
      </w:pPr>
      <w:r>
        <w:rPr>
          <w:lang w:eastAsia="zh-CN"/>
        </w:rPr>
        <w:fldChar w:fldCharType="end"/>
      </w:r>
    </w:p>
    <w:p w14:paraId="196537BE" w14:textId="77777777" w:rsidR="001D136B" w:rsidRDefault="001D136B" w:rsidP="00EB410E">
      <w:pPr>
        <w:jc w:val="both"/>
        <w:rPr>
          <w:lang w:eastAsia="zh-CN"/>
        </w:rPr>
      </w:pPr>
    </w:p>
    <w:p w14:paraId="5B182433" w14:textId="77777777" w:rsidR="001D136B" w:rsidRDefault="001D136B" w:rsidP="00EB410E">
      <w:pPr>
        <w:jc w:val="both"/>
        <w:rPr>
          <w:lang w:eastAsia="zh-CN"/>
        </w:rPr>
      </w:pPr>
    </w:p>
    <w:p w14:paraId="4831B0DD" w14:textId="77777777" w:rsidR="00EB410E" w:rsidRDefault="00EB410E" w:rsidP="00EB410E">
      <w:pPr>
        <w:pStyle w:val="Heading1"/>
        <w:numPr>
          <w:ilvl w:val="0"/>
          <w:numId w:val="2"/>
        </w:numPr>
      </w:pPr>
      <w:bookmarkStart w:id="126" w:name="_Ref434066290"/>
      <w:r>
        <w:t>Reference</w:t>
      </w:r>
      <w:bookmarkEnd w:id="126"/>
    </w:p>
    <w:p w14:paraId="7D248A90" w14:textId="77777777" w:rsidR="00943BF3" w:rsidRPr="000F66AD" w:rsidRDefault="00943BF3" w:rsidP="00943BF3">
      <w:pPr>
        <w:pStyle w:val="Doc-title"/>
        <w:numPr>
          <w:ilvl w:val="0"/>
          <w:numId w:val="3"/>
        </w:numPr>
        <w:spacing w:before="0" w:after="60"/>
        <w:rPr>
          <w:rFonts w:ascii="Times New Roman" w:hAnsi="Times New Roman" w:cs="Times New Roman"/>
          <w:sz w:val="20"/>
        </w:rPr>
      </w:pPr>
      <w:bookmarkStart w:id="127" w:name="_Ref46843146"/>
      <w:bookmarkStart w:id="128" w:name="_Ref478150265"/>
      <w:bookmarkEnd w:id="1"/>
      <w:r w:rsidRPr="00C041C1">
        <w:rPr>
          <w:rFonts w:ascii="Times New Roman" w:hAnsi="Times New Roman" w:cs="Times New Roman"/>
          <w:bCs/>
          <w:sz w:val="20"/>
          <w:lang w:val="en-US"/>
        </w:rPr>
        <w:t>RP-20</w:t>
      </w:r>
      <w:r w:rsidRPr="003C51E8">
        <w:rPr>
          <w:rFonts w:ascii="Times New Roman" w:hAnsi="Times New Roman" w:cs="Times New Roman"/>
          <w:bCs/>
          <w:sz w:val="20"/>
          <w:lang w:val="en-US"/>
        </w:rPr>
        <w:t>1305</w:t>
      </w:r>
      <w:r w:rsidRPr="000F66AD">
        <w:rPr>
          <w:rFonts w:ascii="Times New Roman" w:hAnsi="Times New Roman" w:cs="Times New Roman"/>
          <w:bCs/>
          <w:sz w:val="20"/>
          <w:lang w:val="en-US"/>
        </w:rPr>
        <w:t>,</w:t>
      </w:r>
      <w:r w:rsidRPr="00B756C9">
        <w:rPr>
          <w:rFonts w:ascii="Times New Roman" w:hAnsi="Times New Roman" w:cs="Times New Roman"/>
          <w:bCs/>
          <w:sz w:val="20"/>
          <w:lang w:val="en-US"/>
        </w:rPr>
        <w:t xml:space="preserve"> WID</w:t>
      </w:r>
      <w:r w:rsidRPr="000F66AD">
        <w:rPr>
          <w:rFonts w:ascii="Times New Roman" w:hAnsi="Times New Roman" w:cs="Times New Roman"/>
          <w:bCs/>
          <w:sz w:val="20"/>
          <w:lang w:val="en-US"/>
        </w:rPr>
        <w:t>, Updated Work Item on NR small data transmissions in INACTIVE state, July 2020.</w:t>
      </w:r>
      <w:bookmarkEnd w:id="127"/>
    </w:p>
    <w:p w14:paraId="58ED9FB5" w14:textId="0C6B546A" w:rsidR="00943BF3" w:rsidRPr="000F66AD" w:rsidRDefault="00CB0D14" w:rsidP="00943BF3">
      <w:pPr>
        <w:pStyle w:val="Doc-title"/>
        <w:numPr>
          <w:ilvl w:val="0"/>
          <w:numId w:val="3"/>
        </w:numPr>
        <w:spacing w:before="0" w:after="60"/>
        <w:rPr>
          <w:rFonts w:ascii="Times New Roman" w:hAnsi="Times New Roman" w:cs="Times New Roman"/>
          <w:sz w:val="20"/>
        </w:rPr>
      </w:pPr>
      <w:bookmarkStart w:id="129" w:name="_Ref46757011"/>
      <w:r w:rsidRPr="000F66AD">
        <w:rPr>
          <w:rFonts w:ascii="Times New Roman" w:hAnsi="Times New Roman" w:cs="Times New Roman"/>
          <w:sz w:val="20"/>
        </w:rPr>
        <w:t>R2-2006713</w:t>
      </w:r>
      <w:r w:rsidR="00943BF3" w:rsidRPr="007B7719">
        <w:rPr>
          <w:rFonts w:ascii="Times New Roman" w:hAnsi="Times New Roman" w:cs="Times New Roman"/>
          <w:sz w:val="20"/>
        </w:rPr>
        <w:t xml:space="preserve">, </w:t>
      </w:r>
      <w:r w:rsidR="000F66AD" w:rsidRPr="000F66AD">
        <w:rPr>
          <w:rFonts w:ascii="Times New Roman" w:hAnsi="Times New Roman" w:cs="Times New Roman"/>
          <w:sz w:val="20"/>
        </w:rPr>
        <w:t>SDT mechanism on RRC/non-RRC based approaches and RACH require</w:t>
      </w:r>
      <w:r w:rsidR="000F66AD" w:rsidRPr="00B756C9">
        <w:rPr>
          <w:rFonts w:ascii="Times New Roman" w:hAnsi="Times New Roman" w:cs="Times New Roman"/>
          <w:sz w:val="20"/>
        </w:rPr>
        <w:t>ments</w:t>
      </w:r>
      <w:r w:rsidR="00943BF3" w:rsidRPr="007B7719">
        <w:rPr>
          <w:rFonts w:ascii="Times New Roman" w:hAnsi="Times New Roman" w:cs="Times New Roman"/>
          <w:sz w:val="20"/>
        </w:rPr>
        <w:t>,</w:t>
      </w:r>
      <w:r w:rsidR="00943BF3" w:rsidRPr="000F66AD">
        <w:rPr>
          <w:rFonts w:ascii="Times New Roman" w:hAnsi="Times New Roman" w:cs="Times New Roman"/>
          <w:sz w:val="20"/>
        </w:rPr>
        <w:t xml:space="preserve"> Intel Corporation, August 2020.</w:t>
      </w:r>
      <w:bookmarkEnd w:id="129"/>
    </w:p>
    <w:bookmarkEnd w:id="128"/>
    <w:p w14:paraId="355ADD30" w14:textId="2F14D6BF" w:rsidR="00EB410E" w:rsidRDefault="00EB410E" w:rsidP="00BD361C">
      <w:pPr>
        <w:jc w:val="both"/>
        <w:rPr>
          <w:lang w:eastAsia="zh-CN"/>
        </w:rPr>
      </w:pPr>
    </w:p>
    <w:p w14:paraId="4697CAD4" w14:textId="7828BEC8" w:rsidR="00FC7172" w:rsidRDefault="00FC7172" w:rsidP="00BD361C">
      <w:pPr>
        <w:jc w:val="both"/>
        <w:rPr>
          <w:lang w:eastAsia="zh-CN"/>
        </w:rPr>
      </w:pPr>
    </w:p>
    <w:p w14:paraId="14ED293E" w14:textId="77777777" w:rsidR="001F7AFB" w:rsidRPr="000952B5" w:rsidRDefault="001F7AFB" w:rsidP="00BD361C">
      <w:pPr>
        <w:jc w:val="both"/>
        <w:rPr>
          <w:lang w:eastAsia="zh-CN"/>
        </w:rPr>
      </w:pPr>
    </w:p>
    <w:sectPr w:rsidR="001F7AFB" w:rsidRPr="000952B5"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Arial-ItalicMT">
    <w:altName w:val="Arial"/>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46F83"/>
    <w:multiLevelType w:val="hybridMultilevel"/>
    <w:tmpl w:val="665EB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8388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10180"/>
    <w:multiLevelType w:val="hybridMultilevel"/>
    <w:tmpl w:val="6E4253CC"/>
    <w:lvl w:ilvl="0" w:tplc="0F625DE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8359CC"/>
    <w:multiLevelType w:val="multilevel"/>
    <w:tmpl w:val="85A214C0"/>
    <w:lvl w:ilvl="0">
      <w:numFmt w:val="bullet"/>
      <w:lvlText w:val="-"/>
      <w:lvlJc w:val="left"/>
      <w:pPr>
        <w:ind w:left="1080" w:hanging="360"/>
      </w:pPr>
      <w:rPr>
        <w:rFonts w:ascii="Calibri" w:eastAsia="Calibri" w:hAnsi="Calibri" w:cs="Calibri"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4101FDB"/>
    <w:multiLevelType w:val="multilevel"/>
    <w:tmpl w:val="FD8C9BE6"/>
    <w:lvl w:ilvl="0">
      <w:start w:val="1"/>
      <w:numFmt w:val="decimal"/>
      <w:lvlText w:val="P%1."/>
      <w:lvlJc w:val="left"/>
      <w:pPr>
        <w:ind w:left="720" w:hanging="360"/>
      </w:pPr>
      <w:rPr>
        <w:rFonts w:hint="default"/>
      </w:rPr>
    </w:lvl>
    <w:lvl w:ilvl="1">
      <w:start w:val="1"/>
      <w:numFmt w:val="lowerLetter"/>
      <w:lvlText w:val="P%1.%2."/>
      <w:lvlJc w:val="left"/>
      <w:pPr>
        <w:ind w:left="1440" w:hanging="360"/>
      </w:pPr>
      <w:rPr>
        <w:rFonts w:hint="default"/>
      </w:rPr>
    </w:lvl>
    <w:lvl w:ilvl="2">
      <w:start w:val="1"/>
      <w:numFmt w:val="decimal"/>
      <w:lvlText w:val="P%1.%2.%3"/>
      <w:lvlJc w:val="left"/>
      <w:pPr>
        <w:ind w:left="2160" w:hanging="360"/>
      </w:pPr>
      <w:rPr>
        <w:rFonts w:hint="default"/>
      </w:rPr>
    </w:lvl>
    <w:lvl w:ilvl="3">
      <w:start w:val="1"/>
      <w:numFmt w:val="bullet"/>
      <w:lvlText w:val="-"/>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5F6E9B"/>
    <w:multiLevelType w:val="hybridMultilevel"/>
    <w:tmpl w:val="B548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084568B"/>
    <w:multiLevelType w:val="hybridMultilevel"/>
    <w:tmpl w:val="CEA4FE22"/>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E13C75"/>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26797F"/>
    <w:multiLevelType w:val="hybridMultilevel"/>
    <w:tmpl w:val="B07AD842"/>
    <w:lvl w:ilvl="0" w:tplc="36C80DD2">
      <w:start w:val="1"/>
      <w:numFmt w:val="decimal"/>
      <w:lvlText w:val="Approach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CC48A7"/>
    <w:multiLevelType w:val="hybridMultilevel"/>
    <w:tmpl w:val="E2686EA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55EE522A"/>
    <w:multiLevelType w:val="hybridMultilevel"/>
    <w:tmpl w:val="060EA86E"/>
    <w:lvl w:ilvl="0" w:tplc="5B16E1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4812BD"/>
    <w:multiLevelType w:val="hybridMultilevel"/>
    <w:tmpl w:val="436E3152"/>
    <w:lvl w:ilvl="0" w:tplc="44921D66">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0C6F1F"/>
    <w:multiLevelType w:val="hybridMultilevel"/>
    <w:tmpl w:val="8FA2B4F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8B65DC"/>
    <w:multiLevelType w:val="multilevel"/>
    <w:tmpl w:val="648B65DC"/>
    <w:lvl w:ilvl="0">
      <w:numFmt w:val="bullet"/>
      <w:lvlText w:val="-"/>
      <w:lvlJc w:val="left"/>
      <w:pPr>
        <w:ind w:left="1080" w:hanging="360"/>
      </w:pPr>
      <w:rPr>
        <w:rFonts w:ascii="Calibri" w:eastAsia="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68A55C92"/>
    <w:multiLevelType w:val="hybridMultilevel"/>
    <w:tmpl w:val="331E67E8"/>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503B8C"/>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0A7DC0"/>
    <w:multiLevelType w:val="hybridMultilevel"/>
    <w:tmpl w:val="6D4EAE3C"/>
    <w:lvl w:ilvl="0" w:tplc="6D20FA42">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num w:numId="1">
    <w:abstractNumId w:va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5"/>
  </w:num>
  <w:num w:numId="5">
    <w:abstractNumId w:val="10"/>
  </w:num>
  <w:num w:numId="6">
    <w:abstractNumId w:val="15"/>
  </w:num>
  <w:num w:numId="7">
    <w:abstractNumId w:val="2"/>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6"/>
  </w:num>
  <w:num w:numId="12">
    <w:abstractNumId w:val="18"/>
  </w:num>
  <w:num w:numId="13">
    <w:abstractNumId w:val="4"/>
  </w:num>
  <w:num w:numId="14">
    <w:abstractNumId w:val="3"/>
  </w:num>
  <w:num w:numId="15">
    <w:abstractNumId w:val="11"/>
  </w:num>
  <w:num w:numId="16">
    <w:abstractNumId w:val="21"/>
  </w:num>
  <w:num w:numId="17">
    <w:abstractNumId w:val="12"/>
  </w:num>
  <w:num w:numId="18">
    <w:abstractNumId w:val="9"/>
  </w:num>
  <w:num w:numId="19">
    <w:abstractNumId w:val="7"/>
  </w:num>
  <w:num w:numId="20">
    <w:abstractNumId w:val="0"/>
  </w:num>
  <w:num w:numId="21">
    <w:abstractNumId w:val="19"/>
  </w:num>
  <w:num w:numId="22">
    <w:abstractNumId w:val="22"/>
  </w:num>
  <w:num w:numId="23">
    <w:abstractNumId w:val="16"/>
  </w:num>
  <w:num w:numId="24">
    <w:abstractNumId w:val="10"/>
  </w:num>
  <w:num w:numId="25">
    <w:abstractNumId w:val="17"/>
  </w:num>
  <w:num w:numId="26">
    <w:abstractNumId w:val="14"/>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B"/>
    <w:rsid w:val="00004D3E"/>
    <w:rsid w:val="000051ED"/>
    <w:rsid w:val="000058EE"/>
    <w:rsid w:val="0001130E"/>
    <w:rsid w:val="00011A12"/>
    <w:rsid w:val="000175F8"/>
    <w:rsid w:val="0002395C"/>
    <w:rsid w:val="00024B8C"/>
    <w:rsid w:val="00024ED1"/>
    <w:rsid w:val="000252DC"/>
    <w:rsid w:val="0002636C"/>
    <w:rsid w:val="00026959"/>
    <w:rsid w:val="00030C56"/>
    <w:rsid w:val="00031FD8"/>
    <w:rsid w:val="0003270A"/>
    <w:rsid w:val="000358CD"/>
    <w:rsid w:val="000402FC"/>
    <w:rsid w:val="00044CD7"/>
    <w:rsid w:val="00044EED"/>
    <w:rsid w:val="00046012"/>
    <w:rsid w:val="00046A55"/>
    <w:rsid w:val="0004741E"/>
    <w:rsid w:val="0005101E"/>
    <w:rsid w:val="00052C2A"/>
    <w:rsid w:val="000567CC"/>
    <w:rsid w:val="000643A5"/>
    <w:rsid w:val="00064A00"/>
    <w:rsid w:val="00066A60"/>
    <w:rsid w:val="00070F5C"/>
    <w:rsid w:val="000722BC"/>
    <w:rsid w:val="00075B58"/>
    <w:rsid w:val="000769FC"/>
    <w:rsid w:val="000814CE"/>
    <w:rsid w:val="0008610A"/>
    <w:rsid w:val="00087450"/>
    <w:rsid w:val="00090031"/>
    <w:rsid w:val="0009013E"/>
    <w:rsid w:val="0009157D"/>
    <w:rsid w:val="000952B5"/>
    <w:rsid w:val="0009659A"/>
    <w:rsid w:val="0009678C"/>
    <w:rsid w:val="000978D5"/>
    <w:rsid w:val="000A0B70"/>
    <w:rsid w:val="000A39B4"/>
    <w:rsid w:val="000A4BB2"/>
    <w:rsid w:val="000B2EBD"/>
    <w:rsid w:val="000B306A"/>
    <w:rsid w:val="000B3665"/>
    <w:rsid w:val="000C11C3"/>
    <w:rsid w:val="000C16D2"/>
    <w:rsid w:val="000C19E5"/>
    <w:rsid w:val="000C1C64"/>
    <w:rsid w:val="000C412D"/>
    <w:rsid w:val="000C5372"/>
    <w:rsid w:val="000C5693"/>
    <w:rsid w:val="000C68B4"/>
    <w:rsid w:val="000C7571"/>
    <w:rsid w:val="000C7D8C"/>
    <w:rsid w:val="000D0C9D"/>
    <w:rsid w:val="000D0E18"/>
    <w:rsid w:val="000D2E9A"/>
    <w:rsid w:val="000D2EA9"/>
    <w:rsid w:val="000D3C1F"/>
    <w:rsid w:val="000D55CF"/>
    <w:rsid w:val="000D5795"/>
    <w:rsid w:val="000E22DC"/>
    <w:rsid w:val="000E6EA8"/>
    <w:rsid w:val="000E799C"/>
    <w:rsid w:val="000F0271"/>
    <w:rsid w:val="000F28A8"/>
    <w:rsid w:val="000F58C0"/>
    <w:rsid w:val="000F66AD"/>
    <w:rsid w:val="000F70DB"/>
    <w:rsid w:val="000F78D7"/>
    <w:rsid w:val="000F7C0D"/>
    <w:rsid w:val="00102E1B"/>
    <w:rsid w:val="00105294"/>
    <w:rsid w:val="001056E0"/>
    <w:rsid w:val="001069E2"/>
    <w:rsid w:val="00107FDD"/>
    <w:rsid w:val="00110C22"/>
    <w:rsid w:val="00115948"/>
    <w:rsid w:val="001164D9"/>
    <w:rsid w:val="00116A33"/>
    <w:rsid w:val="0011703B"/>
    <w:rsid w:val="00120D21"/>
    <w:rsid w:val="00121719"/>
    <w:rsid w:val="00121B05"/>
    <w:rsid w:val="00122E55"/>
    <w:rsid w:val="00123855"/>
    <w:rsid w:val="001248CB"/>
    <w:rsid w:val="001248FF"/>
    <w:rsid w:val="001253C8"/>
    <w:rsid w:val="00125CE0"/>
    <w:rsid w:val="001312C6"/>
    <w:rsid w:val="00131664"/>
    <w:rsid w:val="001338E5"/>
    <w:rsid w:val="00134DD5"/>
    <w:rsid w:val="00134F56"/>
    <w:rsid w:val="00135024"/>
    <w:rsid w:val="00135328"/>
    <w:rsid w:val="0013538F"/>
    <w:rsid w:val="00135952"/>
    <w:rsid w:val="00136A46"/>
    <w:rsid w:val="00137B5E"/>
    <w:rsid w:val="00141975"/>
    <w:rsid w:val="0014235B"/>
    <w:rsid w:val="00144B25"/>
    <w:rsid w:val="00145635"/>
    <w:rsid w:val="001503BF"/>
    <w:rsid w:val="001516A8"/>
    <w:rsid w:val="00153A0E"/>
    <w:rsid w:val="0015651B"/>
    <w:rsid w:val="00156FC2"/>
    <w:rsid w:val="00157F88"/>
    <w:rsid w:val="0016215A"/>
    <w:rsid w:val="00166819"/>
    <w:rsid w:val="00180997"/>
    <w:rsid w:val="00180E57"/>
    <w:rsid w:val="00181246"/>
    <w:rsid w:val="001833C5"/>
    <w:rsid w:val="001852D9"/>
    <w:rsid w:val="001855FF"/>
    <w:rsid w:val="00185B95"/>
    <w:rsid w:val="00186681"/>
    <w:rsid w:val="00186848"/>
    <w:rsid w:val="001870A4"/>
    <w:rsid w:val="001900C0"/>
    <w:rsid w:val="00190AF0"/>
    <w:rsid w:val="00191F06"/>
    <w:rsid w:val="001922B3"/>
    <w:rsid w:val="00194371"/>
    <w:rsid w:val="0019652E"/>
    <w:rsid w:val="001A1DD2"/>
    <w:rsid w:val="001A1E5F"/>
    <w:rsid w:val="001A2790"/>
    <w:rsid w:val="001A58F2"/>
    <w:rsid w:val="001B0B86"/>
    <w:rsid w:val="001B25F8"/>
    <w:rsid w:val="001B2CC1"/>
    <w:rsid w:val="001B585A"/>
    <w:rsid w:val="001B59ED"/>
    <w:rsid w:val="001B6FFD"/>
    <w:rsid w:val="001B7264"/>
    <w:rsid w:val="001B7FE7"/>
    <w:rsid w:val="001C0B5B"/>
    <w:rsid w:val="001C3FC5"/>
    <w:rsid w:val="001C51F7"/>
    <w:rsid w:val="001C5405"/>
    <w:rsid w:val="001C5C2C"/>
    <w:rsid w:val="001C6AED"/>
    <w:rsid w:val="001D01B9"/>
    <w:rsid w:val="001D0EF1"/>
    <w:rsid w:val="001D136B"/>
    <w:rsid w:val="001D30F5"/>
    <w:rsid w:val="001D4A3D"/>
    <w:rsid w:val="001D5580"/>
    <w:rsid w:val="001D65BD"/>
    <w:rsid w:val="001D6FCC"/>
    <w:rsid w:val="001D72FB"/>
    <w:rsid w:val="001E1B75"/>
    <w:rsid w:val="001E3688"/>
    <w:rsid w:val="001E51FB"/>
    <w:rsid w:val="001E5F90"/>
    <w:rsid w:val="001E702A"/>
    <w:rsid w:val="001E76E7"/>
    <w:rsid w:val="001E799C"/>
    <w:rsid w:val="001E7F73"/>
    <w:rsid w:val="001F0E29"/>
    <w:rsid w:val="001F129D"/>
    <w:rsid w:val="001F1419"/>
    <w:rsid w:val="001F3543"/>
    <w:rsid w:val="001F4C19"/>
    <w:rsid w:val="001F55D9"/>
    <w:rsid w:val="001F616B"/>
    <w:rsid w:val="001F6D27"/>
    <w:rsid w:val="001F7AFB"/>
    <w:rsid w:val="002005E3"/>
    <w:rsid w:val="00201050"/>
    <w:rsid w:val="00201795"/>
    <w:rsid w:val="0020581F"/>
    <w:rsid w:val="00211219"/>
    <w:rsid w:val="0021357A"/>
    <w:rsid w:val="00214F0F"/>
    <w:rsid w:val="0021728C"/>
    <w:rsid w:val="00217CA4"/>
    <w:rsid w:val="00220C7F"/>
    <w:rsid w:val="00222586"/>
    <w:rsid w:val="00222C68"/>
    <w:rsid w:val="00223AAF"/>
    <w:rsid w:val="00224419"/>
    <w:rsid w:val="00227402"/>
    <w:rsid w:val="002275B1"/>
    <w:rsid w:val="00232660"/>
    <w:rsid w:val="00233666"/>
    <w:rsid w:val="00233F2B"/>
    <w:rsid w:val="002374B6"/>
    <w:rsid w:val="00242BB2"/>
    <w:rsid w:val="00243473"/>
    <w:rsid w:val="00250922"/>
    <w:rsid w:val="002512CC"/>
    <w:rsid w:val="002553B0"/>
    <w:rsid w:val="00256A23"/>
    <w:rsid w:val="0025700B"/>
    <w:rsid w:val="0026110B"/>
    <w:rsid w:val="00262007"/>
    <w:rsid w:val="00262F18"/>
    <w:rsid w:val="00263F17"/>
    <w:rsid w:val="00265EF4"/>
    <w:rsid w:val="00265F51"/>
    <w:rsid w:val="00266A1D"/>
    <w:rsid w:val="00266F9F"/>
    <w:rsid w:val="00271671"/>
    <w:rsid w:val="00271A14"/>
    <w:rsid w:val="00275384"/>
    <w:rsid w:val="002804B5"/>
    <w:rsid w:val="00280799"/>
    <w:rsid w:val="002812A9"/>
    <w:rsid w:val="00282AE3"/>
    <w:rsid w:val="00290E41"/>
    <w:rsid w:val="0029113E"/>
    <w:rsid w:val="00291BB2"/>
    <w:rsid w:val="00291D0E"/>
    <w:rsid w:val="00296537"/>
    <w:rsid w:val="0029745C"/>
    <w:rsid w:val="002A0536"/>
    <w:rsid w:val="002A1353"/>
    <w:rsid w:val="002A1868"/>
    <w:rsid w:val="002A1C55"/>
    <w:rsid w:val="002A329A"/>
    <w:rsid w:val="002B02F3"/>
    <w:rsid w:val="002B16C0"/>
    <w:rsid w:val="002B27FE"/>
    <w:rsid w:val="002B3F5E"/>
    <w:rsid w:val="002B5B62"/>
    <w:rsid w:val="002B6F7E"/>
    <w:rsid w:val="002B7A40"/>
    <w:rsid w:val="002C02B8"/>
    <w:rsid w:val="002C2E61"/>
    <w:rsid w:val="002C4239"/>
    <w:rsid w:val="002C5E80"/>
    <w:rsid w:val="002D0530"/>
    <w:rsid w:val="002D115C"/>
    <w:rsid w:val="002D2563"/>
    <w:rsid w:val="002D37B1"/>
    <w:rsid w:val="002D527D"/>
    <w:rsid w:val="002D6334"/>
    <w:rsid w:val="002E0920"/>
    <w:rsid w:val="002E0D1C"/>
    <w:rsid w:val="002E261B"/>
    <w:rsid w:val="002E29F2"/>
    <w:rsid w:val="002E315F"/>
    <w:rsid w:val="002E4846"/>
    <w:rsid w:val="002E6481"/>
    <w:rsid w:val="002E79C5"/>
    <w:rsid w:val="002E79E4"/>
    <w:rsid w:val="002F0860"/>
    <w:rsid w:val="002F1433"/>
    <w:rsid w:val="002F1C7B"/>
    <w:rsid w:val="002F2BD6"/>
    <w:rsid w:val="002F784B"/>
    <w:rsid w:val="00300072"/>
    <w:rsid w:val="0030310B"/>
    <w:rsid w:val="0030316E"/>
    <w:rsid w:val="00307219"/>
    <w:rsid w:val="00307244"/>
    <w:rsid w:val="00307CED"/>
    <w:rsid w:val="003127FD"/>
    <w:rsid w:val="00312FE4"/>
    <w:rsid w:val="00314EB3"/>
    <w:rsid w:val="00316435"/>
    <w:rsid w:val="003206F5"/>
    <w:rsid w:val="0032072E"/>
    <w:rsid w:val="00320BDE"/>
    <w:rsid w:val="00321566"/>
    <w:rsid w:val="00321B1E"/>
    <w:rsid w:val="003233D3"/>
    <w:rsid w:val="00326087"/>
    <w:rsid w:val="00326BE1"/>
    <w:rsid w:val="00327091"/>
    <w:rsid w:val="003304A1"/>
    <w:rsid w:val="00331CB7"/>
    <w:rsid w:val="003355B7"/>
    <w:rsid w:val="00336C50"/>
    <w:rsid w:val="00341F53"/>
    <w:rsid w:val="00346F4E"/>
    <w:rsid w:val="00350132"/>
    <w:rsid w:val="003505FB"/>
    <w:rsid w:val="00350B77"/>
    <w:rsid w:val="00350E7A"/>
    <w:rsid w:val="00352616"/>
    <w:rsid w:val="0035345B"/>
    <w:rsid w:val="0035590E"/>
    <w:rsid w:val="0036193E"/>
    <w:rsid w:val="00361BD9"/>
    <w:rsid w:val="00362861"/>
    <w:rsid w:val="003629C5"/>
    <w:rsid w:val="00364701"/>
    <w:rsid w:val="00371709"/>
    <w:rsid w:val="0037333D"/>
    <w:rsid w:val="0037563B"/>
    <w:rsid w:val="003762E0"/>
    <w:rsid w:val="00377D5B"/>
    <w:rsid w:val="00381DC4"/>
    <w:rsid w:val="00381F91"/>
    <w:rsid w:val="00382FF9"/>
    <w:rsid w:val="00384A2F"/>
    <w:rsid w:val="00384D1F"/>
    <w:rsid w:val="00385021"/>
    <w:rsid w:val="0038764F"/>
    <w:rsid w:val="00393F1E"/>
    <w:rsid w:val="003959C5"/>
    <w:rsid w:val="00395E4E"/>
    <w:rsid w:val="003A0741"/>
    <w:rsid w:val="003A0A0B"/>
    <w:rsid w:val="003A1327"/>
    <w:rsid w:val="003A140D"/>
    <w:rsid w:val="003A1E0C"/>
    <w:rsid w:val="003A22F5"/>
    <w:rsid w:val="003A4062"/>
    <w:rsid w:val="003A54DD"/>
    <w:rsid w:val="003A58BA"/>
    <w:rsid w:val="003A5FE3"/>
    <w:rsid w:val="003A6AE5"/>
    <w:rsid w:val="003B29C3"/>
    <w:rsid w:val="003B2B7B"/>
    <w:rsid w:val="003B5861"/>
    <w:rsid w:val="003B7D4F"/>
    <w:rsid w:val="003C25C8"/>
    <w:rsid w:val="003C27C7"/>
    <w:rsid w:val="003C2F8D"/>
    <w:rsid w:val="003C3949"/>
    <w:rsid w:val="003C3B68"/>
    <w:rsid w:val="003C3D7B"/>
    <w:rsid w:val="003C5B57"/>
    <w:rsid w:val="003C75BA"/>
    <w:rsid w:val="003C79CC"/>
    <w:rsid w:val="003D3E9F"/>
    <w:rsid w:val="003D431C"/>
    <w:rsid w:val="003D47E4"/>
    <w:rsid w:val="003D784D"/>
    <w:rsid w:val="003E0B52"/>
    <w:rsid w:val="003E10FD"/>
    <w:rsid w:val="003E1A7F"/>
    <w:rsid w:val="003E2EB7"/>
    <w:rsid w:val="003E2F9A"/>
    <w:rsid w:val="003E4146"/>
    <w:rsid w:val="003E681A"/>
    <w:rsid w:val="003E700D"/>
    <w:rsid w:val="003E7F93"/>
    <w:rsid w:val="003F2975"/>
    <w:rsid w:val="003F416C"/>
    <w:rsid w:val="003F7868"/>
    <w:rsid w:val="004008AA"/>
    <w:rsid w:val="004021F4"/>
    <w:rsid w:val="004022B0"/>
    <w:rsid w:val="0040272B"/>
    <w:rsid w:val="0040307B"/>
    <w:rsid w:val="00403EFD"/>
    <w:rsid w:val="0040440F"/>
    <w:rsid w:val="00404820"/>
    <w:rsid w:val="00405308"/>
    <w:rsid w:val="00405A37"/>
    <w:rsid w:val="00405B5B"/>
    <w:rsid w:val="0040690A"/>
    <w:rsid w:val="00407394"/>
    <w:rsid w:val="00407F01"/>
    <w:rsid w:val="00410D1F"/>
    <w:rsid w:val="004126C1"/>
    <w:rsid w:val="00412D18"/>
    <w:rsid w:val="00420978"/>
    <w:rsid w:val="00421F9D"/>
    <w:rsid w:val="0042215A"/>
    <w:rsid w:val="00423546"/>
    <w:rsid w:val="004242B5"/>
    <w:rsid w:val="004255F6"/>
    <w:rsid w:val="00425DF3"/>
    <w:rsid w:val="004309CD"/>
    <w:rsid w:val="004317ED"/>
    <w:rsid w:val="0043202A"/>
    <w:rsid w:val="0043460B"/>
    <w:rsid w:val="0043461F"/>
    <w:rsid w:val="00434B87"/>
    <w:rsid w:val="0043533A"/>
    <w:rsid w:val="004373B5"/>
    <w:rsid w:val="0044032F"/>
    <w:rsid w:val="00440CBB"/>
    <w:rsid w:val="00441B5C"/>
    <w:rsid w:val="0044225E"/>
    <w:rsid w:val="00442C1C"/>
    <w:rsid w:val="0044529B"/>
    <w:rsid w:val="00447068"/>
    <w:rsid w:val="0045221E"/>
    <w:rsid w:val="00454973"/>
    <w:rsid w:val="0045651B"/>
    <w:rsid w:val="004568A7"/>
    <w:rsid w:val="00456D3E"/>
    <w:rsid w:val="00456F34"/>
    <w:rsid w:val="0046266B"/>
    <w:rsid w:val="00462835"/>
    <w:rsid w:val="00462E11"/>
    <w:rsid w:val="00466831"/>
    <w:rsid w:val="00467812"/>
    <w:rsid w:val="00470C03"/>
    <w:rsid w:val="00471640"/>
    <w:rsid w:val="00471BC9"/>
    <w:rsid w:val="00471E8D"/>
    <w:rsid w:val="0047415C"/>
    <w:rsid w:val="00474272"/>
    <w:rsid w:val="00475A5D"/>
    <w:rsid w:val="00476E00"/>
    <w:rsid w:val="00481913"/>
    <w:rsid w:val="00481943"/>
    <w:rsid w:val="00483AE1"/>
    <w:rsid w:val="00484476"/>
    <w:rsid w:val="004851A9"/>
    <w:rsid w:val="00485AEB"/>
    <w:rsid w:val="0048603B"/>
    <w:rsid w:val="004907E2"/>
    <w:rsid w:val="00491E01"/>
    <w:rsid w:val="00492010"/>
    <w:rsid w:val="00492F12"/>
    <w:rsid w:val="0049309C"/>
    <w:rsid w:val="0049422A"/>
    <w:rsid w:val="00495C84"/>
    <w:rsid w:val="00496ADA"/>
    <w:rsid w:val="004978CC"/>
    <w:rsid w:val="004A104C"/>
    <w:rsid w:val="004A3434"/>
    <w:rsid w:val="004A3B96"/>
    <w:rsid w:val="004A3C6B"/>
    <w:rsid w:val="004A4ADA"/>
    <w:rsid w:val="004A5AA2"/>
    <w:rsid w:val="004A6E26"/>
    <w:rsid w:val="004B06B9"/>
    <w:rsid w:val="004B17E6"/>
    <w:rsid w:val="004B22B3"/>
    <w:rsid w:val="004B2679"/>
    <w:rsid w:val="004B28E1"/>
    <w:rsid w:val="004B2D75"/>
    <w:rsid w:val="004B7AC0"/>
    <w:rsid w:val="004B7D70"/>
    <w:rsid w:val="004C0970"/>
    <w:rsid w:val="004C173B"/>
    <w:rsid w:val="004C2B8A"/>
    <w:rsid w:val="004C3390"/>
    <w:rsid w:val="004C5DF6"/>
    <w:rsid w:val="004C6014"/>
    <w:rsid w:val="004C7448"/>
    <w:rsid w:val="004D0571"/>
    <w:rsid w:val="004D23FE"/>
    <w:rsid w:val="004D269D"/>
    <w:rsid w:val="004D3284"/>
    <w:rsid w:val="004D383C"/>
    <w:rsid w:val="004D4755"/>
    <w:rsid w:val="004D4FEE"/>
    <w:rsid w:val="004D6352"/>
    <w:rsid w:val="004D63B9"/>
    <w:rsid w:val="004E059A"/>
    <w:rsid w:val="004E15EB"/>
    <w:rsid w:val="004E1A44"/>
    <w:rsid w:val="004E26ED"/>
    <w:rsid w:val="004E2FA1"/>
    <w:rsid w:val="004E3D9A"/>
    <w:rsid w:val="004E3F14"/>
    <w:rsid w:val="004E6448"/>
    <w:rsid w:val="004E7480"/>
    <w:rsid w:val="004E7A44"/>
    <w:rsid w:val="004E7EEC"/>
    <w:rsid w:val="004F2ED4"/>
    <w:rsid w:val="004F4342"/>
    <w:rsid w:val="004F48AA"/>
    <w:rsid w:val="004F4A11"/>
    <w:rsid w:val="004F68FC"/>
    <w:rsid w:val="004F7C11"/>
    <w:rsid w:val="004F7E17"/>
    <w:rsid w:val="00500246"/>
    <w:rsid w:val="00500AFF"/>
    <w:rsid w:val="0050275B"/>
    <w:rsid w:val="00502F77"/>
    <w:rsid w:val="00504A0B"/>
    <w:rsid w:val="00505611"/>
    <w:rsid w:val="005129CD"/>
    <w:rsid w:val="005132B3"/>
    <w:rsid w:val="005135AC"/>
    <w:rsid w:val="00513C78"/>
    <w:rsid w:val="0051416A"/>
    <w:rsid w:val="00514DC7"/>
    <w:rsid w:val="00514E67"/>
    <w:rsid w:val="0051714F"/>
    <w:rsid w:val="00520D12"/>
    <w:rsid w:val="00523113"/>
    <w:rsid w:val="005254FB"/>
    <w:rsid w:val="00527539"/>
    <w:rsid w:val="00531DA9"/>
    <w:rsid w:val="005376AF"/>
    <w:rsid w:val="00537F50"/>
    <w:rsid w:val="00541D4E"/>
    <w:rsid w:val="00542427"/>
    <w:rsid w:val="00544090"/>
    <w:rsid w:val="005472D4"/>
    <w:rsid w:val="0055112B"/>
    <w:rsid w:val="005522F9"/>
    <w:rsid w:val="00553D11"/>
    <w:rsid w:val="005544BE"/>
    <w:rsid w:val="00555E1A"/>
    <w:rsid w:val="0055662F"/>
    <w:rsid w:val="0055700A"/>
    <w:rsid w:val="005624FD"/>
    <w:rsid w:val="00563D51"/>
    <w:rsid w:val="0056472E"/>
    <w:rsid w:val="00564BCD"/>
    <w:rsid w:val="00565433"/>
    <w:rsid w:val="0056593D"/>
    <w:rsid w:val="005741D6"/>
    <w:rsid w:val="00574B8C"/>
    <w:rsid w:val="00575ECE"/>
    <w:rsid w:val="00576836"/>
    <w:rsid w:val="00577724"/>
    <w:rsid w:val="00580732"/>
    <w:rsid w:val="00581550"/>
    <w:rsid w:val="005820D8"/>
    <w:rsid w:val="0058227F"/>
    <w:rsid w:val="005841D3"/>
    <w:rsid w:val="005868B2"/>
    <w:rsid w:val="00586DA0"/>
    <w:rsid w:val="00590B18"/>
    <w:rsid w:val="00591F45"/>
    <w:rsid w:val="00593128"/>
    <w:rsid w:val="00593420"/>
    <w:rsid w:val="00594BDC"/>
    <w:rsid w:val="00595043"/>
    <w:rsid w:val="00596A78"/>
    <w:rsid w:val="005978ED"/>
    <w:rsid w:val="005A072F"/>
    <w:rsid w:val="005A0BF3"/>
    <w:rsid w:val="005A35AB"/>
    <w:rsid w:val="005A4150"/>
    <w:rsid w:val="005A43A2"/>
    <w:rsid w:val="005A46B8"/>
    <w:rsid w:val="005A79D8"/>
    <w:rsid w:val="005A7E8A"/>
    <w:rsid w:val="005B06CD"/>
    <w:rsid w:val="005B261B"/>
    <w:rsid w:val="005B29E2"/>
    <w:rsid w:val="005B5260"/>
    <w:rsid w:val="005B7AF1"/>
    <w:rsid w:val="005B7D05"/>
    <w:rsid w:val="005C195E"/>
    <w:rsid w:val="005C2156"/>
    <w:rsid w:val="005C229D"/>
    <w:rsid w:val="005C3750"/>
    <w:rsid w:val="005C4A0A"/>
    <w:rsid w:val="005C4C69"/>
    <w:rsid w:val="005C5250"/>
    <w:rsid w:val="005C5D60"/>
    <w:rsid w:val="005C5EF7"/>
    <w:rsid w:val="005C70EF"/>
    <w:rsid w:val="005D0F6F"/>
    <w:rsid w:val="005D11BF"/>
    <w:rsid w:val="005D321C"/>
    <w:rsid w:val="005D5731"/>
    <w:rsid w:val="005E025A"/>
    <w:rsid w:val="005E0875"/>
    <w:rsid w:val="005E11C8"/>
    <w:rsid w:val="005E172A"/>
    <w:rsid w:val="005E1BC1"/>
    <w:rsid w:val="005E592B"/>
    <w:rsid w:val="005E5E8D"/>
    <w:rsid w:val="005F15A3"/>
    <w:rsid w:val="005F18BC"/>
    <w:rsid w:val="005F1BA7"/>
    <w:rsid w:val="005F35E3"/>
    <w:rsid w:val="005F468D"/>
    <w:rsid w:val="005F4AEF"/>
    <w:rsid w:val="005F4C88"/>
    <w:rsid w:val="005F5212"/>
    <w:rsid w:val="005F5500"/>
    <w:rsid w:val="005F6798"/>
    <w:rsid w:val="005F6A39"/>
    <w:rsid w:val="005F761E"/>
    <w:rsid w:val="006012C2"/>
    <w:rsid w:val="006078D2"/>
    <w:rsid w:val="00615E16"/>
    <w:rsid w:val="0061614B"/>
    <w:rsid w:val="0061679B"/>
    <w:rsid w:val="006178DC"/>
    <w:rsid w:val="00617ECD"/>
    <w:rsid w:val="00621FA0"/>
    <w:rsid w:val="0062581E"/>
    <w:rsid w:val="00625E3F"/>
    <w:rsid w:val="00630F84"/>
    <w:rsid w:val="00635AB4"/>
    <w:rsid w:val="00637590"/>
    <w:rsid w:val="00643885"/>
    <w:rsid w:val="006438F9"/>
    <w:rsid w:val="00644B90"/>
    <w:rsid w:val="00646362"/>
    <w:rsid w:val="0064642E"/>
    <w:rsid w:val="00647E56"/>
    <w:rsid w:val="0065028F"/>
    <w:rsid w:val="0065046A"/>
    <w:rsid w:val="00655733"/>
    <w:rsid w:val="00656940"/>
    <w:rsid w:val="00656A41"/>
    <w:rsid w:val="0065716D"/>
    <w:rsid w:val="0066174B"/>
    <w:rsid w:val="0066189C"/>
    <w:rsid w:val="00662FFF"/>
    <w:rsid w:val="006634DC"/>
    <w:rsid w:val="00663FCB"/>
    <w:rsid w:val="00665D8A"/>
    <w:rsid w:val="00667053"/>
    <w:rsid w:val="00667149"/>
    <w:rsid w:val="0067003B"/>
    <w:rsid w:val="006717BA"/>
    <w:rsid w:val="00672CE1"/>
    <w:rsid w:val="00673934"/>
    <w:rsid w:val="00673A55"/>
    <w:rsid w:val="0067583E"/>
    <w:rsid w:val="00677A18"/>
    <w:rsid w:val="00677C03"/>
    <w:rsid w:val="00682C07"/>
    <w:rsid w:val="006841B8"/>
    <w:rsid w:val="006841E0"/>
    <w:rsid w:val="006856AC"/>
    <w:rsid w:val="0068576E"/>
    <w:rsid w:val="00685E6B"/>
    <w:rsid w:val="00690048"/>
    <w:rsid w:val="006921C2"/>
    <w:rsid w:val="0069532C"/>
    <w:rsid w:val="00696621"/>
    <w:rsid w:val="006A004E"/>
    <w:rsid w:val="006A1094"/>
    <w:rsid w:val="006A20E2"/>
    <w:rsid w:val="006A2BE3"/>
    <w:rsid w:val="006A2EFB"/>
    <w:rsid w:val="006A3BFF"/>
    <w:rsid w:val="006A3F69"/>
    <w:rsid w:val="006A42ED"/>
    <w:rsid w:val="006A5C64"/>
    <w:rsid w:val="006A741B"/>
    <w:rsid w:val="006B021A"/>
    <w:rsid w:val="006B1E2F"/>
    <w:rsid w:val="006B1EFD"/>
    <w:rsid w:val="006B5BE9"/>
    <w:rsid w:val="006C5BE0"/>
    <w:rsid w:val="006C6753"/>
    <w:rsid w:val="006D0390"/>
    <w:rsid w:val="006D2D8F"/>
    <w:rsid w:val="006D34BE"/>
    <w:rsid w:val="006D5A8D"/>
    <w:rsid w:val="006D5D9D"/>
    <w:rsid w:val="006D5F32"/>
    <w:rsid w:val="006D7448"/>
    <w:rsid w:val="006E01F8"/>
    <w:rsid w:val="006E04B4"/>
    <w:rsid w:val="006E39E3"/>
    <w:rsid w:val="006E45CA"/>
    <w:rsid w:val="006E7168"/>
    <w:rsid w:val="006E71E4"/>
    <w:rsid w:val="006F0FCC"/>
    <w:rsid w:val="006F1F82"/>
    <w:rsid w:val="006F29EF"/>
    <w:rsid w:val="006F34B3"/>
    <w:rsid w:val="006F467A"/>
    <w:rsid w:val="006F6B9A"/>
    <w:rsid w:val="00701AEA"/>
    <w:rsid w:val="00702959"/>
    <w:rsid w:val="00703484"/>
    <w:rsid w:val="007044C3"/>
    <w:rsid w:val="0070546E"/>
    <w:rsid w:val="00710BDE"/>
    <w:rsid w:val="00714E0C"/>
    <w:rsid w:val="00715BD0"/>
    <w:rsid w:val="00716C35"/>
    <w:rsid w:val="00717AEF"/>
    <w:rsid w:val="007217D4"/>
    <w:rsid w:val="00723E6E"/>
    <w:rsid w:val="00723F24"/>
    <w:rsid w:val="007242B5"/>
    <w:rsid w:val="00727AC3"/>
    <w:rsid w:val="00733B40"/>
    <w:rsid w:val="007342AA"/>
    <w:rsid w:val="00734738"/>
    <w:rsid w:val="00736019"/>
    <w:rsid w:val="007361A8"/>
    <w:rsid w:val="007373FC"/>
    <w:rsid w:val="00742F5B"/>
    <w:rsid w:val="00745D2E"/>
    <w:rsid w:val="00747593"/>
    <w:rsid w:val="00750871"/>
    <w:rsid w:val="007509ED"/>
    <w:rsid w:val="00751C72"/>
    <w:rsid w:val="0075425E"/>
    <w:rsid w:val="0075446D"/>
    <w:rsid w:val="00756E73"/>
    <w:rsid w:val="00757443"/>
    <w:rsid w:val="00763A1D"/>
    <w:rsid w:val="00764E18"/>
    <w:rsid w:val="007658B4"/>
    <w:rsid w:val="00765ED1"/>
    <w:rsid w:val="00767378"/>
    <w:rsid w:val="00770C86"/>
    <w:rsid w:val="00772543"/>
    <w:rsid w:val="00772750"/>
    <w:rsid w:val="00774F28"/>
    <w:rsid w:val="0077577E"/>
    <w:rsid w:val="0078107E"/>
    <w:rsid w:val="0078175C"/>
    <w:rsid w:val="00782514"/>
    <w:rsid w:val="00783DB9"/>
    <w:rsid w:val="00784882"/>
    <w:rsid w:val="00785314"/>
    <w:rsid w:val="00786094"/>
    <w:rsid w:val="007862BE"/>
    <w:rsid w:val="007864D0"/>
    <w:rsid w:val="00787BB4"/>
    <w:rsid w:val="00791974"/>
    <w:rsid w:val="00791AA4"/>
    <w:rsid w:val="00792895"/>
    <w:rsid w:val="0079372B"/>
    <w:rsid w:val="007938A3"/>
    <w:rsid w:val="007938F9"/>
    <w:rsid w:val="00796642"/>
    <w:rsid w:val="007968CE"/>
    <w:rsid w:val="00797870"/>
    <w:rsid w:val="007A0694"/>
    <w:rsid w:val="007A0AB2"/>
    <w:rsid w:val="007A16E4"/>
    <w:rsid w:val="007A2583"/>
    <w:rsid w:val="007A27D2"/>
    <w:rsid w:val="007A36E2"/>
    <w:rsid w:val="007A3ADD"/>
    <w:rsid w:val="007A5FBC"/>
    <w:rsid w:val="007A681A"/>
    <w:rsid w:val="007B0AE2"/>
    <w:rsid w:val="007B1BD1"/>
    <w:rsid w:val="007B3C80"/>
    <w:rsid w:val="007B65B6"/>
    <w:rsid w:val="007B7719"/>
    <w:rsid w:val="007C08E0"/>
    <w:rsid w:val="007C0A64"/>
    <w:rsid w:val="007C0B10"/>
    <w:rsid w:val="007C1B03"/>
    <w:rsid w:val="007C3404"/>
    <w:rsid w:val="007C4886"/>
    <w:rsid w:val="007C4DA5"/>
    <w:rsid w:val="007C4DFD"/>
    <w:rsid w:val="007C5B12"/>
    <w:rsid w:val="007C6038"/>
    <w:rsid w:val="007C661B"/>
    <w:rsid w:val="007C6DA8"/>
    <w:rsid w:val="007D2864"/>
    <w:rsid w:val="007D2A47"/>
    <w:rsid w:val="007D3611"/>
    <w:rsid w:val="007D4F76"/>
    <w:rsid w:val="007D7397"/>
    <w:rsid w:val="007D789D"/>
    <w:rsid w:val="007D7BC1"/>
    <w:rsid w:val="007E216D"/>
    <w:rsid w:val="007E2FCF"/>
    <w:rsid w:val="007E4080"/>
    <w:rsid w:val="007E6489"/>
    <w:rsid w:val="007E680D"/>
    <w:rsid w:val="007F0FFA"/>
    <w:rsid w:val="007F279F"/>
    <w:rsid w:val="007F2A8C"/>
    <w:rsid w:val="007F3338"/>
    <w:rsid w:val="007F3946"/>
    <w:rsid w:val="007F3CF2"/>
    <w:rsid w:val="007F4004"/>
    <w:rsid w:val="007F4D1F"/>
    <w:rsid w:val="007F4E67"/>
    <w:rsid w:val="007F6C2B"/>
    <w:rsid w:val="00801C9C"/>
    <w:rsid w:val="0081354D"/>
    <w:rsid w:val="008150D8"/>
    <w:rsid w:val="00824A70"/>
    <w:rsid w:val="00824ADC"/>
    <w:rsid w:val="00824E9A"/>
    <w:rsid w:val="00825226"/>
    <w:rsid w:val="00826A90"/>
    <w:rsid w:val="008271F3"/>
    <w:rsid w:val="00832025"/>
    <w:rsid w:val="00833E41"/>
    <w:rsid w:val="00834D79"/>
    <w:rsid w:val="008359E9"/>
    <w:rsid w:val="00836601"/>
    <w:rsid w:val="00837383"/>
    <w:rsid w:val="00843220"/>
    <w:rsid w:val="00843357"/>
    <w:rsid w:val="0084751F"/>
    <w:rsid w:val="00850946"/>
    <w:rsid w:val="008518AA"/>
    <w:rsid w:val="00852485"/>
    <w:rsid w:val="00853E87"/>
    <w:rsid w:val="00857D70"/>
    <w:rsid w:val="00864E92"/>
    <w:rsid w:val="008651F7"/>
    <w:rsid w:val="00867C8B"/>
    <w:rsid w:val="008706EA"/>
    <w:rsid w:val="00872274"/>
    <w:rsid w:val="00872917"/>
    <w:rsid w:val="00873C9F"/>
    <w:rsid w:val="00874E52"/>
    <w:rsid w:val="00877BD7"/>
    <w:rsid w:val="00881515"/>
    <w:rsid w:val="0088449C"/>
    <w:rsid w:val="00886152"/>
    <w:rsid w:val="00890017"/>
    <w:rsid w:val="00891FD2"/>
    <w:rsid w:val="00892479"/>
    <w:rsid w:val="008938EE"/>
    <w:rsid w:val="008944F3"/>
    <w:rsid w:val="008956AB"/>
    <w:rsid w:val="008A0FA7"/>
    <w:rsid w:val="008A15CC"/>
    <w:rsid w:val="008A209F"/>
    <w:rsid w:val="008A22B3"/>
    <w:rsid w:val="008A2A66"/>
    <w:rsid w:val="008A457B"/>
    <w:rsid w:val="008A4B97"/>
    <w:rsid w:val="008A4E3F"/>
    <w:rsid w:val="008A7178"/>
    <w:rsid w:val="008B2712"/>
    <w:rsid w:val="008B4E5C"/>
    <w:rsid w:val="008B56A6"/>
    <w:rsid w:val="008B5AE3"/>
    <w:rsid w:val="008B693F"/>
    <w:rsid w:val="008C1F7E"/>
    <w:rsid w:val="008C444C"/>
    <w:rsid w:val="008C6A3F"/>
    <w:rsid w:val="008C7266"/>
    <w:rsid w:val="008C736A"/>
    <w:rsid w:val="008D00ED"/>
    <w:rsid w:val="008D2360"/>
    <w:rsid w:val="008D2A47"/>
    <w:rsid w:val="008D72F4"/>
    <w:rsid w:val="008D7E74"/>
    <w:rsid w:val="008E03E7"/>
    <w:rsid w:val="008E3FB9"/>
    <w:rsid w:val="008E7157"/>
    <w:rsid w:val="008F0A95"/>
    <w:rsid w:val="008F5C57"/>
    <w:rsid w:val="008F698B"/>
    <w:rsid w:val="0090133E"/>
    <w:rsid w:val="00901671"/>
    <w:rsid w:val="009023F5"/>
    <w:rsid w:val="0090288B"/>
    <w:rsid w:val="009044DE"/>
    <w:rsid w:val="00905368"/>
    <w:rsid w:val="00905678"/>
    <w:rsid w:val="009134EB"/>
    <w:rsid w:val="00914498"/>
    <w:rsid w:val="00915A0C"/>
    <w:rsid w:val="00915FDF"/>
    <w:rsid w:val="00916DF2"/>
    <w:rsid w:val="009172C5"/>
    <w:rsid w:val="0092085A"/>
    <w:rsid w:val="00921FB9"/>
    <w:rsid w:val="009222DB"/>
    <w:rsid w:val="009247BC"/>
    <w:rsid w:val="00925371"/>
    <w:rsid w:val="00925BB0"/>
    <w:rsid w:val="0092773E"/>
    <w:rsid w:val="00927837"/>
    <w:rsid w:val="0093132A"/>
    <w:rsid w:val="00932442"/>
    <w:rsid w:val="00934CDE"/>
    <w:rsid w:val="00935856"/>
    <w:rsid w:val="00936315"/>
    <w:rsid w:val="009373CA"/>
    <w:rsid w:val="00942AA2"/>
    <w:rsid w:val="00943BF3"/>
    <w:rsid w:val="009442A4"/>
    <w:rsid w:val="009455E3"/>
    <w:rsid w:val="00946E30"/>
    <w:rsid w:val="009470A5"/>
    <w:rsid w:val="00950040"/>
    <w:rsid w:val="00951D38"/>
    <w:rsid w:val="009527EC"/>
    <w:rsid w:val="0095460E"/>
    <w:rsid w:val="00954A00"/>
    <w:rsid w:val="009572DE"/>
    <w:rsid w:val="00960A31"/>
    <w:rsid w:val="00963C3C"/>
    <w:rsid w:val="00963F39"/>
    <w:rsid w:val="0096419F"/>
    <w:rsid w:val="00965FDC"/>
    <w:rsid w:val="009667F4"/>
    <w:rsid w:val="009677D5"/>
    <w:rsid w:val="00967F98"/>
    <w:rsid w:val="00970E56"/>
    <w:rsid w:val="00971EB5"/>
    <w:rsid w:val="00973827"/>
    <w:rsid w:val="009752B5"/>
    <w:rsid w:val="00977E04"/>
    <w:rsid w:val="00983D84"/>
    <w:rsid w:val="0098467A"/>
    <w:rsid w:val="00985354"/>
    <w:rsid w:val="00985840"/>
    <w:rsid w:val="009927CD"/>
    <w:rsid w:val="00992EDA"/>
    <w:rsid w:val="00993A0E"/>
    <w:rsid w:val="00994353"/>
    <w:rsid w:val="00996918"/>
    <w:rsid w:val="00996C2D"/>
    <w:rsid w:val="009A2F70"/>
    <w:rsid w:val="009A347E"/>
    <w:rsid w:val="009A3947"/>
    <w:rsid w:val="009A5BF0"/>
    <w:rsid w:val="009B0509"/>
    <w:rsid w:val="009B1CBD"/>
    <w:rsid w:val="009B3DD7"/>
    <w:rsid w:val="009B485C"/>
    <w:rsid w:val="009B5BFC"/>
    <w:rsid w:val="009B5ED2"/>
    <w:rsid w:val="009B7782"/>
    <w:rsid w:val="009C4D89"/>
    <w:rsid w:val="009C6DAD"/>
    <w:rsid w:val="009D2F82"/>
    <w:rsid w:val="009D3724"/>
    <w:rsid w:val="009D39E7"/>
    <w:rsid w:val="009D3AAD"/>
    <w:rsid w:val="009D4136"/>
    <w:rsid w:val="009D4A10"/>
    <w:rsid w:val="009D5A96"/>
    <w:rsid w:val="009E0186"/>
    <w:rsid w:val="009E2244"/>
    <w:rsid w:val="009E2C3E"/>
    <w:rsid w:val="009E3553"/>
    <w:rsid w:val="009E4A9E"/>
    <w:rsid w:val="009E5F07"/>
    <w:rsid w:val="009E7166"/>
    <w:rsid w:val="009E7D3B"/>
    <w:rsid w:val="009E7D48"/>
    <w:rsid w:val="009F1DA6"/>
    <w:rsid w:val="009F2D11"/>
    <w:rsid w:val="009F4212"/>
    <w:rsid w:val="009F4C2D"/>
    <w:rsid w:val="009F6426"/>
    <w:rsid w:val="009F77D2"/>
    <w:rsid w:val="00A0004C"/>
    <w:rsid w:val="00A04EB8"/>
    <w:rsid w:val="00A050E5"/>
    <w:rsid w:val="00A06B1F"/>
    <w:rsid w:val="00A06CB4"/>
    <w:rsid w:val="00A110C4"/>
    <w:rsid w:val="00A12B48"/>
    <w:rsid w:val="00A12DEC"/>
    <w:rsid w:val="00A16907"/>
    <w:rsid w:val="00A204DA"/>
    <w:rsid w:val="00A22242"/>
    <w:rsid w:val="00A244BA"/>
    <w:rsid w:val="00A24586"/>
    <w:rsid w:val="00A24E6B"/>
    <w:rsid w:val="00A25665"/>
    <w:rsid w:val="00A26A27"/>
    <w:rsid w:val="00A277D2"/>
    <w:rsid w:val="00A34E4E"/>
    <w:rsid w:val="00A366B3"/>
    <w:rsid w:val="00A407CB"/>
    <w:rsid w:val="00A4385F"/>
    <w:rsid w:val="00A43D51"/>
    <w:rsid w:val="00A4565C"/>
    <w:rsid w:val="00A462F3"/>
    <w:rsid w:val="00A50C38"/>
    <w:rsid w:val="00A52810"/>
    <w:rsid w:val="00A60EFB"/>
    <w:rsid w:val="00A61023"/>
    <w:rsid w:val="00A633CC"/>
    <w:rsid w:val="00A63E2D"/>
    <w:rsid w:val="00A657C9"/>
    <w:rsid w:val="00A66B44"/>
    <w:rsid w:val="00A70E11"/>
    <w:rsid w:val="00A72715"/>
    <w:rsid w:val="00A72CDC"/>
    <w:rsid w:val="00A72E9A"/>
    <w:rsid w:val="00A75565"/>
    <w:rsid w:val="00A76142"/>
    <w:rsid w:val="00A76548"/>
    <w:rsid w:val="00A81637"/>
    <w:rsid w:val="00A81EC4"/>
    <w:rsid w:val="00A82E0B"/>
    <w:rsid w:val="00A83779"/>
    <w:rsid w:val="00A839CE"/>
    <w:rsid w:val="00A83A3E"/>
    <w:rsid w:val="00A8685C"/>
    <w:rsid w:val="00A90418"/>
    <w:rsid w:val="00A90C0F"/>
    <w:rsid w:val="00A91009"/>
    <w:rsid w:val="00A91F20"/>
    <w:rsid w:val="00A92D57"/>
    <w:rsid w:val="00A92EC0"/>
    <w:rsid w:val="00A92F16"/>
    <w:rsid w:val="00A94585"/>
    <w:rsid w:val="00A960A1"/>
    <w:rsid w:val="00A977BA"/>
    <w:rsid w:val="00A97A5C"/>
    <w:rsid w:val="00AA21A0"/>
    <w:rsid w:val="00AA3165"/>
    <w:rsid w:val="00AA4072"/>
    <w:rsid w:val="00AA6716"/>
    <w:rsid w:val="00AA6B2E"/>
    <w:rsid w:val="00AB027A"/>
    <w:rsid w:val="00AB1AB5"/>
    <w:rsid w:val="00AB2DAF"/>
    <w:rsid w:val="00AB3DB9"/>
    <w:rsid w:val="00AB4879"/>
    <w:rsid w:val="00AB6C27"/>
    <w:rsid w:val="00AB75B1"/>
    <w:rsid w:val="00AC3AB8"/>
    <w:rsid w:val="00AC4A42"/>
    <w:rsid w:val="00AC4FA2"/>
    <w:rsid w:val="00AC53E4"/>
    <w:rsid w:val="00AC5A88"/>
    <w:rsid w:val="00AD0208"/>
    <w:rsid w:val="00AD022F"/>
    <w:rsid w:val="00AD3DA4"/>
    <w:rsid w:val="00AD600D"/>
    <w:rsid w:val="00AD7510"/>
    <w:rsid w:val="00AE2675"/>
    <w:rsid w:val="00AE2AA8"/>
    <w:rsid w:val="00AE2EAC"/>
    <w:rsid w:val="00AE3328"/>
    <w:rsid w:val="00AE4045"/>
    <w:rsid w:val="00AE7B1A"/>
    <w:rsid w:val="00AF343F"/>
    <w:rsid w:val="00AF52A5"/>
    <w:rsid w:val="00AF6E5D"/>
    <w:rsid w:val="00AF768E"/>
    <w:rsid w:val="00AF7E9B"/>
    <w:rsid w:val="00B024E3"/>
    <w:rsid w:val="00B029B1"/>
    <w:rsid w:val="00B05C80"/>
    <w:rsid w:val="00B0660A"/>
    <w:rsid w:val="00B070B6"/>
    <w:rsid w:val="00B1098B"/>
    <w:rsid w:val="00B124CA"/>
    <w:rsid w:val="00B15E74"/>
    <w:rsid w:val="00B20A19"/>
    <w:rsid w:val="00B210A7"/>
    <w:rsid w:val="00B24CA6"/>
    <w:rsid w:val="00B26CB3"/>
    <w:rsid w:val="00B27224"/>
    <w:rsid w:val="00B27357"/>
    <w:rsid w:val="00B274B2"/>
    <w:rsid w:val="00B27C55"/>
    <w:rsid w:val="00B304C9"/>
    <w:rsid w:val="00B31A42"/>
    <w:rsid w:val="00B33FFC"/>
    <w:rsid w:val="00B3705A"/>
    <w:rsid w:val="00B403A1"/>
    <w:rsid w:val="00B41BBD"/>
    <w:rsid w:val="00B41D8F"/>
    <w:rsid w:val="00B41DAB"/>
    <w:rsid w:val="00B42101"/>
    <w:rsid w:val="00B431AA"/>
    <w:rsid w:val="00B4771F"/>
    <w:rsid w:val="00B50E8C"/>
    <w:rsid w:val="00B50F6E"/>
    <w:rsid w:val="00B534D9"/>
    <w:rsid w:val="00B54A85"/>
    <w:rsid w:val="00B56910"/>
    <w:rsid w:val="00B651D5"/>
    <w:rsid w:val="00B65268"/>
    <w:rsid w:val="00B67543"/>
    <w:rsid w:val="00B705EB"/>
    <w:rsid w:val="00B72D2E"/>
    <w:rsid w:val="00B72D32"/>
    <w:rsid w:val="00B72FAB"/>
    <w:rsid w:val="00B74979"/>
    <w:rsid w:val="00B756C9"/>
    <w:rsid w:val="00B77883"/>
    <w:rsid w:val="00B81B36"/>
    <w:rsid w:val="00B81CC1"/>
    <w:rsid w:val="00B845E3"/>
    <w:rsid w:val="00B86BBB"/>
    <w:rsid w:val="00B87E43"/>
    <w:rsid w:val="00B91080"/>
    <w:rsid w:val="00B92472"/>
    <w:rsid w:val="00B940D6"/>
    <w:rsid w:val="00B943AA"/>
    <w:rsid w:val="00B94AD3"/>
    <w:rsid w:val="00B95998"/>
    <w:rsid w:val="00BA1A50"/>
    <w:rsid w:val="00BA6DF1"/>
    <w:rsid w:val="00BA6FC9"/>
    <w:rsid w:val="00BA72B0"/>
    <w:rsid w:val="00BB2847"/>
    <w:rsid w:val="00BB67C6"/>
    <w:rsid w:val="00BB753E"/>
    <w:rsid w:val="00BB7D1C"/>
    <w:rsid w:val="00BC0823"/>
    <w:rsid w:val="00BC0E48"/>
    <w:rsid w:val="00BC10EE"/>
    <w:rsid w:val="00BC19C6"/>
    <w:rsid w:val="00BC3B24"/>
    <w:rsid w:val="00BC3FFF"/>
    <w:rsid w:val="00BC406B"/>
    <w:rsid w:val="00BC4E84"/>
    <w:rsid w:val="00BC6D18"/>
    <w:rsid w:val="00BC7504"/>
    <w:rsid w:val="00BC762D"/>
    <w:rsid w:val="00BC7678"/>
    <w:rsid w:val="00BD01DC"/>
    <w:rsid w:val="00BD361C"/>
    <w:rsid w:val="00BD3894"/>
    <w:rsid w:val="00BD4977"/>
    <w:rsid w:val="00BD4EBC"/>
    <w:rsid w:val="00BD550A"/>
    <w:rsid w:val="00BD5D42"/>
    <w:rsid w:val="00BD6D0B"/>
    <w:rsid w:val="00BD737B"/>
    <w:rsid w:val="00BD7C6B"/>
    <w:rsid w:val="00BE156F"/>
    <w:rsid w:val="00BE2C50"/>
    <w:rsid w:val="00BE30A5"/>
    <w:rsid w:val="00BE33CC"/>
    <w:rsid w:val="00BE4CFF"/>
    <w:rsid w:val="00BE6D90"/>
    <w:rsid w:val="00BE7567"/>
    <w:rsid w:val="00BE7A1C"/>
    <w:rsid w:val="00BF1A32"/>
    <w:rsid w:val="00BF485B"/>
    <w:rsid w:val="00BF4C01"/>
    <w:rsid w:val="00C012A5"/>
    <w:rsid w:val="00C021E2"/>
    <w:rsid w:val="00C04CDC"/>
    <w:rsid w:val="00C058D9"/>
    <w:rsid w:val="00C06096"/>
    <w:rsid w:val="00C07246"/>
    <w:rsid w:val="00C13C36"/>
    <w:rsid w:val="00C14EC5"/>
    <w:rsid w:val="00C2178C"/>
    <w:rsid w:val="00C22E48"/>
    <w:rsid w:val="00C23F3E"/>
    <w:rsid w:val="00C23FCA"/>
    <w:rsid w:val="00C24A48"/>
    <w:rsid w:val="00C251F4"/>
    <w:rsid w:val="00C2530B"/>
    <w:rsid w:val="00C2564F"/>
    <w:rsid w:val="00C26518"/>
    <w:rsid w:val="00C2759E"/>
    <w:rsid w:val="00C33084"/>
    <w:rsid w:val="00C33639"/>
    <w:rsid w:val="00C35FE9"/>
    <w:rsid w:val="00C376A1"/>
    <w:rsid w:val="00C41AC2"/>
    <w:rsid w:val="00C43085"/>
    <w:rsid w:val="00C43B4A"/>
    <w:rsid w:val="00C440B1"/>
    <w:rsid w:val="00C4499B"/>
    <w:rsid w:val="00C53DB6"/>
    <w:rsid w:val="00C60B71"/>
    <w:rsid w:val="00C617D4"/>
    <w:rsid w:val="00C63660"/>
    <w:rsid w:val="00C63907"/>
    <w:rsid w:val="00C6550B"/>
    <w:rsid w:val="00C67049"/>
    <w:rsid w:val="00C6728A"/>
    <w:rsid w:val="00C71FAA"/>
    <w:rsid w:val="00C72D1A"/>
    <w:rsid w:val="00C730BA"/>
    <w:rsid w:val="00C7626C"/>
    <w:rsid w:val="00C76CF9"/>
    <w:rsid w:val="00C8286F"/>
    <w:rsid w:val="00C828D6"/>
    <w:rsid w:val="00C83D64"/>
    <w:rsid w:val="00C8509C"/>
    <w:rsid w:val="00C86215"/>
    <w:rsid w:val="00C86C4E"/>
    <w:rsid w:val="00C921E3"/>
    <w:rsid w:val="00C9248F"/>
    <w:rsid w:val="00C926E7"/>
    <w:rsid w:val="00C9346B"/>
    <w:rsid w:val="00C9470B"/>
    <w:rsid w:val="00C94E1E"/>
    <w:rsid w:val="00C95589"/>
    <w:rsid w:val="00C95A7A"/>
    <w:rsid w:val="00C96EED"/>
    <w:rsid w:val="00CA13C0"/>
    <w:rsid w:val="00CA1820"/>
    <w:rsid w:val="00CA52A7"/>
    <w:rsid w:val="00CA6198"/>
    <w:rsid w:val="00CA6D92"/>
    <w:rsid w:val="00CA74AE"/>
    <w:rsid w:val="00CB0C66"/>
    <w:rsid w:val="00CB0D14"/>
    <w:rsid w:val="00CB48EA"/>
    <w:rsid w:val="00CB6375"/>
    <w:rsid w:val="00CB6AFC"/>
    <w:rsid w:val="00CB6D52"/>
    <w:rsid w:val="00CC05CC"/>
    <w:rsid w:val="00CC0715"/>
    <w:rsid w:val="00CC2057"/>
    <w:rsid w:val="00CC3300"/>
    <w:rsid w:val="00CC5CB1"/>
    <w:rsid w:val="00CC7310"/>
    <w:rsid w:val="00CC7595"/>
    <w:rsid w:val="00CD01DD"/>
    <w:rsid w:val="00CD031C"/>
    <w:rsid w:val="00CD09C9"/>
    <w:rsid w:val="00CD0D03"/>
    <w:rsid w:val="00CD124E"/>
    <w:rsid w:val="00CD5E8B"/>
    <w:rsid w:val="00CD6246"/>
    <w:rsid w:val="00CD6B8D"/>
    <w:rsid w:val="00CD7828"/>
    <w:rsid w:val="00CD7978"/>
    <w:rsid w:val="00CE0DE9"/>
    <w:rsid w:val="00CE12D6"/>
    <w:rsid w:val="00CE14BF"/>
    <w:rsid w:val="00CE1D1F"/>
    <w:rsid w:val="00CE3CFD"/>
    <w:rsid w:val="00CE5F58"/>
    <w:rsid w:val="00CF03BD"/>
    <w:rsid w:val="00CF1156"/>
    <w:rsid w:val="00CF464F"/>
    <w:rsid w:val="00D02729"/>
    <w:rsid w:val="00D02EFE"/>
    <w:rsid w:val="00D0378A"/>
    <w:rsid w:val="00D03D2C"/>
    <w:rsid w:val="00D03D52"/>
    <w:rsid w:val="00D03FED"/>
    <w:rsid w:val="00D0472B"/>
    <w:rsid w:val="00D0482C"/>
    <w:rsid w:val="00D052D6"/>
    <w:rsid w:val="00D066BB"/>
    <w:rsid w:val="00D06B0D"/>
    <w:rsid w:val="00D07BF4"/>
    <w:rsid w:val="00D10E34"/>
    <w:rsid w:val="00D125A3"/>
    <w:rsid w:val="00D13CBB"/>
    <w:rsid w:val="00D14C61"/>
    <w:rsid w:val="00D16713"/>
    <w:rsid w:val="00D176BD"/>
    <w:rsid w:val="00D17FCD"/>
    <w:rsid w:val="00D225D4"/>
    <w:rsid w:val="00D2301A"/>
    <w:rsid w:val="00D230C2"/>
    <w:rsid w:val="00D2683D"/>
    <w:rsid w:val="00D31160"/>
    <w:rsid w:val="00D31D5F"/>
    <w:rsid w:val="00D3301C"/>
    <w:rsid w:val="00D33150"/>
    <w:rsid w:val="00D35ACC"/>
    <w:rsid w:val="00D36B64"/>
    <w:rsid w:val="00D3757E"/>
    <w:rsid w:val="00D37A8D"/>
    <w:rsid w:val="00D40559"/>
    <w:rsid w:val="00D41A7B"/>
    <w:rsid w:val="00D44802"/>
    <w:rsid w:val="00D46FCC"/>
    <w:rsid w:val="00D471FD"/>
    <w:rsid w:val="00D47887"/>
    <w:rsid w:val="00D50ADB"/>
    <w:rsid w:val="00D51105"/>
    <w:rsid w:val="00D51F72"/>
    <w:rsid w:val="00D548BF"/>
    <w:rsid w:val="00D54ED2"/>
    <w:rsid w:val="00D578E2"/>
    <w:rsid w:val="00D57B20"/>
    <w:rsid w:val="00D61357"/>
    <w:rsid w:val="00D64075"/>
    <w:rsid w:val="00D65C79"/>
    <w:rsid w:val="00D65F52"/>
    <w:rsid w:val="00D66CE4"/>
    <w:rsid w:val="00D70002"/>
    <w:rsid w:val="00D7008B"/>
    <w:rsid w:val="00D70916"/>
    <w:rsid w:val="00D72828"/>
    <w:rsid w:val="00D732BE"/>
    <w:rsid w:val="00D74A8E"/>
    <w:rsid w:val="00D762A7"/>
    <w:rsid w:val="00D842D9"/>
    <w:rsid w:val="00D849D7"/>
    <w:rsid w:val="00D855DC"/>
    <w:rsid w:val="00D85BDA"/>
    <w:rsid w:val="00D87119"/>
    <w:rsid w:val="00D9214A"/>
    <w:rsid w:val="00D924B8"/>
    <w:rsid w:val="00D94E7D"/>
    <w:rsid w:val="00D95305"/>
    <w:rsid w:val="00DA2A22"/>
    <w:rsid w:val="00DA4812"/>
    <w:rsid w:val="00DA7E93"/>
    <w:rsid w:val="00DB121D"/>
    <w:rsid w:val="00DB12E4"/>
    <w:rsid w:val="00DB1E21"/>
    <w:rsid w:val="00DB253E"/>
    <w:rsid w:val="00DB3CD5"/>
    <w:rsid w:val="00DB49BD"/>
    <w:rsid w:val="00DB59D3"/>
    <w:rsid w:val="00DB5BB6"/>
    <w:rsid w:val="00DB6336"/>
    <w:rsid w:val="00DC0311"/>
    <w:rsid w:val="00DC1BD8"/>
    <w:rsid w:val="00DC3E27"/>
    <w:rsid w:val="00DC5DE4"/>
    <w:rsid w:val="00DC64E9"/>
    <w:rsid w:val="00DD1CDD"/>
    <w:rsid w:val="00DD22C0"/>
    <w:rsid w:val="00DD2319"/>
    <w:rsid w:val="00DD565E"/>
    <w:rsid w:val="00DD5684"/>
    <w:rsid w:val="00DD5C4E"/>
    <w:rsid w:val="00DD63C8"/>
    <w:rsid w:val="00DE18C0"/>
    <w:rsid w:val="00DE276D"/>
    <w:rsid w:val="00DE30D6"/>
    <w:rsid w:val="00DE384F"/>
    <w:rsid w:val="00DE3EDC"/>
    <w:rsid w:val="00DF0F15"/>
    <w:rsid w:val="00DF1887"/>
    <w:rsid w:val="00DF2A0E"/>
    <w:rsid w:val="00DF33B4"/>
    <w:rsid w:val="00DF4E88"/>
    <w:rsid w:val="00DF4F92"/>
    <w:rsid w:val="00DF590D"/>
    <w:rsid w:val="00DF5F80"/>
    <w:rsid w:val="00DF7E0D"/>
    <w:rsid w:val="00E00120"/>
    <w:rsid w:val="00E0190B"/>
    <w:rsid w:val="00E02D31"/>
    <w:rsid w:val="00E077C7"/>
    <w:rsid w:val="00E10568"/>
    <w:rsid w:val="00E11F58"/>
    <w:rsid w:val="00E11FCA"/>
    <w:rsid w:val="00E128BC"/>
    <w:rsid w:val="00E1582E"/>
    <w:rsid w:val="00E16DA7"/>
    <w:rsid w:val="00E200C2"/>
    <w:rsid w:val="00E21E20"/>
    <w:rsid w:val="00E2248A"/>
    <w:rsid w:val="00E25E80"/>
    <w:rsid w:val="00E26840"/>
    <w:rsid w:val="00E304DC"/>
    <w:rsid w:val="00E30E7B"/>
    <w:rsid w:val="00E32011"/>
    <w:rsid w:val="00E32A28"/>
    <w:rsid w:val="00E32E83"/>
    <w:rsid w:val="00E34EAA"/>
    <w:rsid w:val="00E355B4"/>
    <w:rsid w:val="00E4107A"/>
    <w:rsid w:val="00E42E0E"/>
    <w:rsid w:val="00E42EAD"/>
    <w:rsid w:val="00E44F22"/>
    <w:rsid w:val="00E45A34"/>
    <w:rsid w:val="00E45D52"/>
    <w:rsid w:val="00E46D8F"/>
    <w:rsid w:val="00E47609"/>
    <w:rsid w:val="00E47E7F"/>
    <w:rsid w:val="00E50101"/>
    <w:rsid w:val="00E5036B"/>
    <w:rsid w:val="00E52445"/>
    <w:rsid w:val="00E55437"/>
    <w:rsid w:val="00E55633"/>
    <w:rsid w:val="00E5645C"/>
    <w:rsid w:val="00E60E26"/>
    <w:rsid w:val="00E61242"/>
    <w:rsid w:val="00E61959"/>
    <w:rsid w:val="00E62823"/>
    <w:rsid w:val="00E63897"/>
    <w:rsid w:val="00E66020"/>
    <w:rsid w:val="00E70555"/>
    <w:rsid w:val="00E71DCB"/>
    <w:rsid w:val="00E74DA5"/>
    <w:rsid w:val="00E7590B"/>
    <w:rsid w:val="00E778E7"/>
    <w:rsid w:val="00E803EA"/>
    <w:rsid w:val="00E81343"/>
    <w:rsid w:val="00E81392"/>
    <w:rsid w:val="00E82973"/>
    <w:rsid w:val="00E83775"/>
    <w:rsid w:val="00E83B90"/>
    <w:rsid w:val="00E860B7"/>
    <w:rsid w:val="00E915BA"/>
    <w:rsid w:val="00E92076"/>
    <w:rsid w:val="00E940BB"/>
    <w:rsid w:val="00E94875"/>
    <w:rsid w:val="00E95398"/>
    <w:rsid w:val="00E97A04"/>
    <w:rsid w:val="00E97D3B"/>
    <w:rsid w:val="00E97E35"/>
    <w:rsid w:val="00EA07E5"/>
    <w:rsid w:val="00EA0A74"/>
    <w:rsid w:val="00EA1686"/>
    <w:rsid w:val="00EA21EB"/>
    <w:rsid w:val="00EA3735"/>
    <w:rsid w:val="00EA6F95"/>
    <w:rsid w:val="00EB0232"/>
    <w:rsid w:val="00EB0D7F"/>
    <w:rsid w:val="00EB2784"/>
    <w:rsid w:val="00EB32E4"/>
    <w:rsid w:val="00EB384C"/>
    <w:rsid w:val="00EB410E"/>
    <w:rsid w:val="00EB481A"/>
    <w:rsid w:val="00EC009A"/>
    <w:rsid w:val="00EC0663"/>
    <w:rsid w:val="00EC0668"/>
    <w:rsid w:val="00EC13AD"/>
    <w:rsid w:val="00EC37F6"/>
    <w:rsid w:val="00EC3CBA"/>
    <w:rsid w:val="00EC57F9"/>
    <w:rsid w:val="00EC6E09"/>
    <w:rsid w:val="00ED0307"/>
    <w:rsid w:val="00ED0933"/>
    <w:rsid w:val="00ED0ABA"/>
    <w:rsid w:val="00ED1029"/>
    <w:rsid w:val="00ED139C"/>
    <w:rsid w:val="00ED141E"/>
    <w:rsid w:val="00ED4D5E"/>
    <w:rsid w:val="00ED5853"/>
    <w:rsid w:val="00ED6F5A"/>
    <w:rsid w:val="00ED7D99"/>
    <w:rsid w:val="00EE0D03"/>
    <w:rsid w:val="00EE1F6E"/>
    <w:rsid w:val="00EE22FE"/>
    <w:rsid w:val="00EE5600"/>
    <w:rsid w:val="00EE6896"/>
    <w:rsid w:val="00EF2F69"/>
    <w:rsid w:val="00EF384B"/>
    <w:rsid w:val="00EF44E3"/>
    <w:rsid w:val="00EF5645"/>
    <w:rsid w:val="00EF6FA1"/>
    <w:rsid w:val="00F00F95"/>
    <w:rsid w:val="00F01FB2"/>
    <w:rsid w:val="00F02421"/>
    <w:rsid w:val="00F02F56"/>
    <w:rsid w:val="00F05A81"/>
    <w:rsid w:val="00F06B06"/>
    <w:rsid w:val="00F0784B"/>
    <w:rsid w:val="00F107FF"/>
    <w:rsid w:val="00F12300"/>
    <w:rsid w:val="00F1415A"/>
    <w:rsid w:val="00F1620D"/>
    <w:rsid w:val="00F21FD8"/>
    <w:rsid w:val="00F22116"/>
    <w:rsid w:val="00F24403"/>
    <w:rsid w:val="00F259C9"/>
    <w:rsid w:val="00F27397"/>
    <w:rsid w:val="00F30F87"/>
    <w:rsid w:val="00F31A99"/>
    <w:rsid w:val="00F3279A"/>
    <w:rsid w:val="00F32C33"/>
    <w:rsid w:val="00F33910"/>
    <w:rsid w:val="00F421BE"/>
    <w:rsid w:val="00F4258D"/>
    <w:rsid w:val="00F45851"/>
    <w:rsid w:val="00F50B72"/>
    <w:rsid w:val="00F51F9F"/>
    <w:rsid w:val="00F52B65"/>
    <w:rsid w:val="00F53F18"/>
    <w:rsid w:val="00F54572"/>
    <w:rsid w:val="00F56A7B"/>
    <w:rsid w:val="00F57A7C"/>
    <w:rsid w:val="00F57A99"/>
    <w:rsid w:val="00F60165"/>
    <w:rsid w:val="00F61584"/>
    <w:rsid w:val="00F630BB"/>
    <w:rsid w:val="00F665F2"/>
    <w:rsid w:val="00F7045E"/>
    <w:rsid w:val="00F734F7"/>
    <w:rsid w:val="00F73A55"/>
    <w:rsid w:val="00F749A2"/>
    <w:rsid w:val="00F75D8A"/>
    <w:rsid w:val="00F76B52"/>
    <w:rsid w:val="00F84281"/>
    <w:rsid w:val="00F84811"/>
    <w:rsid w:val="00F84A00"/>
    <w:rsid w:val="00F853E0"/>
    <w:rsid w:val="00F85659"/>
    <w:rsid w:val="00F92BA8"/>
    <w:rsid w:val="00F92F5E"/>
    <w:rsid w:val="00F93CA9"/>
    <w:rsid w:val="00F9698C"/>
    <w:rsid w:val="00F9761E"/>
    <w:rsid w:val="00FA2399"/>
    <w:rsid w:val="00FA5429"/>
    <w:rsid w:val="00FB1BE9"/>
    <w:rsid w:val="00FB241E"/>
    <w:rsid w:val="00FB66E9"/>
    <w:rsid w:val="00FB7A93"/>
    <w:rsid w:val="00FC0941"/>
    <w:rsid w:val="00FC1FB3"/>
    <w:rsid w:val="00FC4188"/>
    <w:rsid w:val="00FC4389"/>
    <w:rsid w:val="00FC4F42"/>
    <w:rsid w:val="00FC5A8B"/>
    <w:rsid w:val="00FC65DD"/>
    <w:rsid w:val="00FC68AA"/>
    <w:rsid w:val="00FC6B24"/>
    <w:rsid w:val="00FC7172"/>
    <w:rsid w:val="00FC7259"/>
    <w:rsid w:val="00FC776F"/>
    <w:rsid w:val="00FD233D"/>
    <w:rsid w:val="00FD2BEF"/>
    <w:rsid w:val="00FD4132"/>
    <w:rsid w:val="00FD456F"/>
    <w:rsid w:val="00FD4EEC"/>
    <w:rsid w:val="00FD4F91"/>
    <w:rsid w:val="00FD5C56"/>
    <w:rsid w:val="00FD6988"/>
    <w:rsid w:val="00FD6DCC"/>
    <w:rsid w:val="00FE1432"/>
    <w:rsid w:val="00FE18CF"/>
    <w:rsid w:val="00FE42AB"/>
    <w:rsid w:val="00FE463D"/>
    <w:rsid w:val="00FE4D83"/>
    <w:rsid w:val="00FE7191"/>
    <w:rsid w:val="00FF0F81"/>
    <w:rsid w:val="00FF4462"/>
    <w:rsid w:val="00FF4D20"/>
    <w:rsid w:val="00FF76F0"/>
    <w:rsid w:val="00FF78D9"/>
    <w:rsid w:val="00FF7B89"/>
    <w:rsid w:val="0152FC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836C2FAA-4B32-4EEC-8E8B-CA56AB411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FC71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7172"/>
    <w:rPr>
      <w:rFonts w:ascii="Segoe UI" w:eastAsia="SimSun" w:hAnsi="Segoe UI" w:cs="Segoe UI"/>
      <w:sz w:val="18"/>
      <w:szCs w:val="18"/>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FC7172"/>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FC7172"/>
    <w:rPr>
      <w:rFonts w:asciiTheme="minorHAnsi" w:eastAsiaTheme="minorHAnsi" w:hAnsiTheme="minorHAnsi" w:cstheme="minorBidi"/>
      <w:sz w:val="22"/>
      <w:szCs w:val="22"/>
    </w:rPr>
  </w:style>
  <w:style w:type="paragraph" w:styleId="Caption">
    <w:name w:val="caption"/>
    <w:basedOn w:val="Normal"/>
    <w:next w:val="Normal"/>
    <w:uiPriority w:val="35"/>
    <w:unhideWhenUsed/>
    <w:qFormat/>
    <w:rsid w:val="00D7008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564BCD"/>
    <w:rPr>
      <w:sz w:val="16"/>
      <w:szCs w:val="16"/>
    </w:rPr>
  </w:style>
  <w:style w:type="paragraph" w:styleId="CommentText">
    <w:name w:val="annotation text"/>
    <w:basedOn w:val="Normal"/>
    <w:link w:val="CommentTextChar"/>
    <w:uiPriority w:val="99"/>
    <w:semiHidden/>
    <w:unhideWhenUsed/>
    <w:rsid w:val="00564BCD"/>
  </w:style>
  <w:style w:type="character" w:customStyle="1" w:styleId="CommentTextChar">
    <w:name w:val="Comment Text Char"/>
    <w:basedOn w:val="DefaultParagraphFont"/>
    <w:link w:val="CommentText"/>
    <w:uiPriority w:val="99"/>
    <w:semiHidden/>
    <w:rsid w:val="00564BCD"/>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564BCD"/>
    <w:rPr>
      <w:b/>
      <w:bCs/>
    </w:rPr>
  </w:style>
  <w:style w:type="character" w:customStyle="1" w:styleId="CommentSubjectChar">
    <w:name w:val="Comment Subject Char"/>
    <w:basedOn w:val="CommentTextChar"/>
    <w:link w:val="CommentSubject"/>
    <w:uiPriority w:val="99"/>
    <w:semiHidden/>
    <w:rsid w:val="00564BCD"/>
    <w:rPr>
      <w:rFonts w:ascii="Times New Roman" w:eastAsia="SimSun" w:hAnsi="Times New Roman"/>
      <w:b/>
      <w:bCs/>
    </w:rPr>
  </w:style>
  <w:style w:type="paragraph" w:styleId="Revision">
    <w:name w:val="Revision"/>
    <w:hidden/>
    <w:uiPriority w:val="99"/>
    <w:semiHidden/>
    <w:rsid w:val="006D0390"/>
    <w:rPr>
      <w:rFonts w:ascii="Times New Roman" w:eastAsia="SimSun" w:hAnsi="Times New Roman"/>
    </w:rPr>
  </w:style>
  <w:style w:type="character" w:customStyle="1" w:styleId="fontstyle01">
    <w:name w:val="fontstyle01"/>
    <w:basedOn w:val="DefaultParagraphFont"/>
    <w:rsid w:val="003E7F93"/>
    <w:rPr>
      <w:rFonts w:ascii="ArialMT" w:hAnsi="ArialMT" w:hint="default"/>
      <w:b w:val="0"/>
      <w:bCs w:val="0"/>
      <w:i w:val="0"/>
      <w:iCs w:val="0"/>
      <w:color w:val="000000"/>
      <w:sz w:val="18"/>
      <w:szCs w:val="18"/>
    </w:rPr>
  </w:style>
  <w:style w:type="character" w:customStyle="1" w:styleId="fontstyle21">
    <w:name w:val="fontstyle21"/>
    <w:basedOn w:val="DefaultParagraphFont"/>
    <w:rsid w:val="003E7F93"/>
    <w:rPr>
      <w:rFonts w:ascii="Arial-ItalicMT" w:hAnsi="Arial-ItalicMT"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75143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B3409-5BFA-48EE-B901-FC1977D4A82C}">
  <ds:schemaRefs>
    <ds:schemaRef ds:uri="http://schemas.microsoft.com/sharepoint/v3/contenttype/forms"/>
  </ds:schemaRefs>
</ds:datastoreItem>
</file>

<file path=customXml/itemProps2.xml><?xml version="1.0" encoding="utf-8"?>
<ds:datastoreItem xmlns:ds="http://schemas.openxmlformats.org/officeDocument/2006/customXml" ds:itemID="{FA1460E2-48C4-470F-B9CF-DDECBF265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C44992-7E27-4B91-A237-B16F1442B4AB}">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4B259944-3D9D-45CA-B9E8-907EE145B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2381</Words>
  <Characters>11948</Characters>
  <Application>Microsoft Office Word</Application>
  <DocSecurity>0</DocSecurity>
  <Lines>186</Lines>
  <Paragraphs>73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3</cp:revision>
  <dcterms:created xsi:type="dcterms:W3CDTF">2020-08-06T23:13:00Z</dcterms:created>
  <dcterms:modified xsi:type="dcterms:W3CDTF">2020-08-06T23:14:00Z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0610b8ab-3163-41ba-bca6-ab4601ed2c47</vt:lpwstr>
  </property>
  <property fmtid="{D5CDD505-2E9C-101B-9397-08002B2CF9AE}" pid="3" name="CTP_TimeStamp">
    <vt:lpwstr>2020-08-06 23:14:21Z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