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544C1" w14:textId="249801CB" w:rsidR="001E3576" w:rsidRPr="001457DD" w:rsidRDefault="001E3576" w:rsidP="001E357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50</w:t>
      </w:r>
    </w:p>
    <w:p w14:paraId="008B5B89" w14:textId="77777777" w:rsidR="001E3576" w:rsidRPr="001457DD" w:rsidRDefault="001E3576" w:rsidP="001E35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7D434BD1" w14:textId="77777777" w:rsidR="001E3576" w:rsidRPr="001457DD" w:rsidRDefault="001E3576" w:rsidP="001E357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9C081D9" w14:textId="77777777" w:rsidR="001E3576" w:rsidRPr="001457DD" w:rsidRDefault="001E3576" w:rsidP="001E357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86417DA" w14:textId="5E85E674" w:rsidR="00C934E7" w:rsidRPr="00264FD4" w:rsidRDefault="00773E30" w:rsidP="009F7B38">
      <w:pPr>
        <w:tabs>
          <w:tab w:val="right" w:pos="9639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100b</w:t>
      </w:r>
      <w:r w:rsidR="00F91D2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is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-e</w:t>
      </w:r>
      <w:r w:rsidR="00264FD4">
        <w:rPr>
          <w:rFonts w:ascii="Arial" w:hAnsi="Arial" w:cs="Arial"/>
          <w:b/>
          <w:bCs/>
          <w:sz w:val="24"/>
          <w:szCs w:val="24"/>
        </w:rPr>
        <w:tab/>
      </w:r>
      <w:r w:rsidR="00F15605">
        <w:rPr>
          <w:rFonts w:ascii="Arial" w:hAnsi="Arial" w:cs="Arial"/>
          <w:b/>
          <w:bCs/>
          <w:sz w:val="24"/>
          <w:szCs w:val="24"/>
        </w:rPr>
        <w:t>R1-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200</w:t>
      </w:r>
      <w:r w:rsidR="00890C0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2990</w:t>
      </w:r>
    </w:p>
    <w:p w14:paraId="72F3DBFC" w14:textId="77777777" w:rsidR="00125092" w:rsidRPr="00A87718" w:rsidRDefault="00A87718" w:rsidP="00AA08E5">
      <w:pPr>
        <w:pStyle w:val="CRCoverPage"/>
        <w:rPr>
          <w:rFonts w:eastAsiaTheme="minorEastAsia" w:cs="Arial"/>
          <w:b/>
          <w:noProof/>
          <w:sz w:val="24"/>
        </w:rPr>
      </w:pPr>
      <w:r>
        <w:rPr>
          <w:rFonts w:eastAsiaTheme="minorEastAsia" w:cs="Arial"/>
          <w:b/>
          <w:sz w:val="24"/>
          <w:szCs w:val="28"/>
          <w:lang w:eastAsia="zh-CN"/>
        </w:rPr>
        <w:t>e-Meeting</w:t>
      </w:r>
      <w:r w:rsidR="0005017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April</w:t>
      </w:r>
      <w:r w:rsidR="00050170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05017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50170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3</w:t>
      </w:r>
      <w:r w:rsidR="00050170">
        <w:rPr>
          <w:rFonts w:eastAsiaTheme="minorEastAsia" w:cs="Arial" w:hint="eastAsia"/>
          <w:b/>
          <w:sz w:val="24"/>
          <w:szCs w:val="28"/>
          <w:lang w:eastAsia="zh-CN"/>
        </w:rPr>
        <w:t>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>, 20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</w:p>
    <w:p w14:paraId="104B51EE" w14:textId="77777777" w:rsidR="00C934E7" w:rsidRPr="002D1A05" w:rsidRDefault="00C934E7" w:rsidP="00C934E7">
      <w:pPr>
        <w:rPr>
          <w:rFonts w:ascii="Arial" w:hAnsi="Arial" w:cs="Arial"/>
        </w:rPr>
      </w:pPr>
    </w:p>
    <w:p w14:paraId="3492C2D8" w14:textId="77777777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3258F">
        <w:rPr>
          <w:rFonts w:ascii="Arial" w:eastAsiaTheme="minorEastAsia" w:hAnsi="Arial" w:cs="Arial" w:hint="eastAsia"/>
          <w:b/>
          <w:lang w:eastAsia="zh-CN"/>
        </w:rPr>
        <w:t xml:space="preserve">LS on NR V2X </w:t>
      </w:r>
      <w:r w:rsidR="006F1228">
        <w:rPr>
          <w:rFonts w:ascii="Arial" w:eastAsiaTheme="minorEastAsia" w:hAnsi="Arial" w:cs="Arial" w:hint="eastAsia"/>
          <w:b/>
          <w:lang w:eastAsia="zh-CN"/>
        </w:rPr>
        <w:t>Slot number determination</w:t>
      </w:r>
    </w:p>
    <w:p w14:paraId="7D49B8D3" w14:textId="77777777" w:rsidR="00762D32" w:rsidRPr="00762D32" w:rsidRDefault="00762D32" w:rsidP="00762D32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044671F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2B34DC77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5FA90A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88C4531" w14:textId="77777777" w:rsidR="00C934E7" w:rsidRPr="00F91D24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F91D24">
        <w:rPr>
          <w:rFonts w:ascii="Arial" w:hAnsi="Arial" w:cs="Arial"/>
          <w:bCs/>
        </w:rPr>
        <w:t>RAN</w:t>
      </w:r>
      <w:r w:rsidR="00F91D24">
        <w:rPr>
          <w:rFonts w:ascii="Arial" w:eastAsiaTheme="minorEastAsia" w:hAnsi="Arial" w:cs="Arial" w:hint="eastAsia"/>
          <w:bCs/>
          <w:lang w:eastAsia="zh-CN"/>
        </w:rPr>
        <w:t xml:space="preserve"> WG1</w:t>
      </w:r>
    </w:p>
    <w:p w14:paraId="58471934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F91D24">
        <w:rPr>
          <w:rFonts w:ascii="Arial" w:eastAsiaTheme="minorEastAsia" w:hAnsi="Arial" w:cs="Arial" w:hint="eastAsia"/>
          <w:bCs/>
          <w:lang w:eastAsia="zh-CN"/>
        </w:rPr>
        <w:t xml:space="preserve"> WG2</w:t>
      </w:r>
    </w:p>
    <w:p w14:paraId="3A9EC6C5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783C361A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8F468AD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1360779D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14:paraId="76D96F70" w14:textId="51E6CF99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</w:p>
    <w:p w14:paraId="0E951EBE" w14:textId="77777777" w:rsidR="00C934E7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lang w:val="it-IT" w:eastAsia="zh-CN"/>
        </w:rPr>
      </w:pPr>
    </w:p>
    <w:p w14:paraId="09C906AA" w14:textId="6F0D77BF" w:rsidR="00F91D24" w:rsidRDefault="00F91D24" w:rsidP="00F91D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15E9C" w14:textId="77777777" w:rsidR="00F91D24" w:rsidRPr="00F91D24" w:rsidRDefault="00F91D24" w:rsidP="00C934E7">
      <w:pPr>
        <w:spacing w:after="60"/>
        <w:ind w:left="1985" w:hanging="1985"/>
        <w:rPr>
          <w:rFonts w:ascii="Arial" w:eastAsiaTheme="minorEastAsia" w:hAnsi="Arial" w:cs="Arial"/>
          <w:b/>
          <w:lang w:val="it-IT" w:eastAsia="zh-CN"/>
        </w:rPr>
      </w:pPr>
    </w:p>
    <w:p w14:paraId="356738A6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53F51810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7CA90A88" w14:textId="77777777" w:rsidR="00C934E7" w:rsidRPr="002D1A05" w:rsidRDefault="00C934E7" w:rsidP="00C934E7">
      <w:pPr>
        <w:rPr>
          <w:rFonts w:ascii="Arial" w:hAnsi="Arial" w:cs="Arial"/>
        </w:rPr>
      </w:pPr>
    </w:p>
    <w:p w14:paraId="7C05F2BF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0B3E8698" w14:textId="77777777" w:rsidR="00AE2128" w:rsidRDefault="00F91D24" w:rsidP="009E39A1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RAN1 made the following agreements </w:t>
      </w:r>
      <w:r>
        <w:rPr>
          <w:rFonts w:ascii="Arial" w:eastAsiaTheme="minorEastAsia" w:hAnsi="Arial" w:cs="Arial"/>
          <w:lang w:eastAsia="zh-CN"/>
        </w:rPr>
        <w:t>during</w:t>
      </w:r>
      <w:r>
        <w:rPr>
          <w:rFonts w:ascii="Arial" w:eastAsiaTheme="minorEastAsia" w:hAnsi="Arial" w:cs="Arial" w:hint="eastAsia"/>
          <w:lang w:eastAsia="zh-CN"/>
        </w:rPr>
        <w:t xml:space="preserve"> RAN1#100bis-e</w:t>
      </w:r>
      <w:r w:rsidR="009E39A1">
        <w:rPr>
          <w:rFonts w:ascii="Arial" w:eastAsiaTheme="minorEastAsia" w:hAnsi="Arial" w:cs="Arial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39A1" w14:paraId="222170B1" w14:textId="77777777" w:rsidTr="009E39A1">
        <w:tc>
          <w:tcPr>
            <w:tcW w:w="10081" w:type="dxa"/>
          </w:tcPr>
          <w:p w14:paraId="78BE3CC6" w14:textId="77777777" w:rsidR="000D0417" w:rsidRPr="006E3A3B" w:rsidDel="00397D8A" w:rsidRDefault="006E3A3B" w:rsidP="000D0417">
            <w:pPr>
              <w:spacing w:beforeLines="50" w:before="120" w:afterLines="50" w:after="120"/>
              <w:jc w:val="both"/>
              <w:rPr>
                <w:del w:id="0" w:author="Tao Chen (陈滔)" w:date="2020-04-30T12:36:00Z"/>
                <w:rFonts w:eastAsiaTheme="minorEastAsia"/>
                <w:bCs/>
                <w:iCs/>
                <w:lang w:eastAsia="zh-CN"/>
              </w:rPr>
            </w:pPr>
            <w:r w:rsidRPr="006E3A3B">
              <w:rPr>
                <w:rFonts w:eastAsiaTheme="minorEastAsia" w:hint="eastAsia"/>
                <w:b/>
                <w:bCs/>
                <w:iCs/>
                <w:highlight w:val="green"/>
                <w:lang w:eastAsia="zh-CN"/>
              </w:rPr>
              <w:t>Agreements:</w:t>
            </w:r>
          </w:p>
          <w:p w14:paraId="352E63AD" w14:textId="77777777" w:rsidR="003A4194" w:rsidRPr="006E3A3B" w:rsidRDefault="000D0417" w:rsidP="000D0417">
            <w:pPr>
              <w:pStyle w:val="ListParagraph"/>
              <w:numPr>
                <w:ilvl w:val="0"/>
                <w:numId w:val="15"/>
              </w:numPr>
              <w:spacing w:beforeLines="50" w:before="120" w:afterLines="50" w:after="120"/>
              <w:ind w:leftChars="0"/>
              <w:jc w:val="both"/>
              <w:rPr>
                <w:bCs/>
                <w:iCs/>
              </w:rPr>
            </w:pPr>
            <w:r w:rsidRPr="006E3A3B">
              <w:rPr>
                <w:bCs/>
                <w:iCs/>
              </w:rPr>
              <w:t>The slot number</w:t>
            </w:r>
            <w:r w:rsidRPr="006E3A3B">
              <w:rPr>
                <w:bCs/>
                <w:iCs/>
                <w:color w:val="FF0000"/>
              </w:rPr>
              <w:t xml:space="preserve"> </w:t>
            </w:r>
            <w:r w:rsidRPr="006E3A3B">
              <w:rPr>
                <w:bCs/>
                <w:iCs/>
              </w:rPr>
              <w:t>within a frame used for NR sidelink communication is derived from the following formula:</w:t>
            </w:r>
          </w:p>
          <w:p w14:paraId="4FB2C57B" w14:textId="77777777" w:rsidR="000D0417" w:rsidRPr="006E3A3B" w:rsidRDefault="000D0417" w:rsidP="003A4194">
            <w:pPr>
              <w:pStyle w:val="ListParagraph"/>
              <w:spacing w:beforeLines="50" w:before="120" w:afterLines="50" w:after="120"/>
              <w:ind w:leftChars="0" w:left="420" w:firstLine="0"/>
              <w:jc w:val="center"/>
              <w:rPr>
                <w:bCs/>
                <w:iCs/>
              </w:rPr>
            </w:pPr>
            <w:r w:rsidRPr="002F6CF7">
              <w:rPr>
                <w:rFonts w:ascii="Times New Roman" w:hAnsi="Times New Roman"/>
                <w:i/>
                <w:iCs/>
              </w:rPr>
              <w:t>SlotNumber=</w:t>
            </w:r>
            <w:r w:rsidRPr="002F6CF7">
              <w:rPr>
                <w:rFonts w:ascii="Times New Roman" w:hAnsi="Times New Roman"/>
                <w:i/>
              </w:rPr>
              <w:t xml:space="preserve"> </w:t>
            </w:r>
            <w:r w:rsidRPr="00D048E5">
              <w:rPr>
                <w:rFonts w:ascii="Times New Roman" w:hAnsi="Times New Roman"/>
              </w:rPr>
              <w:t>Floor</w:t>
            </w:r>
            <w:r w:rsidRPr="002F6CF7">
              <w:rPr>
                <w:rFonts w:ascii="Times New Roman" w:hAnsi="Times New Roman"/>
                <w:i/>
                <w:iCs/>
              </w:rPr>
              <w:t xml:space="preserve"> </w:t>
            </w:r>
            <w:r w:rsidRPr="002F6CF7">
              <w:rPr>
                <w:rFonts w:ascii="Times New Roman" w:hAnsi="Times New Roman"/>
                <w:iCs/>
              </w:rPr>
              <w:t>((</w:t>
            </w:r>
            <w:r w:rsidRPr="002F6CF7">
              <w:rPr>
                <w:rFonts w:ascii="Times New Roman" w:hAnsi="Times New Roman"/>
                <w:i/>
                <w:iCs/>
              </w:rPr>
              <w:t>Tcurrent –Tref–offsetDFN)*</w:t>
            </w:r>
            <w:r w:rsidRPr="002F6CF7">
              <w:rPr>
                <w:rFonts w:ascii="Times New Roman" w:hAnsi="Times New Roman"/>
              </w:rPr>
              <w:t>2</w:t>
            </w:r>
            <w:r w:rsidRPr="002F6CF7">
              <w:rPr>
                <w:rFonts w:ascii="Times New Roman" w:hAnsi="Times New Roman"/>
                <w:vertAlign w:val="superscript"/>
              </w:rPr>
              <w:t>μ</w:t>
            </w:r>
            <w:r w:rsidRPr="002F6CF7">
              <w:rPr>
                <w:rFonts w:ascii="Times New Roman" w:hAnsi="Times New Roman"/>
                <w:iCs/>
              </w:rPr>
              <w:t xml:space="preserve">) </w:t>
            </w:r>
            <w:r w:rsidRPr="002F6CF7">
              <w:rPr>
                <w:rFonts w:ascii="Times New Roman" w:hAnsi="Times New Roman"/>
              </w:rPr>
              <w:t>mod</w:t>
            </w:r>
            <w:r w:rsidRPr="002F6CF7">
              <w:rPr>
                <w:rFonts w:ascii="Times New Roman" w:hAnsi="Times New Roman"/>
                <w:iCs/>
              </w:rPr>
              <w:t xml:space="preserve"> (</w:t>
            </w:r>
            <w:r w:rsidRPr="002F6CF7">
              <w:rPr>
                <w:rFonts w:ascii="Times New Roman" w:hAnsi="Times New Roman"/>
              </w:rPr>
              <w:t>10</w:t>
            </w:r>
            <w:r w:rsidRPr="002F6CF7">
              <w:rPr>
                <w:rFonts w:ascii="Times New Roman" w:hAnsi="Times New Roman"/>
                <w:iCs/>
              </w:rPr>
              <w:t>*</w:t>
            </w:r>
            <w:r w:rsidRPr="002F6CF7">
              <w:rPr>
                <w:rFonts w:ascii="Times New Roman" w:hAnsi="Times New Roman"/>
              </w:rPr>
              <w:t>2</w:t>
            </w:r>
            <w:r w:rsidRPr="002F6CF7">
              <w:rPr>
                <w:rFonts w:ascii="Times New Roman" w:hAnsi="Times New Roman"/>
                <w:vertAlign w:val="superscript"/>
              </w:rPr>
              <w:t>μ</w:t>
            </w:r>
            <w:r w:rsidRPr="002F6CF7">
              <w:rPr>
                <w:rFonts w:ascii="Times New Roman" w:hAnsi="Times New Roman"/>
                <w:iCs/>
              </w:rPr>
              <w:t>)</w:t>
            </w:r>
            <w:r w:rsidRPr="006E3A3B">
              <w:rPr>
                <w:rFonts w:ascii="Times New Roman" w:hAnsi="Times New Roman"/>
                <w:iCs/>
              </w:rPr>
              <w:t>,</w:t>
            </w:r>
          </w:p>
          <w:p w14:paraId="184ECD2A" w14:textId="77777777" w:rsidR="009E39A1" w:rsidRPr="0012460D" w:rsidRDefault="000D0417" w:rsidP="006E3A3B">
            <w:pPr>
              <w:pStyle w:val="ListParagraph"/>
              <w:spacing w:beforeLines="50" w:before="120" w:afterLines="50" w:after="120"/>
              <w:ind w:leftChars="0" w:left="420" w:firstLine="0"/>
              <w:jc w:val="both"/>
              <w:rPr>
                <w:rFonts w:eastAsiaTheme="minorEastAsia"/>
                <w:color w:val="1F497D"/>
                <w:lang w:eastAsia="zh-CN"/>
              </w:rPr>
            </w:pPr>
            <w:r w:rsidRPr="006E3A3B">
              <w:rPr>
                <w:bCs/>
                <w:iCs/>
              </w:rPr>
              <w:t>Where Tcurrent, Tref, offsetDFN are defined in 38.331, and μ=0/1/2/3 corresponding to the 15/30/60/120 kHz of SCS for SL, respectively.</w:t>
            </w:r>
          </w:p>
        </w:tc>
      </w:tr>
    </w:tbl>
    <w:p w14:paraId="77ED051F" w14:textId="77777777" w:rsidR="00C934E7" w:rsidRDefault="00A77223" w:rsidP="005C19FD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</w:t>
      </w:r>
      <w:r>
        <w:rPr>
          <w:rFonts w:ascii="Arial" w:eastAsiaTheme="minorEastAsia" w:hAnsi="Arial" w:cs="Arial" w:hint="eastAsia"/>
          <w:lang w:eastAsia="zh-CN"/>
        </w:rPr>
        <w:t>t is understood in RAN1 that the</w:t>
      </w:r>
      <w:r w:rsidR="005F3C4A">
        <w:rPr>
          <w:rFonts w:ascii="Arial" w:eastAsiaTheme="minorEastAsia" w:hAnsi="Arial" w:cs="Arial" w:hint="eastAsia"/>
          <w:lang w:eastAsia="zh-CN"/>
        </w:rPr>
        <w:t xml:space="preserve"> detail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5F3C4A">
        <w:rPr>
          <w:rFonts w:ascii="Arial" w:eastAsiaTheme="minorEastAsia" w:hAnsi="Arial" w:cs="Arial" w:hint="eastAsia"/>
          <w:lang w:eastAsia="zh-CN"/>
        </w:rPr>
        <w:t>of</w:t>
      </w:r>
      <w:r>
        <w:rPr>
          <w:rFonts w:ascii="Arial" w:eastAsiaTheme="minorEastAsia" w:hAnsi="Arial" w:cs="Arial" w:hint="eastAsia"/>
          <w:lang w:eastAsia="zh-CN"/>
        </w:rPr>
        <w:t xml:space="preserve"> slot number determination</w:t>
      </w:r>
      <w:r w:rsidR="005F3C4A">
        <w:rPr>
          <w:rFonts w:ascii="Arial" w:eastAsiaTheme="minorEastAsia" w:hAnsi="Arial" w:cs="Arial" w:hint="eastAsia"/>
          <w:lang w:eastAsia="zh-CN"/>
        </w:rPr>
        <w:t xml:space="preserve"> </w:t>
      </w:r>
      <w:r w:rsidR="00397D8A">
        <w:rPr>
          <w:rFonts w:ascii="Arial" w:eastAsiaTheme="minorEastAsia" w:hAnsi="Arial" w:cs="Arial"/>
          <w:lang w:eastAsia="zh-CN"/>
        </w:rPr>
        <w:t xml:space="preserve">will be </w:t>
      </w:r>
      <w:r>
        <w:rPr>
          <w:rFonts w:ascii="Arial" w:eastAsiaTheme="minorEastAsia" w:hAnsi="Arial" w:cs="Arial" w:hint="eastAsia"/>
          <w:lang w:eastAsia="zh-CN"/>
        </w:rPr>
        <w:t>captured in RAN2</w:t>
      </w:r>
      <w:r>
        <w:rPr>
          <w:rFonts w:ascii="Arial" w:eastAsiaTheme="minorEastAsia" w:hAnsi="Arial" w:cs="Arial"/>
          <w:lang w:eastAsia="zh-CN"/>
        </w:rPr>
        <w:t>’</w:t>
      </w:r>
      <w:r w:rsidR="003D159D">
        <w:rPr>
          <w:rFonts w:ascii="Arial" w:eastAsiaTheme="minorEastAsia" w:hAnsi="Arial" w:cs="Arial" w:hint="eastAsia"/>
          <w:lang w:eastAsia="zh-CN"/>
        </w:rPr>
        <w:t>s specification, e.g. 38.331.</w:t>
      </w:r>
    </w:p>
    <w:p w14:paraId="5AEA79C2" w14:textId="77777777" w:rsidR="003917BE" w:rsidRPr="00FF6BCB" w:rsidRDefault="003917BE" w:rsidP="005C19FD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</w:p>
    <w:p w14:paraId="704DFF49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7B477E5D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14:paraId="00C7B6E4" w14:textId="77777777" w:rsidR="00750959" w:rsidRPr="009F7B38" w:rsidRDefault="00750959" w:rsidP="00750959">
      <w:pPr>
        <w:spacing w:after="120"/>
        <w:ind w:left="993" w:hanging="993"/>
        <w:rPr>
          <w:rFonts w:ascii="Arial" w:hAnsi="Arial" w:cs="Arial"/>
          <w:i/>
          <w:iCs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1"/>
      <w:r w:rsidRPr="001C3549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1</w:t>
      </w:r>
      <w:r w:rsidRPr="001C3549">
        <w:rPr>
          <w:rFonts w:ascii="Arial" w:hAnsi="Arial" w:cs="Arial"/>
          <w:lang w:val="en-US"/>
        </w:rPr>
        <w:t xml:space="preserve"> kindly asks </w:t>
      </w:r>
      <w:r>
        <w:rPr>
          <w:rFonts w:ascii="Arial" w:hAnsi="Arial" w:cs="Arial"/>
          <w:lang w:val="en-US"/>
        </w:rPr>
        <w:t xml:space="preserve">RAN2 </w:t>
      </w:r>
      <w:r w:rsidRPr="001C3549">
        <w:rPr>
          <w:rFonts w:ascii="Arial" w:hAnsi="Arial" w:cs="Arial"/>
          <w:lang w:val="en-US"/>
        </w:rPr>
        <w:t xml:space="preserve">to take above </w:t>
      </w:r>
      <w:r w:rsidR="00397D8A">
        <w:rPr>
          <w:rFonts w:ascii="Arial" w:hAnsi="Arial" w:cs="Arial"/>
          <w:lang w:val="en-US"/>
        </w:rPr>
        <w:t xml:space="preserve">information </w:t>
      </w:r>
      <w:r w:rsidRPr="001C3549">
        <w:rPr>
          <w:rFonts w:ascii="Arial" w:hAnsi="Arial" w:cs="Arial"/>
          <w:lang w:val="en-US"/>
        </w:rPr>
        <w:t xml:space="preserve">into account and </w:t>
      </w:r>
      <w:r>
        <w:rPr>
          <w:rFonts w:ascii="Arial" w:hAnsi="Arial" w:cs="Arial"/>
          <w:lang w:val="en-US"/>
        </w:rPr>
        <w:t>u</w:t>
      </w:r>
      <w:r w:rsidRPr="00180D66">
        <w:rPr>
          <w:rFonts w:ascii="Arial" w:hAnsi="Arial" w:cs="Arial"/>
          <w:lang w:val="en-US"/>
        </w:rPr>
        <w:t>pdate specifications accordingly</w:t>
      </w:r>
      <w:r>
        <w:rPr>
          <w:rFonts w:ascii="Arial" w:hAnsi="Arial" w:cs="Arial"/>
          <w:lang w:val="en-US"/>
        </w:rPr>
        <w:t>, if necessary</w:t>
      </w:r>
      <w:r w:rsidRPr="001C3549">
        <w:rPr>
          <w:rFonts w:ascii="Arial" w:hAnsi="Arial" w:cs="Arial"/>
          <w:lang w:val="en-US"/>
        </w:rPr>
        <w:t>.</w:t>
      </w:r>
    </w:p>
    <w:p w14:paraId="08BFFB1C" w14:textId="77777777" w:rsidR="00746605" w:rsidRPr="00746605" w:rsidRDefault="00746605" w:rsidP="0023507E">
      <w:pPr>
        <w:spacing w:beforeLines="50" w:before="120" w:after="120"/>
        <w:ind w:left="992" w:hangingChars="496" w:hanging="992"/>
        <w:rPr>
          <w:rFonts w:ascii="Arial" w:eastAsiaTheme="minorEastAsia" w:hAnsi="Arial" w:cs="Arial"/>
          <w:lang w:eastAsia="zh-CN"/>
        </w:rPr>
      </w:pPr>
    </w:p>
    <w:p w14:paraId="48111014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14:paraId="51A2A95E" w14:textId="213C98D0" w:rsidR="009B2249" w:rsidRPr="001C58FE" w:rsidRDefault="00E96F36" w:rsidP="009F7B38">
      <w:pPr>
        <w:tabs>
          <w:tab w:val="left" w:pos="3686"/>
          <w:tab w:val="left" w:pos="6946"/>
        </w:tabs>
        <w:spacing w:after="120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746605">
        <w:rPr>
          <w:rFonts w:ascii="Arial" w:hAnsi="Arial" w:cs="Arial"/>
          <w:bCs/>
          <w:color w:val="000000"/>
        </w:rPr>
        <w:t>#</w:t>
      </w:r>
      <w:r w:rsidR="00746605">
        <w:rPr>
          <w:rFonts w:ascii="Arial" w:eastAsiaTheme="minorEastAsia" w:hAnsi="Arial" w:cs="Arial" w:hint="eastAsia"/>
          <w:bCs/>
          <w:color w:val="000000"/>
          <w:lang w:eastAsia="zh-CN"/>
        </w:rPr>
        <w:t>101</w:t>
      </w:r>
      <w:r w:rsidR="001C58FE">
        <w:rPr>
          <w:rFonts w:ascii="Arial" w:eastAsiaTheme="minorEastAsia" w:hAnsi="Arial" w:cs="Arial" w:hint="eastAsia"/>
          <w:bCs/>
          <w:color w:val="000000"/>
          <w:lang w:eastAsia="zh-CN"/>
        </w:rPr>
        <w:t>-e</w:t>
      </w:r>
      <w:r w:rsidR="009F7B38">
        <w:rPr>
          <w:rFonts w:ascii="Arial" w:hAnsi="Arial" w:cs="Arial"/>
          <w:bCs/>
          <w:color w:val="000000"/>
        </w:rPr>
        <w:tab/>
      </w:r>
      <w:r w:rsidR="001C58FE">
        <w:rPr>
          <w:rFonts w:ascii="Arial" w:eastAsiaTheme="minorEastAsia" w:hAnsi="Arial" w:cs="Arial" w:hint="eastAsia"/>
          <w:bCs/>
          <w:lang w:eastAsia="zh-CN"/>
        </w:rPr>
        <w:t>May</w:t>
      </w:r>
      <w:r w:rsidR="001C58FE">
        <w:rPr>
          <w:rFonts w:ascii="Arial" w:hAnsi="Arial" w:cs="Arial"/>
          <w:bCs/>
        </w:rPr>
        <w:t xml:space="preserve"> </w:t>
      </w:r>
      <w:r w:rsidR="001C58FE">
        <w:rPr>
          <w:rFonts w:ascii="Arial" w:eastAsiaTheme="minorEastAsia" w:hAnsi="Arial" w:cs="Arial" w:hint="eastAsia"/>
          <w:bCs/>
          <w:lang w:eastAsia="zh-CN"/>
        </w:rPr>
        <w:t>25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1C58FE">
        <w:rPr>
          <w:rFonts w:ascii="Arial" w:hAnsi="Arial" w:cs="Arial"/>
          <w:bCs/>
        </w:rPr>
        <w:t xml:space="preserve"> – </w:t>
      </w:r>
      <w:r w:rsidR="001C58FE">
        <w:rPr>
          <w:rFonts w:ascii="Arial" w:eastAsiaTheme="minorEastAsia" w:hAnsi="Arial" w:cs="Arial" w:hint="eastAsia"/>
          <w:bCs/>
          <w:lang w:eastAsia="zh-CN"/>
        </w:rPr>
        <w:t>June 05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1C58FE">
        <w:rPr>
          <w:rFonts w:ascii="Arial" w:hAnsi="Arial" w:cs="Arial"/>
          <w:bCs/>
        </w:rPr>
        <w:t>, 20</w:t>
      </w:r>
      <w:r w:rsidR="001C58FE"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color w:val="000000"/>
        </w:rPr>
        <w:tab/>
      </w:r>
      <w:r w:rsidR="001C58FE">
        <w:rPr>
          <w:rFonts w:ascii="Arial" w:eastAsiaTheme="minorEastAsia" w:hAnsi="Arial" w:cs="Arial" w:hint="eastAsia"/>
          <w:bCs/>
          <w:color w:val="000000"/>
          <w:lang w:eastAsia="zh-CN"/>
        </w:rPr>
        <w:t>Online</w:t>
      </w:r>
    </w:p>
    <w:p w14:paraId="68485210" w14:textId="17A50C6C" w:rsidR="001C0179" w:rsidRPr="00707552" w:rsidRDefault="001C0179" w:rsidP="009F7B38">
      <w:pPr>
        <w:tabs>
          <w:tab w:val="left" w:pos="3686"/>
          <w:tab w:val="left" w:pos="6946"/>
        </w:tabs>
        <w:spacing w:after="120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746605">
        <w:rPr>
          <w:rFonts w:ascii="Arial" w:eastAsiaTheme="minorEastAsia" w:hAnsi="Arial" w:cs="Arial" w:hint="eastAsia"/>
          <w:bCs/>
          <w:color w:val="000000"/>
          <w:lang w:eastAsia="zh-CN"/>
        </w:rPr>
        <w:t>102</w:t>
      </w:r>
      <w:r w:rsidR="009F7B38">
        <w:rPr>
          <w:rFonts w:ascii="Arial" w:hAnsi="Arial" w:cs="Arial"/>
          <w:bCs/>
          <w:color w:val="000000"/>
        </w:rPr>
        <w:tab/>
      </w:r>
      <w:r w:rsidR="00586A74">
        <w:rPr>
          <w:rFonts w:ascii="Arial" w:eastAsiaTheme="minorEastAsia" w:hAnsi="Arial" w:cs="Arial" w:hint="eastAsia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bookmarkStart w:id="2" w:name="_GoBack"/>
      <w:bookmarkEnd w:id="2"/>
      <w:r>
        <w:rPr>
          <w:rFonts w:ascii="Arial" w:hAnsi="Arial" w:cs="Arial"/>
          <w:bCs/>
          <w:color w:val="000000"/>
        </w:rPr>
        <w:tab/>
      </w:r>
      <w:r w:rsidR="00586A74">
        <w:rPr>
          <w:rFonts w:ascii="Arial" w:eastAsiaTheme="minorEastAsia" w:hAnsi="Arial" w:cs="Arial" w:hint="eastAsia"/>
          <w:bCs/>
          <w:color w:val="000000"/>
          <w:lang w:eastAsia="zh-CN"/>
        </w:rPr>
        <w:t>Toulouse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62D32">
        <w:rPr>
          <w:rFonts w:ascii="Arial" w:eastAsiaTheme="minorEastAsia" w:hAnsi="Arial" w:cs="Arial" w:hint="eastAsia"/>
          <w:bCs/>
          <w:color w:val="000000"/>
          <w:lang w:eastAsia="zh-CN"/>
        </w:rPr>
        <w:t>FR</w:t>
      </w:r>
    </w:p>
    <w:p w14:paraId="398124A0" w14:textId="77777777"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9E718" w14:textId="77777777" w:rsidR="00182DF8" w:rsidRDefault="00182DF8" w:rsidP="00D87DE5">
      <w:r>
        <w:separator/>
      </w:r>
    </w:p>
  </w:endnote>
  <w:endnote w:type="continuationSeparator" w:id="0">
    <w:p w14:paraId="755C3F82" w14:textId="77777777" w:rsidR="00182DF8" w:rsidRDefault="00182DF8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0EBD5" w14:textId="77777777" w:rsidR="00182DF8" w:rsidRDefault="00182DF8" w:rsidP="00D87DE5">
      <w:r>
        <w:separator/>
      </w:r>
    </w:p>
  </w:footnote>
  <w:footnote w:type="continuationSeparator" w:id="0">
    <w:p w14:paraId="7B313A70" w14:textId="77777777" w:rsidR="00182DF8" w:rsidRDefault="00182DF8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9"/>
  </w:num>
  <w:num w:numId="7">
    <w:abstractNumId w:val="13"/>
  </w:num>
  <w:num w:numId="8">
    <w:abstractNumId w:val="5"/>
  </w:num>
  <w:num w:numId="9">
    <w:abstractNumId w:val="11"/>
  </w:num>
  <w:num w:numId="10">
    <w:abstractNumId w:val="8"/>
  </w:num>
  <w:num w:numId="11">
    <w:abstractNumId w:val="14"/>
  </w:num>
  <w:num w:numId="12">
    <w:abstractNumId w:val="3"/>
  </w:num>
  <w:num w:numId="13">
    <w:abstractNumId w:val="6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o Chen (陈滔)">
    <w15:presenceInfo w15:providerId="AD" w15:userId="S-1-5-21-982246819-2446687326-311917563-442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B25FC"/>
    <w:rsid w:val="000D0417"/>
    <w:rsid w:val="000D2CF3"/>
    <w:rsid w:val="000D5920"/>
    <w:rsid w:val="000F6CF1"/>
    <w:rsid w:val="001132DB"/>
    <w:rsid w:val="0012460D"/>
    <w:rsid w:val="00125092"/>
    <w:rsid w:val="001465D5"/>
    <w:rsid w:val="00172591"/>
    <w:rsid w:val="00182DF8"/>
    <w:rsid w:val="00196A85"/>
    <w:rsid w:val="001A6013"/>
    <w:rsid w:val="001C0179"/>
    <w:rsid w:val="001C58FE"/>
    <w:rsid w:val="001D4DDA"/>
    <w:rsid w:val="001D4E82"/>
    <w:rsid w:val="001E3576"/>
    <w:rsid w:val="00203681"/>
    <w:rsid w:val="002110FB"/>
    <w:rsid w:val="002219F6"/>
    <w:rsid w:val="00235033"/>
    <w:rsid w:val="0023507E"/>
    <w:rsid w:val="00255F1E"/>
    <w:rsid w:val="00264FD4"/>
    <w:rsid w:val="00267D03"/>
    <w:rsid w:val="002801F8"/>
    <w:rsid w:val="002A02E8"/>
    <w:rsid w:val="002A1105"/>
    <w:rsid w:val="002A4935"/>
    <w:rsid w:val="002B733D"/>
    <w:rsid w:val="002D15B1"/>
    <w:rsid w:val="002D1A05"/>
    <w:rsid w:val="002E7E41"/>
    <w:rsid w:val="002F0532"/>
    <w:rsid w:val="002F6CF7"/>
    <w:rsid w:val="0030143A"/>
    <w:rsid w:val="00322B70"/>
    <w:rsid w:val="00325FB2"/>
    <w:rsid w:val="00376133"/>
    <w:rsid w:val="003917BE"/>
    <w:rsid w:val="00397D8A"/>
    <w:rsid w:val="003A4194"/>
    <w:rsid w:val="003A5941"/>
    <w:rsid w:val="003B39C1"/>
    <w:rsid w:val="003B4014"/>
    <w:rsid w:val="003D159D"/>
    <w:rsid w:val="003D5581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4B6CA9"/>
    <w:rsid w:val="005168CB"/>
    <w:rsid w:val="00526B20"/>
    <w:rsid w:val="00533DCF"/>
    <w:rsid w:val="005561AF"/>
    <w:rsid w:val="00586A74"/>
    <w:rsid w:val="005A57AD"/>
    <w:rsid w:val="005C003B"/>
    <w:rsid w:val="005C19FD"/>
    <w:rsid w:val="005D23D1"/>
    <w:rsid w:val="005D431E"/>
    <w:rsid w:val="005E6D86"/>
    <w:rsid w:val="005F3C4A"/>
    <w:rsid w:val="00625D07"/>
    <w:rsid w:val="0063258F"/>
    <w:rsid w:val="00665EF9"/>
    <w:rsid w:val="006B0D1B"/>
    <w:rsid w:val="006B52DB"/>
    <w:rsid w:val="006E3A3B"/>
    <w:rsid w:val="006F1228"/>
    <w:rsid w:val="006F3A75"/>
    <w:rsid w:val="007008A5"/>
    <w:rsid w:val="00707552"/>
    <w:rsid w:val="00707A9C"/>
    <w:rsid w:val="00746605"/>
    <w:rsid w:val="00750959"/>
    <w:rsid w:val="00762D32"/>
    <w:rsid w:val="00772435"/>
    <w:rsid w:val="00773E30"/>
    <w:rsid w:val="00786B16"/>
    <w:rsid w:val="007B5472"/>
    <w:rsid w:val="007C1AA6"/>
    <w:rsid w:val="007C5252"/>
    <w:rsid w:val="007D2332"/>
    <w:rsid w:val="008047B9"/>
    <w:rsid w:val="00807274"/>
    <w:rsid w:val="008120F7"/>
    <w:rsid w:val="008324A9"/>
    <w:rsid w:val="00890C0C"/>
    <w:rsid w:val="008A0109"/>
    <w:rsid w:val="008A36E4"/>
    <w:rsid w:val="008B1F23"/>
    <w:rsid w:val="008B4748"/>
    <w:rsid w:val="00902BAB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9E39A1"/>
    <w:rsid w:val="009F7B38"/>
    <w:rsid w:val="00A22440"/>
    <w:rsid w:val="00A36966"/>
    <w:rsid w:val="00A37F4C"/>
    <w:rsid w:val="00A57022"/>
    <w:rsid w:val="00A67336"/>
    <w:rsid w:val="00A77223"/>
    <w:rsid w:val="00A87718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E6331"/>
    <w:rsid w:val="00C04305"/>
    <w:rsid w:val="00C2186E"/>
    <w:rsid w:val="00C31E4D"/>
    <w:rsid w:val="00C522F6"/>
    <w:rsid w:val="00C83ABA"/>
    <w:rsid w:val="00C87785"/>
    <w:rsid w:val="00C921B8"/>
    <w:rsid w:val="00C934E7"/>
    <w:rsid w:val="00CB1EAA"/>
    <w:rsid w:val="00CB63C0"/>
    <w:rsid w:val="00CD1E51"/>
    <w:rsid w:val="00CF1A68"/>
    <w:rsid w:val="00D048E5"/>
    <w:rsid w:val="00D07F16"/>
    <w:rsid w:val="00D646A4"/>
    <w:rsid w:val="00D73C1D"/>
    <w:rsid w:val="00D87A3D"/>
    <w:rsid w:val="00D87DE5"/>
    <w:rsid w:val="00DA577A"/>
    <w:rsid w:val="00DC134F"/>
    <w:rsid w:val="00DC29F2"/>
    <w:rsid w:val="00DE0DBC"/>
    <w:rsid w:val="00DE1171"/>
    <w:rsid w:val="00E14C83"/>
    <w:rsid w:val="00E35AD4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2319B"/>
    <w:rsid w:val="00F3759E"/>
    <w:rsid w:val="00F5227E"/>
    <w:rsid w:val="00F9060E"/>
    <w:rsid w:val="00F91D24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2920E8E"/>
  <w15:docId w15:val="{B4F27AF9-BB37-4BA2-AD1C-4578EE59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E3576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Draft report v2</cp:lastModifiedBy>
  <cp:revision>3</cp:revision>
  <dcterms:created xsi:type="dcterms:W3CDTF">2020-05-11T15:56:00Z</dcterms:created>
  <dcterms:modified xsi:type="dcterms:W3CDTF">2020-05-11T15:58:00Z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