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5"/>
        <w:tabs>
          <w:tab w:val="right" w:pos="9639"/>
        </w:tabs>
        <w:spacing w:after="0"/>
        <w:rPr>
          <w:rFonts w:hint="default" w:eastAsia="宋体"/>
          <w:b/>
          <w:i/>
          <w:sz w:val="28"/>
          <w:lang w:val="en-US" w:eastAsia="zh-CN"/>
        </w:rPr>
      </w:pPr>
      <w:bookmarkStart w:id="0" w:name="page2"/>
      <w:r>
        <w:rPr>
          <w:b/>
          <w:sz w:val="24"/>
        </w:rPr>
        <w:t>3GPP TSG-</w:t>
      </w:r>
      <w:r>
        <w:rPr>
          <w:rFonts w:hint="eastAsia"/>
          <w:b/>
          <w:sz w:val="24"/>
          <w:lang w:eastAsia="zh-CN"/>
        </w:rPr>
        <w:t>RAN</w:t>
      </w:r>
      <w:r>
        <w:rPr>
          <w:b/>
          <w:sz w:val="24"/>
          <w:lang w:eastAsia="zh-CN"/>
        </w:rPr>
        <w:t xml:space="preserve"> WG2 Meeting #1</w:t>
      </w:r>
      <w:r>
        <w:rPr>
          <w:rFonts w:hint="eastAsia"/>
          <w:b/>
          <w:sz w:val="24"/>
          <w:lang w:val="en-US" w:eastAsia="zh-CN"/>
        </w:rPr>
        <w:t>10</w:t>
      </w:r>
      <w:r>
        <w:rPr>
          <w:b/>
          <w:sz w:val="24"/>
          <w:lang w:eastAsia="zh-CN"/>
        </w:rPr>
        <w:t xml:space="preserve"> electronic</w:t>
      </w:r>
      <w:r>
        <w:rPr>
          <w:b/>
          <w:i/>
          <w:sz w:val="28"/>
        </w:rPr>
        <w:tab/>
      </w:r>
      <w:r>
        <w:rPr>
          <w:b/>
          <w:i/>
          <w:sz w:val="28"/>
        </w:rPr>
        <w:t>R2-200</w:t>
      </w:r>
      <w:r>
        <w:rPr>
          <w:rFonts w:hint="eastAsia" w:eastAsia="宋体"/>
          <w:b/>
          <w:i/>
          <w:sz w:val="28"/>
          <w:lang w:val="en-US" w:eastAsia="zh-CN"/>
        </w:rPr>
        <w:t>5972</w:t>
      </w:r>
      <w:bookmarkStart w:id="23" w:name="_GoBack"/>
      <w:bookmarkEnd w:id="23"/>
    </w:p>
    <w:p>
      <w:pPr>
        <w:pStyle w:val="95"/>
        <w:outlineLvl w:val="0"/>
        <w:rPr>
          <w:b/>
          <w:sz w:val="24"/>
        </w:rPr>
      </w:pPr>
      <w:r>
        <w:rPr>
          <w:rFonts w:hint="eastAsia" w:eastAsia="宋体"/>
          <w:b/>
          <w:sz w:val="24"/>
          <w:lang w:val="en-US" w:eastAsia="zh-CN"/>
        </w:rPr>
        <w:t>June 1</w:t>
      </w:r>
      <w:r>
        <w:rPr>
          <w:rFonts w:hint="eastAsia" w:eastAsia="宋体"/>
          <w:b/>
          <w:sz w:val="24"/>
          <w:vertAlign w:val="superscript"/>
          <w:lang w:val="en-US" w:eastAsia="zh-CN"/>
        </w:rPr>
        <w:t>st</w:t>
      </w:r>
      <w:r>
        <w:rPr>
          <w:rFonts w:hint="eastAsia" w:eastAsia="宋体"/>
          <w:b/>
          <w:sz w:val="24"/>
          <w:lang w:val="en-US" w:eastAsia="zh-CN"/>
        </w:rPr>
        <w:t xml:space="preserve"> </w:t>
      </w:r>
      <w:r>
        <w:rPr>
          <w:b/>
          <w:sz w:val="24"/>
        </w:rPr>
        <w:t xml:space="preserve">– </w:t>
      </w:r>
      <w:r>
        <w:rPr>
          <w:rFonts w:hint="eastAsia" w:eastAsia="宋体"/>
          <w:b/>
          <w:sz w:val="24"/>
          <w:lang w:val="en-US" w:eastAsia="zh-CN"/>
        </w:rPr>
        <w:t>June 12</w:t>
      </w:r>
      <w:r>
        <w:rPr>
          <w:rFonts w:hint="eastAsia" w:eastAsia="宋体"/>
          <w:b/>
          <w:sz w:val="24"/>
          <w:vertAlign w:val="superscript"/>
          <w:lang w:val="en-US" w:eastAsia="zh-CN"/>
        </w:rPr>
        <w:t>th</w:t>
      </w:r>
      <w:r>
        <w:rPr>
          <w:rFonts w:hint="eastAsia" w:eastAsia="宋体"/>
          <w:b/>
          <w:sz w:val="24"/>
          <w:lang w:val="en-US" w:eastAsia="zh-CN"/>
        </w:rPr>
        <w:t xml:space="preserve"> </w:t>
      </w:r>
      <w:r>
        <w:rPr>
          <w:b/>
          <w:sz w:val="24"/>
        </w:rPr>
        <w:t>2020</w:t>
      </w:r>
    </w:p>
    <w:tbl>
      <w:tblPr>
        <w:tblStyle w:val="46"/>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Layout w:type="fixed"/>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95"/>
              <w:spacing w:after="0"/>
              <w:jc w:val="right"/>
              <w:rPr>
                <w:i/>
              </w:rPr>
            </w:pPr>
            <w:r>
              <w:rPr>
                <w:i/>
                <w:sz w:val="14"/>
              </w:rPr>
              <w:t>CR-Form-v12.0</w:t>
            </w:r>
          </w:p>
        </w:tc>
      </w:tr>
      <w:tr>
        <w:tblPrEx>
          <w:tblLayout w:type="fixed"/>
        </w:tblPrEx>
        <w:tc>
          <w:tcPr>
            <w:tcW w:w="9641" w:type="dxa"/>
            <w:gridSpan w:val="9"/>
            <w:tcBorders>
              <w:left w:val="single" w:color="auto" w:sz="4" w:space="0"/>
              <w:right w:val="single" w:color="auto" w:sz="4" w:space="0"/>
            </w:tcBorders>
          </w:tcPr>
          <w:p>
            <w:pPr>
              <w:pStyle w:val="95"/>
              <w:spacing w:after="0"/>
              <w:jc w:val="center"/>
            </w:pPr>
            <w:r>
              <w:rPr>
                <w:b/>
                <w:sz w:val="32"/>
              </w:rPr>
              <w:t>CHANGE REQUEST</w:t>
            </w:r>
          </w:p>
        </w:tc>
      </w:tr>
      <w:tr>
        <w:tblPrEx>
          <w:tblLayout w:type="fixed"/>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95"/>
              <w:spacing w:after="0"/>
              <w:rPr>
                <w:sz w:val="8"/>
                <w:szCs w:val="8"/>
              </w:rPr>
            </w:pPr>
          </w:p>
        </w:tc>
      </w:tr>
      <w:tr>
        <w:tblPrEx>
          <w:tblLayout w:type="fixed"/>
        </w:tblPrEx>
        <w:tc>
          <w:tcPr>
            <w:tcW w:w="142" w:type="dxa"/>
            <w:tcBorders>
              <w:left w:val="single" w:color="auto" w:sz="4" w:space="0"/>
            </w:tcBorders>
          </w:tcPr>
          <w:p>
            <w:pPr>
              <w:pStyle w:val="95"/>
              <w:spacing w:after="0"/>
              <w:jc w:val="right"/>
            </w:pPr>
          </w:p>
        </w:tc>
        <w:tc>
          <w:tcPr>
            <w:tcW w:w="1559" w:type="dxa"/>
            <w:shd w:val="pct30" w:color="FFFF00" w:fill="auto"/>
          </w:tcPr>
          <w:p>
            <w:pPr>
              <w:pStyle w:val="95"/>
              <w:spacing w:after="0"/>
              <w:jc w:val="right"/>
              <w:rPr>
                <w:b/>
                <w:sz w:val="28"/>
              </w:rPr>
            </w:pPr>
            <w:r>
              <w:rPr>
                <w:b/>
                <w:sz w:val="28"/>
              </w:rPr>
              <w:t>3</w:t>
            </w:r>
            <w:r>
              <w:rPr>
                <w:rFonts w:hint="eastAsia" w:eastAsia="宋体"/>
                <w:b/>
                <w:sz w:val="28"/>
                <w:lang w:val="en-US" w:eastAsia="zh-CN"/>
              </w:rPr>
              <w:t>6</w:t>
            </w:r>
            <w:r>
              <w:rPr>
                <w:b/>
                <w:sz w:val="28"/>
              </w:rPr>
              <w:t>.304</w:t>
            </w:r>
          </w:p>
        </w:tc>
        <w:tc>
          <w:tcPr>
            <w:tcW w:w="709" w:type="dxa"/>
          </w:tcPr>
          <w:p>
            <w:pPr>
              <w:pStyle w:val="95"/>
              <w:spacing w:after="0"/>
              <w:jc w:val="center"/>
            </w:pPr>
            <w:r>
              <w:rPr>
                <w:b/>
                <w:sz w:val="28"/>
              </w:rPr>
              <w:t>CR</w:t>
            </w:r>
          </w:p>
        </w:tc>
        <w:tc>
          <w:tcPr>
            <w:tcW w:w="1276" w:type="dxa"/>
            <w:shd w:val="pct30" w:color="FFFF00" w:fill="auto"/>
          </w:tcPr>
          <w:p>
            <w:pPr>
              <w:pStyle w:val="95"/>
              <w:spacing w:after="0"/>
              <w:jc w:val="center"/>
            </w:pPr>
            <w:r>
              <w:rPr>
                <w:b/>
                <w:sz w:val="28"/>
              </w:rPr>
              <w:t>XXXX</w:t>
            </w:r>
            <w:r>
              <w:rPr>
                <w:b/>
                <w:sz w:val="28"/>
              </w:rPr>
              <w:fldChar w:fldCharType="begin"/>
            </w:r>
            <w:r>
              <w:rPr>
                <w:b/>
                <w:sz w:val="28"/>
              </w:rPr>
              <w:instrText xml:space="preserve"> DOCPROPERTY  Cr#  \* MERGEFORMAT </w:instrText>
            </w:r>
            <w:r>
              <w:rPr>
                <w:b/>
                <w:sz w:val="28"/>
              </w:rPr>
              <w:fldChar w:fldCharType="end"/>
            </w:r>
          </w:p>
        </w:tc>
        <w:tc>
          <w:tcPr>
            <w:tcW w:w="709" w:type="dxa"/>
          </w:tcPr>
          <w:p>
            <w:pPr>
              <w:pStyle w:val="95"/>
              <w:tabs>
                <w:tab w:val="right" w:pos="625"/>
              </w:tabs>
              <w:spacing w:after="0"/>
              <w:jc w:val="center"/>
            </w:pPr>
            <w:r>
              <w:rPr>
                <w:b/>
                <w:bCs/>
                <w:sz w:val="28"/>
              </w:rPr>
              <w:t>rev</w:t>
            </w:r>
          </w:p>
        </w:tc>
        <w:tc>
          <w:tcPr>
            <w:tcW w:w="992" w:type="dxa"/>
            <w:shd w:val="pct30" w:color="FFFF00" w:fill="auto"/>
          </w:tcPr>
          <w:p>
            <w:pPr>
              <w:pStyle w:val="95"/>
              <w:spacing w:after="0"/>
              <w:jc w:val="center"/>
              <w:rPr>
                <w:b/>
                <w:lang w:eastAsia="zh-CN"/>
              </w:rPr>
            </w:pPr>
            <w:r>
              <w:rPr>
                <w:rFonts w:hint="eastAsia"/>
                <w:b/>
                <w:sz w:val="28"/>
              </w:rPr>
              <w:t>-</w:t>
            </w:r>
          </w:p>
        </w:tc>
        <w:tc>
          <w:tcPr>
            <w:tcW w:w="2410" w:type="dxa"/>
          </w:tcPr>
          <w:p>
            <w:pPr>
              <w:pStyle w:val="95"/>
              <w:tabs>
                <w:tab w:val="right" w:pos="1825"/>
              </w:tabs>
              <w:spacing w:after="0"/>
              <w:jc w:val="center"/>
            </w:pPr>
            <w:r>
              <w:rPr>
                <w:b/>
                <w:sz w:val="28"/>
                <w:szCs w:val="28"/>
              </w:rPr>
              <w:t>Current version:</w:t>
            </w:r>
          </w:p>
        </w:tc>
        <w:tc>
          <w:tcPr>
            <w:tcW w:w="1701" w:type="dxa"/>
            <w:shd w:val="pct30" w:color="FFFF00" w:fill="auto"/>
          </w:tcPr>
          <w:p>
            <w:pPr>
              <w:pStyle w:val="95"/>
              <w:spacing w:after="0"/>
              <w:jc w:val="center"/>
              <w:rPr>
                <w:sz w:val="28"/>
              </w:rPr>
            </w:pPr>
            <w:r>
              <w:rPr>
                <w:b/>
                <w:sz w:val="28"/>
              </w:rPr>
              <w:t>16.0.0</w:t>
            </w:r>
          </w:p>
        </w:tc>
        <w:tc>
          <w:tcPr>
            <w:tcW w:w="143" w:type="dxa"/>
            <w:tcBorders>
              <w:right w:val="single" w:color="auto" w:sz="4" w:space="0"/>
            </w:tcBorders>
          </w:tcPr>
          <w:p>
            <w:pPr>
              <w:pStyle w:val="95"/>
              <w:spacing w:after="0"/>
            </w:pPr>
          </w:p>
        </w:tc>
      </w:tr>
      <w:tr>
        <w:tblPrEx>
          <w:tblLayout w:type="fixed"/>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95"/>
              <w:spacing w:after="0"/>
            </w:pPr>
          </w:p>
        </w:tc>
      </w:tr>
      <w:tr>
        <w:tblPrEx>
          <w:tblLayout w:type="fixed"/>
        </w:tblPrEx>
        <w:tc>
          <w:tcPr>
            <w:tcW w:w="9641" w:type="dxa"/>
            <w:gridSpan w:val="9"/>
            <w:tcBorders>
              <w:top w:val="single" w:color="auto" w:sz="4" w:space="0"/>
            </w:tcBorders>
          </w:tcPr>
          <w:p>
            <w:pPr>
              <w:pStyle w:val="95"/>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50"/>
                <w:rFonts w:cs="Arial"/>
                <w:b/>
                <w:i/>
                <w:color w:val="FF0000"/>
              </w:rPr>
              <w:t>HE</w:t>
            </w:r>
            <w:bookmarkStart w:id="1" w:name="_Hlt497126619"/>
            <w:r>
              <w:rPr>
                <w:rStyle w:val="50"/>
                <w:rFonts w:cs="Arial"/>
                <w:b/>
                <w:i/>
                <w:color w:val="FF0000"/>
              </w:rPr>
              <w:t>L</w:t>
            </w:r>
            <w:bookmarkEnd w:id="1"/>
            <w:r>
              <w:rPr>
                <w:rStyle w:val="50"/>
                <w:rFonts w:cs="Arial"/>
                <w:b/>
                <w:i/>
                <w:color w:val="FF0000"/>
              </w:rPr>
              <w:t>P</w:t>
            </w:r>
            <w:r>
              <w:rPr>
                <w:rStyle w:val="50"/>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50"/>
                <w:rFonts w:cs="Arial"/>
                <w:i/>
              </w:rPr>
              <w:t>http://www.3gpp.org/Change-Requests</w:t>
            </w:r>
            <w:r>
              <w:rPr>
                <w:rStyle w:val="50"/>
                <w:rFonts w:cs="Arial"/>
                <w:i/>
              </w:rPr>
              <w:fldChar w:fldCharType="end"/>
            </w:r>
            <w:r>
              <w:rPr>
                <w:rFonts w:cs="Arial"/>
                <w:i/>
              </w:rPr>
              <w:t>.</w:t>
            </w:r>
          </w:p>
        </w:tc>
      </w:tr>
      <w:tr>
        <w:tblPrEx>
          <w:tblLayout w:type="fixed"/>
          <w:tblCellMar>
            <w:top w:w="0" w:type="dxa"/>
            <w:left w:w="42" w:type="dxa"/>
            <w:bottom w:w="0" w:type="dxa"/>
            <w:right w:w="42" w:type="dxa"/>
          </w:tblCellMar>
        </w:tblPrEx>
        <w:tc>
          <w:tcPr>
            <w:tcW w:w="9641" w:type="dxa"/>
            <w:gridSpan w:val="9"/>
          </w:tcPr>
          <w:p>
            <w:pPr>
              <w:pStyle w:val="95"/>
              <w:spacing w:after="0"/>
              <w:rPr>
                <w:sz w:val="8"/>
                <w:szCs w:val="8"/>
              </w:rPr>
            </w:pPr>
          </w:p>
        </w:tc>
      </w:tr>
    </w:tbl>
    <w:p>
      <w:pPr>
        <w:rPr>
          <w:sz w:val="8"/>
          <w:szCs w:val="8"/>
        </w:rPr>
      </w:pPr>
    </w:p>
    <w:tbl>
      <w:tblPr>
        <w:tblStyle w:val="46"/>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Layout w:type="fixed"/>
          <w:tblCellMar>
            <w:top w:w="0" w:type="dxa"/>
            <w:left w:w="42" w:type="dxa"/>
            <w:bottom w:w="0" w:type="dxa"/>
            <w:right w:w="42" w:type="dxa"/>
          </w:tblCellMar>
        </w:tblPrEx>
        <w:tc>
          <w:tcPr>
            <w:tcW w:w="2835" w:type="dxa"/>
          </w:tcPr>
          <w:p>
            <w:pPr>
              <w:pStyle w:val="95"/>
              <w:tabs>
                <w:tab w:val="right" w:pos="2751"/>
              </w:tabs>
              <w:spacing w:after="0"/>
              <w:rPr>
                <w:b/>
                <w:i/>
              </w:rPr>
            </w:pPr>
            <w:r>
              <w:rPr>
                <w:b/>
                <w:i/>
              </w:rPr>
              <w:t>Proposed change affects:</w:t>
            </w:r>
          </w:p>
        </w:tc>
        <w:tc>
          <w:tcPr>
            <w:tcW w:w="1418" w:type="dxa"/>
          </w:tcPr>
          <w:p>
            <w:pPr>
              <w:pStyle w:val="95"/>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95"/>
              <w:spacing w:after="0"/>
              <w:jc w:val="center"/>
              <w:rPr>
                <w:b/>
                <w:caps/>
              </w:rPr>
            </w:pPr>
          </w:p>
        </w:tc>
        <w:tc>
          <w:tcPr>
            <w:tcW w:w="709" w:type="dxa"/>
            <w:tcBorders>
              <w:left w:val="single" w:color="auto" w:sz="4" w:space="0"/>
            </w:tcBorders>
          </w:tcPr>
          <w:p>
            <w:pPr>
              <w:pStyle w:val="95"/>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95"/>
              <w:spacing w:after="0"/>
              <w:jc w:val="center"/>
              <w:rPr>
                <w:b/>
                <w:caps/>
                <w:lang w:eastAsia="zh-CN"/>
              </w:rPr>
            </w:pPr>
            <w:r>
              <w:rPr>
                <w:rFonts w:hint="eastAsia"/>
                <w:b/>
                <w:caps/>
                <w:lang w:eastAsia="zh-CN"/>
              </w:rPr>
              <w:t>X</w:t>
            </w:r>
          </w:p>
        </w:tc>
        <w:tc>
          <w:tcPr>
            <w:tcW w:w="2126" w:type="dxa"/>
          </w:tcPr>
          <w:p>
            <w:pPr>
              <w:pStyle w:val="95"/>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95"/>
              <w:spacing w:after="0"/>
              <w:jc w:val="center"/>
              <w:rPr>
                <w:b/>
                <w:caps/>
                <w:lang w:eastAsia="zh-CN"/>
              </w:rPr>
            </w:pPr>
            <w:r>
              <w:rPr>
                <w:rFonts w:hint="eastAsia"/>
                <w:b/>
                <w:caps/>
                <w:lang w:eastAsia="zh-CN"/>
              </w:rPr>
              <w:t>X</w:t>
            </w:r>
          </w:p>
        </w:tc>
        <w:tc>
          <w:tcPr>
            <w:tcW w:w="1418" w:type="dxa"/>
            <w:tcBorders>
              <w:left w:val="nil"/>
            </w:tcBorders>
          </w:tcPr>
          <w:p>
            <w:pPr>
              <w:pStyle w:val="95"/>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95"/>
              <w:spacing w:after="0"/>
              <w:jc w:val="center"/>
              <w:rPr>
                <w:b/>
                <w:bCs/>
                <w:caps/>
              </w:rPr>
            </w:pPr>
          </w:p>
        </w:tc>
      </w:tr>
    </w:tbl>
    <w:p>
      <w:pPr>
        <w:rPr>
          <w:sz w:val="8"/>
          <w:szCs w:val="8"/>
        </w:rPr>
      </w:pPr>
    </w:p>
    <w:tbl>
      <w:tblPr>
        <w:tblStyle w:val="46"/>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Layout w:type="fixed"/>
          <w:tblCellMar>
            <w:top w:w="0" w:type="dxa"/>
            <w:left w:w="42" w:type="dxa"/>
            <w:bottom w:w="0" w:type="dxa"/>
            <w:right w:w="42" w:type="dxa"/>
          </w:tblCellMar>
        </w:tblPrEx>
        <w:tc>
          <w:tcPr>
            <w:tcW w:w="9640" w:type="dxa"/>
            <w:gridSpan w:val="11"/>
          </w:tcPr>
          <w:p>
            <w:pPr>
              <w:pStyle w:val="95"/>
              <w:spacing w:after="0"/>
              <w:rPr>
                <w:sz w:val="8"/>
                <w:szCs w:val="8"/>
              </w:rPr>
            </w:pPr>
          </w:p>
        </w:tc>
      </w:tr>
      <w:tr>
        <w:tblPrEx>
          <w:tblLayout w:type="fixed"/>
        </w:tblPrEx>
        <w:tc>
          <w:tcPr>
            <w:tcW w:w="1843" w:type="dxa"/>
            <w:tcBorders>
              <w:top w:val="single" w:color="auto" w:sz="4" w:space="0"/>
              <w:left w:val="single" w:color="auto" w:sz="4" w:space="0"/>
            </w:tcBorders>
          </w:tcPr>
          <w:p>
            <w:pPr>
              <w:pStyle w:val="95"/>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95"/>
              <w:spacing w:after="0"/>
              <w:ind w:left="100"/>
              <w:rPr>
                <w:lang w:eastAsia="zh-CN"/>
              </w:rPr>
            </w:pPr>
            <w:r>
              <w:rPr>
                <w:rFonts w:hint="eastAsia"/>
                <w:lang w:eastAsia="zh-CN"/>
              </w:rPr>
              <w:t>D</w:t>
            </w:r>
            <w:r>
              <w:rPr>
                <w:lang w:eastAsia="zh-CN"/>
              </w:rPr>
              <w:t xml:space="preserve">raft </w:t>
            </w:r>
            <w:r>
              <w:rPr>
                <w:rFonts w:hint="eastAsia"/>
                <w:lang w:val="en-US" w:eastAsia="zh-CN"/>
              </w:rPr>
              <w:t xml:space="preserve">running </w:t>
            </w:r>
            <w:r>
              <w:rPr>
                <w:lang w:eastAsia="zh-CN"/>
              </w:rPr>
              <w:t>CR on cell (re)selection for sidelink in TS 3</w:t>
            </w:r>
            <w:r>
              <w:rPr>
                <w:rFonts w:hint="eastAsia"/>
                <w:lang w:val="en-US" w:eastAsia="zh-CN"/>
              </w:rPr>
              <w:t>6</w:t>
            </w:r>
            <w:r>
              <w:rPr>
                <w:lang w:eastAsia="zh-CN"/>
              </w:rPr>
              <w:t>.304</w:t>
            </w: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95"/>
              <w:spacing w:after="0"/>
              <w:rPr>
                <w:b/>
                <w:i/>
                <w:sz w:val="8"/>
                <w:szCs w:val="8"/>
              </w:rPr>
            </w:pPr>
          </w:p>
        </w:tc>
        <w:tc>
          <w:tcPr>
            <w:tcW w:w="7797" w:type="dxa"/>
            <w:gridSpan w:val="10"/>
            <w:tcBorders>
              <w:right w:val="single" w:color="auto" w:sz="4" w:space="0"/>
            </w:tcBorders>
          </w:tcPr>
          <w:p>
            <w:pPr>
              <w:pStyle w:val="95"/>
              <w:spacing w:after="0"/>
              <w:rPr>
                <w:sz w:val="8"/>
                <w:szCs w:val="8"/>
              </w:rPr>
            </w:pP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95"/>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95"/>
              <w:spacing w:after="0"/>
              <w:ind w:left="100"/>
              <w:rPr>
                <w:rFonts w:hint="default"/>
                <w:lang w:val="en-US" w:eastAsia="zh-CN"/>
              </w:rPr>
            </w:pPr>
            <w:r>
              <w:rPr>
                <w:rFonts w:hint="eastAsia"/>
                <w:lang w:val="en-US" w:eastAsia="zh-CN"/>
              </w:rPr>
              <w:t>ZTE Corporation, Sanechips</w:t>
            </w: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95"/>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95"/>
              <w:spacing w:after="0"/>
              <w:ind w:left="100"/>
            </w:pPr>
            <w:r>
              <w:t>RAN2</w:t>
            </w:r>
            <w:r>
              <w:fldChar w:fldCharType="begin"/>
            </w:r>
            <w:r>
              <w:instrText xml:space="preserve"> DOCPROPERTY  SourceIfTsg  \* MERGEFORMAT </w:instrText>
            </w:r>
            <w:r>
              <w:fldChar w:fldCharType="end"/>
            </w:r>
          </w:p>
        </w:tc>
      </w:tr>
      <w:tr>
        <w:tblPrEx>
          <w:tblLayout w:type="fixed"/>
        </w:tblPrEx>
        <w:tc>
          <w:tcPr>
            <w:tcW w:w="1843" w:type="dxa"/>
            <w:tcBorders>
              <w:left w:val="single" w:color="auto" w:sz="4" w:space="0"/>
            </w:tcBorders>
          </w:tcPr>
          <w:p>
            <w:pPr>
              <w:pStyle w:val="95"/>
              <w:spacing w:after="0"/>
              <w:rPr>
                <w:b/>
                <w:i/>
                <w:sz w:val="8"/>
                <w:szCs w:val="8"/>
              </w:rPr>
            </w:pPr>
          </w:p>
        </w:tc>
        <w:tc>
          <w:tcPr>
            <w:tcW w:w="7797" w:type="dxa"/>
            <w:gridSpan w:val="10"/>
            <w:tcBorders>
              <w:right w:val="single" w:color="auto" w:sz="4" w:space="0"/>
            </w:tcBorders>
          </w:tcPr>
          <w:p>
            <w:pPr>
              <w:pStyle w:val="95"/>
              <w:spacing w:after="0"/>
              <w:rPr>
                <w:sz w:val="8"/>
                <w:szCs w:val="8"/>
              </w:rPr>
            </w:pP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95"/>
              <w:tabs>
                <w:tab w:val="right" w:pos="1759"/>
              </w:tabs>
              <w:spacing w:after="0"/>
              <w:rPr>
                <w:b/>
                <w:i/>
              </w:rPr>
            </w:pPr>
            <w:r>
              <w:rPr>
                <w:b/>
                <w:i/>
              </w:rPr>
              <w:t>Work item code:</w:t>
            </w:r>
          </w:p>
        </w:tc>
        <w:tc>
          <w:tcPr>
            <w:tcW w:w="3686" w:type="dxa"/>
            <w:gridSpan w:val="5"/>
            <w:shd w:val="pct30" w:color="FFFF00" w:fill="auto"/>
          </w:tcPr>
          <w:p>
            <w:pPr>
              <w:pStyle w:val="95"/>
              <w:spacing w:after="0"/>
              <w:ind w:left="100"/>
            </w:pPr>
            <w:r>
              <w:t>5G_V2X_NRSL</w:t>
            </w:r>
          </w:p>
        </w:tc>
        <w:tc>
          <w:tcPr>
            <w:tcW w:w="567" w:type="dxa"/>
            <w:tcBorders>
              <w:left w:val="nil"/>
            </w:tcBorders>
          </w:tcPr>
          <w:p>
            <w:pPr>
              <w:pStyle w:val="95"/>
              <w:spacing w:after="0"/>
              <w:ind w:right="100"/>
            </w:pPr>
          </w:p>
        </w:tc>
        <w:tc>
          <w:tcPr>
            <w:tcW w:w="1417" w:type="dxa"/>
            <w:gridSpan w:val="3"/>
            <w:tcBorders>
              <w:left w:val="nil"/>
            </w:tcBorders>
          </w:tcPr>
          <w:p>
            <w:pPr>
              <w:pStyle w:val="95"/>
              <w:spacing w:after="0"/>
              <w:jc w:val="right"/>
            </w:pPr>
            <w:r>
              <w:rPr>
                <w:b/>
                <w:i/>
              </w:rPr>
              <w:t>Date:</w:t>
            </w:r>
          </w:p>
        </w:tc>
        <w:tc>
          <w:tcPr>
            <w:tcW w:w="2127" w:type="dxa"/>
            <w:tcBorders>
              <w:right w:val="single" w:color="auto" w:sz="4" w:space="0"/>
            </w:tcBorders>
            <w:shd w:val="pct30" w:color="FFFF00" w:fill="auto"/>
          </w:tcPr>
          <w:p>
            <w:pPr>
              <w:pStyle w:val="95"/>
              <w:spacing w:after="0"/>
              <w:ind w:left="100"/>
              <w:rPr>
                <w:rFonts w:hint="default"/>
                <w:lang w:val="en-US" w:eastAsia="zh-CN"/>
              </w:rPr>
            </w:pPr>
            <w:r>
              <w:rPr>
                <w:rFonts w:hint="eastAsia"/>
                <w:lang w:eastAsia="zh-CN"/>
              </w:rPr>
              <w:t>2</w:t>
            </w:r>
            <w:r>
              <w:rPr>
                <w:lang w:eastAsia="zh-CN"/>
              </w:rPr>
              <w:t>020-0</w:t>
            </w:r>
            <w:r>
              <w:rPr>
                <w:rFonts w:hint="eastAsia"/>
                <w:lang w:val="en-US" w:eastAsia="zh-CN"/>
              </w:rPr>
              <w:t>6</w:t>
            </w:r>
            <w:r>
              <w:rPr>
                <w:lang w:eastAsia="zh-CN"/>
              </w:rPr>
              <w:t>-</w:t>
            </w:r>
            <w:r>
              <w:rPr>
                <w:rFonts w:hint="eastAsia"/>
                <w:lang w:val="en-US" w:eastAsia="zh-CN"/>
              </w:rPr>
              <w:t>12</w:t>
            </w: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95"/>
              <w:spacing w:after="0"/>
              <w:rPr>
                <w:b/>
                <w:i/>
                <w:sz w:val="8"/>
                <w:szCs w:val="8"/>
              </w:rPr>
            </w:pPr>
          </w:p>
        </w:tc>
        <w:tc>
          <w:tcPr>
            <w:tcW w:w="1986" w:type="dxa"/>
            <w:gridSpan w:val="4"/>
          </w:tcPr>
          <w:p>
            <w:pPr>
              <w:pStyle w:val="95"/>
              <w:spacing w:after="0"/>
              <w:rPr>
                <w:sz w:val="8"/>
                <w:szCs w:val="8"/>
              </w:rPr>
            </w:pPr>
          </w:p>
        </w:tc>
        <w:tc>
          <w:tcPr>
            <w:tcW w:w="2267" w:type="dxa"/>
            <w:gridSpan w:val="2"/>
          </w:tcPr>
          <w:p>
            <w:pPr>
              <w:pStyle w:val="95"/>
              <w:spacing w:after="0"/>
              <w:rPr>
                <w:sz w:val="8"/>
                <w:szCs w:val="8"/>
              </w:rPr>
            </w:pPr>
          </w:p>
        </w:tc>
        <w:tc>
          <w:tcPr>
            <w:tcW w:w="1417" w:type="dxa"/>
            <w:gridSpan w:val="3"/>
          </w:tcPr>
          <w:p>
            <w:pPr>
              <w:pStyle w:val="95"/>
              <w:spacing w:after="0"/>
              <w:rPr>
                <w:sz w:val="8"/>
                <w:szCs w:val="8"/>
              </w:rPr>
            </w:pPr>
          </w:p>
        </w:tc>
        <w:tc>
          <w:tcPr>
            <w:tcW w:w="2127" w:type="dxa"/>
            <w:tcBorders>
              <w:right w:val="single" w:color="auto" w:sz="4" w:space="0"/>
            </w:tcBorders>
          </w:tcPr>
          <w:p>
            <w:pPr>
              <w:pStyle w:val="95"/>
              <w:spacing w:after="0"/>
              <w:rPr>
                <w:sz w:val="8"/>
                <w:szCs w:val="8"/>
              </w:rPr>
            </w:pPr>
          </w:p>
        </w:tc>
      </w:tr>
      <w:tr>
        <w:tblPrEx>
          <w:tblLayout w:type="fixed"/>
          <w:tblCellMar>
            <w:top w:w="0" w:type="dxa"/>
            <w:left w:w="42" w:type="dxa"/>
            <w:bottom w:w="0" w:type="dxa"/>
            <w:right w:w="42" w:type="dxa"/>
          </w:tblCellMar>
        </w:tblPrEx>
        <w:trPr>
          <w:cantSplit/>
        </w:trPr>
        <w:tc>
          <w:tcPr>
            <w:tcW w:w="1843" w:type="dxa"/>
            <w:tcBorders>
              <w:left w:val="single" w:color="auto" w:sz="4" w:space="0"/>
            </w:tcBorders>
          </w:tcPr>
          <w:p>
            <w:pPr>
              <w:pStyle w:val="95"/>
              <w:tabs>
                <w:tab w:val="right" w:pos="1759"/>
              </w:tabs>
              <w:spacing w:after="0"/>
              <w:rPr>
                <w:b/>
                <w:i/>
              </w:rPr>
            </w:pPr>
            <w:r>
              <w:rPr>
                <w:b/>
                <w:i/>
              </w:rPr>
              <w:t>Category:</w:t>
            </w:r>
          </w:p>
        </w:tc>
        <w:tc>
          <w:tcPr>
            <w:tcW w:w="851" w:type="dxa"/>
            <w:shd w:val="pct30" w:color="FFFF00" w:fill="auto"/>
          </w:tcPr>
          <w:p>
            <w:pPr>
              <w:pStyle w:val="95"/>
              <w:spacing w:after="0"/>
              <w:ind w:left="100" w:right="-609"/>
              <w:rPr>
                <w:rFonts w:hint="eastAsia" w:eastAsia="宋体"/>
                <w:b/>
                <w:lang w:eastAsia="zh-CN"/>
              </w:rPr>
            </w:pPr>
            <w:r>
              <w:rPr>
                <w:rFonts w:hint="eastAsia" w:eastAsia="宋体"/>
                <w:b/>
                <w:lang w:val="en-US" w:eastAsia="zh-CN"/>
              </w:rPr>
              <w:t>B</w:t>
            </w:r>
          </w:p>
        </w:tc>
        <w:tc>
          <w:tcPr>
            <w:tcW w:w="3402" w:type="dxa"/>
            <w:gridSpan w:val="5"/>
            <w:tcBorders>
              <w:left w:val="nil"/>
            </w:tcBorders>
          </w:tcPr>
          <w:p>
            <w:pPr>
              <w:pStyle w:val="95"/>
              <w:spacing w:after="0"/>
            </w:pPr>
          </w:p>
        </w:tc>
        <w:tc>
          <w:tcPr>
            <w:tcW w:w="1417" w:type="dxa"/>
            <w:gridSpan w:val="3"/>
            <w:tcBorders>
              <w:left w:val="nil"/>
            </w:tcBorders>
          </w:tcPr>
          <w:p>
            <w:pPr>
              <w:pStyle w:val="95"/>
              <w:spacing w:after="0"/>
              <w:jc w:val="right"/>
              <w:rPr>
                <w:b/>
                <w:i/>
              </w:rPr>
            </w:pPr>
            <w:r>
              <w:rPr>
                <w:b/>
                <w:i/>
              </w:rPr>
              <w:t>Release:</w:t>
            </w:r>
          </w:p>
        </w:tc>
        <w:tc>
          <w:tcPr>
            <w:tcW w:w="2127" w:type="dxa"/>
            <w:tcBorders>
              <w:right w:val="single" w:color="auto" w:sz="4" w:space="0"/>
            </w:tcBorders>
            <w:shd w:val="pct30" w:color="FFFF00" w:fill="auto"/>
          </w:tcPr>
          <w:p>
            <w:pPr>
              <w:pStyle w:val="95"/>
              <w:spacing w:after="0"/>
              <w:ind w:left="100"/>
            </w:pPr>
            <w:r>
              <w:rPr>
                <w:rFonts w:hint="eastAsia"/>
                <w:lang w:eastAsia="zh-CN"/>
              </w:rPr>
              <w:t>Rel-</w:t>
            </w:r>
            <w:r>
              <w:rPr>
                <w:lang w:eastAsia="zh-CN"/>
              </w:rPr>
              <w:t>16</w:t>
            </w:r>
          </w:p>
        </w:tc>
      </w:tr>
      <w:tr>
        <w:tblPrEx>
          <w:tblLayout w:type="fixed"/>
        </w:tblPrEx>
        <w:tc>
          <w:tcPr>
            <w:tcW w:w="1843" w:type="dxa"/>
            <w:tcBorders>
              <w:left w:val="single" w:color="auto" w:sz="4" w:space="0"/>
              <w:bottom w:val="single" w:color="auto" w:sz="4" w:space="0"/>
            </w:tcBorders>
          </w:tcPr>
          <w:p>
            <w:pPr>
              <w:pStyle w:val="95"/>
              <w:spacing w:after="0"/>
              <w:rPr>
                <w:b/>
                <w:i/>
              </w:rPr>
            </w:pPr>
          </w:p>
        </w:tc>
        <w:tc>
          <w:tcPr>
            <w:tcW w:w="4677" w:type="dxa"/>
            <w:gridSpan w:val="8"/>
            <w:tcBorders>
              <w:bottom w:val="single" w:color="auto" w:sz="4" w:space="0"/>
            </w:tcBorders>
          </w:tcPr>
          <w:p>
            <w:pPr>
              <w:pStyle w:val="95"/>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95"/>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50"/>
                <w:sz w:val="18"/>
              </w:rPr>
              <w:t>TR 21.900</w:t>
            </w:r>
            <w:r>
              <w:rPr>
                <w:rStyle w:val="50"/>
                <w:sz w:val="18"/>
              </w:rPr>
              <w:fldChar w:fldCharType="end"/>
            </w:r>
            <w:r>
              <w:rPr>
                <w:sz w:val="18"/>
              </w:rPr>
              <w:t>.</w:t>
            </w:r>
          </w:p>
        </w:tc>
        <w:tc>
          <w:tcPr>
            <w:tcW w:w="3120" w:type="dxa"/>
            <w:gridSpan w:val="2"/>
            <w:tcBorders>
              <w:bottom w:val="single" w:color="auto" w:sz="4" w:space="0"/>
              <w:right w:val="single" w:color="auto" w:sz="4" w:space="0"/>
            </w:tcBorders>
          </w:tcPr>
          <w:p>
            <w:pPr>
              <w:pStyle w:val="95"/>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Rel-12</w:t>
            </w:r>
            <w:r>
              <w:rPr>
                <w:i/>
                <w:sz w:val="18"/>
              </w:rPr>
              <w:tab/>
            </w:r>
            <w:r>
              <w:rPr>
                <w:i/>
                <w:sz w:val="18"/>
              </w:rPr>
              <w:t>(Release 12)</w:t>
            </w:r>
            <w:r>
              <w:rPr>
                <w:i/>
                <w:sz w:val="18"/>
              </w:rPr>
              <w:br w:type="textWrapping"/>
            </w:r>
            <w:bookmarkStart w:id="2" w:name="OLE_LINK1"/>
            <w:r>
              <w:rPr>
                <w:i/>
                <w:sz w:val="18"/>
              </w:rPr>
              <w:t>Rel-13</w:t>
            </w:r>
            <w:r>
              <w:rPr>
                <w:i/>
                <w:sz w:val="18"/>
              </w:rPr>
              <w:tab/>
            </w:r>
            <w:r>
              <w:rPr>
                <w:i/>
                <w:sz w:val="18"/>
              </w:rPr>
              <w:t>(Release 13)</w:t>
            </w:r>
            <w:bookmarkEnd w:id="2"/>
            <w:r>
              <w:rPr>
                <w:i/>
                <w:sz w:val="18"/>
              </w:rPr>
              <w:br w:type="textWrapping"/>
            </w:r>
            <w:r>
              <w:rPr>
                <w:i/>
                <w:sz w:val="18"/>
              </w:rPr>
              <w:t>Rel-14</w:t>
            </w:r>
            <w:r>
              <w:rPr>
                <w:i/>
                <w:sz w:val="18"/>
              </w:rPr>
              <w:tab/>
            </w:r>
            <w:r>
              <w:rPr>
                <w:i/>
                <w:sz w:val="18"/>
              </w:rPr>
              <w:t>(Release 14)</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p>
        </w:tc>
      </w:tr>
      <w:tr>
        <w:tblPrEx>
          <w:tblLayout w:type="fixed"/>
          <w:tblCellMar>
            <w:top w:w="0" w:type="dxa"/>
            <w:left w:w="42" w:type="dxa"/>
            <w:bottom w:w="0" w:type="dxa"/>
            <w:right w:w="42" w:type="dxa"/>
          </w:tblCellMar>
        </w:tblPrEx>
        <w:tc>
          <w:tcPr>
            <w:tcW w:w="1843" w:type="dxa"/>
          </w:tcPr>
          <w:p>
            <w:pPr>
              <w:pStyle w:val="95"/>
              <w:spacing w:after="0"/>
              <w:rPr>
                <w:b/>
                <w:i/>
                <w:sz w:val="8"/>
                <w:szCs w:val="8"/>
              </w:rPr>
            </w:pPr>
          </w:p>
        </w:tc>
        <w:tc>
          <w:tcPr>
            <w:tcW w:w="7797" w:type="dxa"/>
            <w:gridSpan w:val="10"/>
          </w:tcPr>
          <w:p>
            <w:pPr>
              <w:pStyle w:val="95"/>
              <w:spacing w:after="0"/>
              <w:rPr>
                <w:sz w:val="8"/>
                <w:szCs w:val="8"/>
              </w:rPr>
            </w:pPr>
          </w:p>
        </w:tc>
      </w:tr>
      <w:tr>
        <w:tblPrEx>
          <w:tblLayout w:type="fixed"/>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95"/>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95"/>
              <w:numPr>
                <w:ilvl w:val="0"/>
                <w:numId w:val="2"/>
              </w:numPr>
              <w:spacing w:after="180"/>
              <w:rPr>
                <w:rFonts w:hint="default" w:ascii="Arial" w:hAnsi="Arial" w:cs="Arial"/>
                <w:color w:val="000000" w:themeColor="text1"/>
                <w:sz w:val="20"/>
                <w:szCs w:val="20"/>
                <w:lang w:val="en-US"/>
                <w14:textFill>
                  <w14:solidFill>
                    <w14:schemeClr w14:val="tx1"/>
                  </w14:solidFill>
                </w14:textFill>
              </w:rPr>
            </w:pPr>
            <w:r>
              <w:t xml:space="preserve">“if UE is configured to perform only V2X sidelink” in the current paragragh indicates other traffics like Public Safety are excluded, which is not the intention in our understanding. </w:t>
            </w:r>
          </w:p>
          <w:p>
            <w:pPr>
              <w:pStyle w:val="95"/>
              <w:numPr>
                <w:ilvl w:val="0"/>
                <w:numId w:val="2"/>
              </w:numPr>
              <w:spacing w:after="180"/>
              <w:rPr>
                <w:rFonts w:hint="default" w:ascii="Arial" w:hAnsi="Arial" w:cs="Arial"/>
                <w:color w:val="000000" w:themeColor="text1"/>
                <w:sz w:val="20"/>
                <w:szCs w:val="20"/>
                <w:lang w:val="en-US"/>
                <w14:textFill>
                  <w14:solidFill>
                    <w14:schemeClr w14:val="tx1"/>
                  </w14:solidFill>
                </w14:textFill>
              </w:rPr>
            </w:pPr>
            <w:r>
              <w:rPr>
                <w:rFonts w:hint="eastAsia" w:eastAsia="宋体" w:cs="Arial"/>
                <w:color w:val="000000" w:themeColor="text1"/>
                <w:sz w:val="20"/>
                <w:szCs w:val="20"/>
                <w:lang w:val="en-US" w:eastAsia="zh-CN"/>
                <w14:textFill>
                  <w14:solidFill>
                    <w14:schemeClr w14:val="tx1"/>
                  </w14:solidFill>
                </w14:textFill>
              </w:rPr>
              <w:t>The UE behaviour of performing inter-frequency measurement for NR and LTE V2X communication is missing.</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95"/>
              <w:spacing w:after="0"/>
              <w:rPr>
                <w:b/>
                <w:i/>
                <w:sz w:val="8"/>
                <w:szCs w:val="8"/>
              </w:rPr>
            </w:pPr>
          </w:p>
        </w:tc>
        <w:tc>
          <w:tcPr>
            <w:tcW w:w="6946" w:type="dxa"/>
            <w:gridSpan w:val="9"/>
            <w:tcBorders>
              <w:right w:val="single" w:color="auto" w:sz="4" w:space="0"/>
            </w:tcBorders>
          </w:tcPr>
          <w:p>
            <w:pPr>
              <w:pStyle w:val="95"/>
              <w:spacing w:after="0"/>
              <w:rPr>
                <w:rFonts w:hint="default" w:ascii="Arial" w:hAnsi="Arial" w:cs="Arial"/>
                <w:sz w:val="20"/>
                <w:szCs w:val="20"/>
              </w:rPr>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95"/>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95"/>
              <w:numPr>
                <w:ilvl w:val="0"/>
                <w:numId w:val="3"/>
              </w:numPr>
              <w:spacing w:after="180"/>
              <w:rPr>
                <w:rFonts w:hint="default" w:ascii="Arial" w:hAnsi="Arial" w:cs="Arial"/>
                <w:sz w:val="20"/>
                <w:szCs w:val="20"/>
                <w:lang w:eastAsia="zh-CN"/>
              </w:rPr>
            </w:pPr>
            <w:r>
              <w:rPr>
                <w:rFonts w:hint="default" w:ascii="Arial" w:hAnsi="Arial" w:cs="Arial"/>
                <w:sz w:val="20"/>
                <w:szCs w:val="20"/>
                <w:lang w:eastAsia="zh-CN"/>
              </w:rPr>
              <w:t>Rephrase “if UE is configured to perform only V2X sidelink communication” to be “if UE is configured to perform V2X sidelink communication and not perform NR sidelink communication”.</w:t>
            </w:r>
            <w:r>
              <w:rPr>
                <w:rFonts w:hint="eastAsia" w:ascii="Arial" w:hAnsi="Arial" w:cs="Arial"/>
                <w:sz w:val="20"/>
                <w:szCs w:val="20"/>
                <w:lang w:val="en-US" w:eastAsia="zh-CN"/>
              </w:rPr>
              <w:t xml:space="preserve"> </w:t>
            </w:r>
            <w:r>
              <w:rPr>
                <w:rFonts w:hint="default" w:ascii="Arial" w:hAnsi="Arial" w:cs="Arial"/>
                <w:sz w:val="20"/>
                <w:szCs w:val="20"/>
                <w:lang w:eastAsia="zh-CN"/>
              </w:rPr>
              <w:t>Rephrase “if UE is configured to perform only NR sidelink communication” to be “if UE is configured to perform NR sidelink communication and not perform V2X sidelink communication”.</w:t>
            </w:r>
          </w:p>
          <w:p>
            <w:pPr>
              <w:pStyle w:val="95"/>
              <w:numPr>
                <w:ilvl w:val="0"/>
                <w:numId w:val="3"/>
              </w:numPr>
              <w:spacing w:after="180"/>
              <w:rPr>
                <w:rFonts w:hint="default" w:ascii="Arial" w:hAnsi="Arial" w:cs="Arial"/>
                <w:sz w:val="20"/>
                <w:szCs w:val="20"/>
                <w:lang w:eastAsia="zh-CN"/>
              </w:rPr>
            </w:pPr>
            <w:r>
              <w:rPr>
                <w:rFonts w:hint="default" w:ascii="Arial" w:hAnsi="Arial" w:cs="Arial"/>
                <w:sz w:val="20"/>
                <w:szCs w:val="20"/>
                <w:lang w:eastAsia="zh-CN"/>
              </w:rPr>
              <w:t xml:space="preserve">Specify that procedures in </w:t>
            </w:r>
            <w:r>
              <w:rPr>
                <w:rFonts w:hint="eastAsia" w:ascii="Arial" w:hAnsi="Arial" w:cs="Arial"/>
                <w:sz w:val="20"/>
                <w:szCs w:val="20"/>
                <w:lang w:val="en-US" w:eastAsia="zh-CN"/>
              </w:rPr>
              <w:t>11.4</w:t>
            </w:r>
            <w:r>
              <w:rPr>
                <w:rFonts w:hint="default" w:ascii="Arial" w:hAnsi="Arial" w:cs="Arial"/>
                <w:sz w:val="20"/>
                <w:szCs w:val="20"/>
                <w:lang w:eastAsia="zh-CN"/>
              </w:rPr>
              <w:t xml:space="preserve"> applies to RRC_CONNECTED UEs as well.</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95"/>
              <w:spacing w:after="0"/>
              <w:rPr>
                <w:b/>
                <w:i/>
                <w:sz w:val="8"/>
                <w:szCs w:val="8"/>
              </w:rPr>
            </w:pPr>
          </w:p>
        </w:tc>
        <w:tc>
          <w:tcPr>
            <w:tcW w:w="6946" w:type="dxa"/>
            <w:gridSpan w:val="9"/>
            <w:tcBorders>
              <w:right w:val="single" w:color="auto" w:sz="4" w:space="0"/>
            </w:tcBorders>
          </w:tcPr>
          <w:p>
            <w:pPr>
              <w:pStyle w:val="95"/>
              <w:spacing w:after="0"/>
              <w:rPr>
                <w:rFonts w:hint="default" w:ascii="Arial" w:hAnsi="Arial" w:cs="Arial"/>
                <w:sz w:val="20"/>
                <w:szCs w:val="20"/>
              </w:rPr>
            </w:pPr>
          </w:p>
        </w:tc>
      </w:tr>
      <w:tr>
        <w:tblPrEx>
          <w:tblLayout w:type="fixed"/>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95"/>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95"/>
              <w:numPr>
                <w:ilvl w:val="0"/>
                <w:numId w:val="4"/>
              </w:numPr>
              <w:spacing w:after="180"/>
              <w:ind w:left="0" w:leftChars="0" w:firstLine="0" w:firstLineChars="0"/>
              <w:rPr>
                <w:rFonts w:hint="default" w:ascii="Arial" w:hAnsi="Arial" w:cs="Arial"/>
                <w:sz w:val="20"/>
                <w:szCs w:val="20"/>
                <w:lang w:val="en-US" w:eastAsia="zh-CN"/>
              </w:rPr>
            </w:pPr>
            <w:r>
              <w:t xml:space="preserve">The current spec indicates a scenario where a UE is configured to only perform V2X or NR sidelink communication which excludes other traffics which is not the intention. </w:t>
            </w:r>
          </w:p>
          <w:p>
            <w:pPr>
              <w:pStyle w:val="95"/>
              <w:numPr>
                <w:ilvl w:val="0"/>
                <w:numId w:val="4"/>
              </w:numPr>
              <w:spacing w:after="180"/>
              <w:ind w:left="0" w:leftChars="0" w:firstLine="0" w:firstLineChars="0"/>
              <w:rPr>
                <w:rFonts w:hint="default" w:ascii="Arial" w:hAnsi="Arial" w:cs="Arial"/>
                <w:sz w:val="20"/>
                <w:szCs w:val="20"/>
                <w:lang w:val="en-US" w:eastAsia="zh-CN"/>
              </w:rPr>
            </w:pPr>
            <w:r>
              <w:rPr>
                <w:rFonts w:hint="eastAsia" w:ascii="Arial" w:hAnsi="Arial" w:cs="Arial"/>
                <w:sz w:val="20"/>
                <w:szCs w:val="20"/>
                <w:lang w:val="en-US" w:eastAsia="zh-CN"/>
              </w:rPr>
              <w:t>For NR V2X communication, it is not clear on how UE perform inter-frequency measurement.</w:t>
            </w:r>
          </w:p>
        </w:tc>
      </w:tr>
      <w:tr>
        <w:tblPrEx>
          <w:tblLayout w:type="fixed"/>
          <w:tblCellMar>
            <w:top w:w="0" w:type="dxa"/>
            <w:left w:w="42" w:type="dxa"/>
            <w:bottom w:w="0" w:type="dxa"/>
            <w:right w:w="42" w:type="dxa"/>
          </w:tblCellMar>
        </w:tblPrEx>
        <w:tc>
          <w:tcPr>
            <w:tcW w:w="2694" w:type="dxa"/>
            <w:gridSpan w:val="2"/>
          </w:tcPr>
          <w:p>
            <w:pPr>
              <w:pStyle w:val="95"/>
              <w:spacing w:after="0"/>
              <w:rPr>
                <w:b/>
                <w:i/>
                <w:sz w:val="8"/>
                <w:szCs w:val="8"/>
              </w:rPr>
            </w:pPr>
          </w:p>
        </w:tc>
        <w:tc>
          <w:tcPr>
            <w:tcW w:w="6946" w:type="dxa"/>
            <w:gridSpan w:val="9"/>
          </w:tcPr>
          <w:p>
            <w:pPr>
              <w:pStyle w:val="95"/>
              <w:spacing w:after="0"/>
              <w:rPr>
                <w:sz w:val="8"/>
                <w:szCs w:val="8"/>
              </w:rPr>
            </w:pPr>
          </w:p>
        </w:tc>
      </w:tr>
      <w:tr>
        <w:tblPrEx>
          <w:tblLayout w:type="fixed"/>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95"/>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95"/>
              <w:spacing w:after="0"/>
              <w:ind w:left="100"/>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95"/>
              <w:spacing w:after="0"/>
              <w:rPr>
                <w:b/>
                <w:i/>
                <w:sz w:val="8"/>
                <w:szCs w:val="8"/>
              </w:rPr>
            </w:pPr>
          </w:p>
        </w:tc>
        <w:tc>
          <w:tcPr>
            <w:tcW w:w="6946" w:type="dxa"/>
            <w:gridSpan w:val="9"/>
            <w:tcBorders>
              <w:right w:val="single" w:color="auto" w:sz="4" w:space="0"/>
            </w:tcBorders>
          </w:tcPr>
          <w:p>
            <w:pPr>
              <w:pStyle w:val="95"/>
              <w:spacing w:after="0"/>
              <w:rPr>
                <w:sz w:val="8"/>
                <w:szCs w:val="8"/>
              </w:rPr>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95"/>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95"/>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95"/>
              <w:spacing w:after="0"/>
              <w:jc w:val="center"/>
              <w:rPr>
                <w:b/>
                <w:caps/>
              </w:rPr>
            </w:pPr>
            <w:r>
              <w:rPr>
                <w:b/>
                <w:caps/>
              </w:rPr>
              <w:t>N</w:t>
            </w:r>
          </w:p>
        </w:tc>
        <w:tc>
          <w:tcPr>
            <w:tcW w:w="2977" w:type="dxa"/>
            <w:gridSpan w:val="4"/>
          </w:tcPr>
          <w:p>
            <w:pPr>
              <w:pStyle w:val="95"/>
              <w:tabs>
                <w:tab w:val="right" w:pos="2893"/>
              </w:tabs>
              <w:spacing w:after="0"/>
            </w:pPr>
          </w:p>
        </w:tc>
        <w:tc>
          <w:tcPr>
            <w:tcW w:w="3401" w:type="dxa"/>
            <w:gridSpan w:val="3"/>
            <w:tcBorders>
              <w:right w:val="single" w:color="auto" w:sz="4" w:space="0"/>
            </w:tcBorders>
            <w:shd w:val="clear" w:color="FFFF00" w:fill="auto"/>
          </w:tcPr>
          <w:p>
            <w:pPr>
              <w:pStyle w:val="95"/>
              <w:spacing w:after="0"/>
              <w:ind w:left="99"/>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95"/>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95"/>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95"/>
              <w:spacing w:after="0"/>
              <w:jc w:val="center"/>
              <w:rPr>
                <w:b/>
                <w:caps/>
              </w:rPr>
            </w:pPr>
          </w:p>
        </w:tc>
        <w:tc>
          <w:tcPr>
            <w:tcW w:w="2977" w:type="dxa"/>
            <w:gridSpan w:val="4"/>
          </w:tcPr>
          <w:p>
            <w:pPr>
              <w:pStyle w:val="95"/>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95"/>
              <w:spacing w:after="0"/>
              <w:ind w:left="99"/>
            </w:pPr>
            <w:r>
              <w:t xml:space="preserve">TS/TR ... CR ... </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95"/>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95"/>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95"/>
              <w:spacing w:after="0"/>
              <w:jc w:val="center"/>
              <w:rPr>
                <w:b/>
                <w:caps/>
              </w:rPr>
            </w:pPr>
          </w:p>
        </w:tc>
        <w:tc>
          <w:tcPr>
            <w:tcW w:w="2977" w:type="dxa"/>
            <w:gridSpan w:val="4"/>
          </w:tcPr>
          <w:p>
            <w:pPr>
              <w:pStyle w:val="95"/>
              <w:spacing w:after="0"/>
            </w:pPr>
            <w:r>
              <w:t xml:space="preserve"> Test specifications</w:t>
            </w:r>
          </w:p>
        </w:tc>
        <w:tc>
          <w:tcPr>
            <w:tcW w:w="3401" w:type="dxa"/>
            <w:gridSpan w:val="3"/>
            <w:tcBorders>
              <w:right w:val="single" w:color="auto" w:sz="4" w:space="0"/>
            </w:tcBorders>
            <w:shd w:val="pct30" w:color="FFFF00" w:fill="auto"/>
          </w:tcPr>
          <w:p>
            <w:pPr>
              <w:pStyle w:val="95"/>
              <w:spacing w:after="0"/>
              <w:ind w:left="99"/>
            </w:pPr>
            <w:r>
              <w:t xml:space="preserve">TS/TR ... CR ... </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95"/>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95"/>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95"/>
              <w:spacing w:after="0"/>
              <w:jc w:val="center"/>
              <w:rPr>
                <w:b/>
                <w:caps/>
              </w:rPr>
            </w:pPr>
          </w:p>
        </w:tc>
        <w:tc>
          <w:tcPr>
            <w:tcW w:w="2977" w:type="dxa"/>
            <w:gridSpan w:val="4"/>
          </w:tcPr>
          <w:p>
            <w:pPr>
              <w:pStyle w:val="95"/>
              <w:spacing w:after="0"/>
            </w:pPr>
            <w:r>
              <w:t xml:space="preserve"> O&amp;M Specifications</w:t>
            </w:r>
          </w:p>
        </w:tc>
        <w:tc>
          <w:tcPr>
            <w:tcW w:w="3401" w:type="dxa"/>
            <w:gridSpan w:val="3"/>
            <w:tcBorders>
              <w:right w:val="single" w:color="auto" w:sz="4" w:space="0"/>
            </w:tcBorders>
            <w:shd w:val="pct30" w:color="FFFF00" w:fill="auto"/>
          </w:tcPr>
          <w:p>
            <w:pPr>
              <w:pStyle w:val="95"/>
              <w:spacing w:after="0"/>
              <w:ind w:left="99"/>
            </w:pPr>
            <w:r>
              <w:t xml:space="preserve">TS/TR ... CR ... </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95"/>
              <w:spacing w:after="0"/>
              <w:rPr>
                <w:b/>
                <w:i/>
              </w:rPr>
            </w:pPr>
          </w:p>
        </w:tc>
        <w:tc>
          <w:tcPr>
            <w:tcW w:w="6946" w:type="dxa"/>
            <w:gridSpan w:val="9"/>
            <w:tcBorders>
              <w:right w:val="single" w:color="auto" w:sz="4" w:space="0"/>
            </w:tcBorders>
          </w:tcPr>
          <w:p>
            <w:pPr>
              <w:pStyle w:val="95"/>
              <w:spacing w:after="0"/>
            </w:pPr>
          </w:p>
        </w:tc>
      </w:tr>
      <w:tr>
        <w:tblPrEx>
          <w:tblLayout w:type="fixed"/>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95"/>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95"/>
              <w:spacing w:after="0"/>
              <w:ind w:left="100"/>
            </w:pPr>
          </w:p>
        </w:tc>
      </w:tr>
      <w:tr>
        <w:tblPrEx>
          <w:tblLayout w:type="fixed"/>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95"/>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95"/>
              <w:spacing w:after="0"/>
              <w:ind w:left="100"/>
              <w:rPr>
                <w:sz w:val="8"/>
                <w:szCs w:val="8"/>
              </w:rPr>
            </w:pPr>
          </w:p>
        </w:tc>
      </w:tr>
      <w:tr>
        <w:tblPrEx>
          <w:tblLayout w:type="fixed"/>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95"/>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95"/>
              <w:spacing w:after="0"/>
              <w:ind w:left="100"/>
              <w:rPr>
                <w:rFonts w:hint="default" w:eastAsia="宋体"/>
                <w:lang w:val="en-US" w:eastAsia="zh-CN"/>
              </w:rPr>
            </w:pPr>
            <w:r>
              <w:rPr>
                <w:rFonts w:hint="eastAsia" w:eastAsia="宋体"/>
                <w:lang w:val="en-US" w:eastAsia="zh-CN"/>
              </w:rPr>
              <w:t>5.2.4.1/11.4</w:t>
            </w:r>
          </w:p>
        </w:tc>
      </w:tr>
    </w:tbl>
    <w:p/>
    <w:bookmarkEnd w:id="0"/>
    <w:tbl>
      <w:tblPr>
        <w:tblStyle w:val="46"/>
        <w:tblW w:w="98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blLayout w:type="fixed"/>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blLayout w:type="fixed"/>
          <w:tblCellMar>
            <w:top w:w="0" w:type="dxa"/>
            <w:left w:w="108" w:type="dxa"/>
            <w:bottom w:w="0" w:type="dxa"/>
            <w:right w:w="108" w:type="dxa"/>
          </w:tblCellMar>
        </w:tblPrEx>
        <w:trPr>
          <w:jc w:val="center"/>
        </w:trPr>
        <w:tc>
          <w:tcPr>
            <w:tcW w:w="9855" w:type="dxa"/>
            <w:shd w:val="clear" w:color="auto" w:fill="FDE9D9"/>
            <w:vAlign w:val="center"/>
          </w:tcPr>
          <w:p>
            <w:pPr>
              <w:overflowPunct w:val="0"/>
              <w:autoSpaceDE w:val="0"/>
              <w:autoSpaceDN w:val="0"/>
              <w:adjustRightInd w:val="0"/>
              <w:snapToGrid w:val="0"/>
              <w:spacing w:after="0"/>
              <w:jc w:val="center"/>
              <w:textAlignment w:val="baseline"/>
              <w:rPr>
                <w:color w:val="FF0000"/>
                <w:sz w:val="28"/>
                <w:szCs w:val="28"/>
                <w:lang w:eastAsia="zh-CN"/>
              </w:rPr>
            </w:pPr>
            <w:r>
              <w:rPr>
                <w:rFonts w:hint="eastAsia"/>
                <w:color w:val="FF0000"/>
                <w:sz w:val="28"/>
                <w:szCs w:val="28"/>
                <w:lang w:eastAsia="zh-CN"/>
              </w:rPr>
              <w:t xml:space="preserve">CHANGE </w:t>
            </w:r>
            <w:r>
              <w:rPr>
                <w:color w:val="FF0000"/>
                <w:sz w:val="28"/>
                <w:szCs w:val="28"/>
                <w:lang w:eastAsia="zh-CN"/>
              </w:rPr>
              <w:t>START</w:t>
            </w:r>
          </w:p>
        </w:tc>
      </w:tr>
    </w:tbl>
    <w:p/>
    <w:p>
      <w:pPr>
        <w:pStyle w:val="2"/>
        <w:rPr>
          <w:del w:id="0" w:author="ZTE - Boyuan" w:date="2020-06-10T09:09:54Z"/>
        </w:rPr>
      </w:pPr>
      <w:del w:id="1" w:author="ZTE - Boyuan" w:date="2020-06-10T09:09:54Z">
        <w:bookmarkStart w:id="3" w:name="_Toc29237874"/>
        <w:bookmarkStart w:id="4" w:name="_Toc37235773"/>
        <w:r>
          <w:rPr/>
          <w:delText>5</w:delText>
        </w:r>
      </w:del>
      <w:del w:id="2" w:author="ZTE - Boyuan" w:date="2020-06-10T09:09:54Z">
        <w:r>
          <w:rPr/>
          <w:tab/>
        </w:r>
      </w:del>
      <w:del w:id="3" w:author="ZTE - Boyuan" w:date="2020-06-10T09:09:54Z">
        <w:r>
          <w:rPr/>
          <w:delText>Process and procedure descriptions</w:delText>
        </w:r>
        <w:bookmarkEnd w:id="3"/>
        <w:bookmarkEnd w:id="4"/>
      </w:del>
    </w:p>
    <w:p>
      <w:pPr>
        <w:pStyle w:val="3"/>
        <w:rPr>
          <w:del w:id="4" w:author="ZTE - Boyuan" w:date="2020-06-10T09:09:54Z"/>
        </w:rPr>
      </w:pPr>
      <w:del w:id="5" w:author="ZTE - Boyuan" w:date="2020-06-10T09:09:54Z">
        <w:bookmarkStart w:id="5" w:name="_Toc29237884"/>
        <w:bookmarkStart w:id="6" w:name="_Toc37235783"/>
        <w:r>
          <w:rPr/>
          <w:delText>5.2</w:delText>
        </w:r>
      </w:del>
      <w:del w:id="6" w:author="ZTE - Boyuan" w:date="2020-06-10T09:09:54Z">
        <w:r>
          <w:rPr/>
          <w:tab/>
        </w:r>
      </w:del>
      <w:del w:id="7" w:author="ZTE - Boyuan" w:date="2020-06-10T09:09:54Z">
        <w:r>
          <w:rPr/>
          <w:delText>Cell selection and reselection</w:delText>
        </w:r>
        <w:bookmarkEnd w:id="5"/>
        <w:bookmarkEnd w:id="6"/>
      </w:del>
    </w:p>
    <w:p>
      <w:pPr>
        <w:pStyle w:val="4"/>
      </w:pPr>
      <w:bookmarkStart w:id="7" w:name="_Toc29237895"/>
      <w:bookmarkStart w:id="8" w:name="_Toc37235794"/>
      <w:r>
        <w:t>5.2.4</w:t>
      </w:r>
      <w:r>
        <w:tab/>
      </w:r>
      <w:r>
        <w:t>Cell Reselection evaluation process</w:t>
      </w:r>
      <w:bookmarkEnd w:id="7"/>
      <w:bookmarkEnd w:id="8"/>
    </w:p>
    <w:p>
      <w:pPr>
        <w:pStyle w:val="5"/>
      </w:pPr>
      <w:bookmarkStart w:id="9" w:name="_Toc29237896"/>
      <w:bookmarkStart w:id="10" w:name="_Toc37235795"/>
      <w:r>
        <w:t>5.2.4.1</w:t>
      </w:r>
      <w:r>
        <w:tab/>
      </w:r>
      <w:r>
        <w:t>Reselection priorities handling</w:t>
      </w:r>
      <w:bookmarkEnd w:id="9"/>
      <w:bookmarkEnd w:id="10"/>
    </w:p>
    <w:p>
      <w:pPr>
        <w:rPr>
          <w:lang w:eastAsia="zh-CN"/>
        </w:rPr>
      </w:pPr>
      <w:r>
        <w:t>Absolute priorities of different E-UTRAN frequencies or inter-RAT frequencies may be provided to the UE</w:t>
      </w:r>
      <w:r>
        <w:rPr>
          <w:lang w:eastAsia="ja-JP"/>
        </w:rPr>
        <w:t xml:space="preserve"> </w:t>
      </w:r>
      <w:r>
        <w:t xml:space="preserve">in the system information, </w:t>
      </w:r>
      <w:r>
        <w:rPr>
          <w:lang w:eastAsia="ja-JP"/>
        </w:rPr>
        <w:t xml:space="preserve">in the </w:t>
      </w:r>
      <w:r>
        <w:rPr>
          <w:i/>
          <w:lang w:eastAsia="ja-JP"/>
        </w:rPr>
        <w:t>RRCConnectionRelease</w:t>
      </w:r>
      <w:r>
        <w:rPr>
          <w:lang w:eastAsia="ja-JP"/>
        </w:rPr>
        <w:t xml:space="preserve"> message, or by inheriting from another RAT at inter-RAT cell (re)selection</w:t>
      </w:r>
      <w:r>
        <w:t xml:space="preserve">. In the case of system information, an E-UTRAN frequency or inter-RAT frequency may be listed without providing a priority (i.e. the field </w:t>
      </w:r>
      <w:r>
        <w:rPr>
          <w:i/>
        </w:rPr>
        <w:t>cellReselectionPriority</w:t>
      </w:r>
      <w:r>
        <w:t xml:space="preserve"> is absent for that frequency). If priorities are provided in</w:t>
      </w:r>
      <w:r>
        <w:rPr>
          <w:lang w:eastAsia="ja-JP"/>
        </w:rPr>
        <w:t xml:space="preserve"> dedicated s</w:t>
      </w:r>
      <w:r>
        <w:t xml:space="preserve">ignalling, the UE shall ignore all the priorities provided in system information. If UE is in </w:t>
      </w:r>
      <w:r>
        <w:rPr>
          <w:i/>
        </w:rPr>
        <w:t>camped on any cell</w:t>
      </w:r>
      <w:r>
        <w:t xml:space="preserve"> state, UE shall only apply the priorities provided by system information from current cell, and the UE preserves priorities provided by dedicated signalling </w:t>
      </w:r>
      <w:r>
        <w:rPr>
          <w:rFonts w:eastAsia="宋体"/>
          <w:lang w:eastAsia="zh-CN"/>
        </w:rPr>
        <w:t xml:space="preserve">and </w:t>
      </w:r>
      <w:r>
        <w:rPr>
          <w:i/>
        </w:rPr>
        <w:t>deprioritisationReq</w:t>
      </w:r>
      <w:r>
        <w:t xml:space="preserve"> </w:t>
      </w:r>
      <w:r>
        <w:rPr>
          <w:rFonts w:eastAsia="宋体"/>
          <w:lang w:eastAsia="zh-CN"/>
        </w:rPr>
        <w:t xml:space="preserve">received in </w:t>
      </w:r>
      <w:r>
        <w:rPr>
          <w:i/>
          <w:lang w:eastAsia="zh-CN"/>
        </w:rPr>
        <w:t>RRCConnectionReject</w:t>
      </w:r>
      <w:r>
        <w:rPr>
          <w:lang w:eastAsia="zh-CN"/>
        </w:rPr>
        <w:t xml:space="preserve"> </w:t>
      </w:r>
      <w:r>
        <w:t xml:space="preserve">unless specified otherwise. When </w:t>
      </w:r>
      <w:r>
        <w:rPr>
          <w:lang w:eastAsia="zh-CN"/>
        </w:rPr>
        <w:t xml:space="preserve">the UE in </w:t>
      </w:r>
      <w:r>
        <w:rPr>
          <w:i/>
          <w:lang w:eastAsia="zh-CN"/>
        </w:rPr>
        <w:t>c</w:t>
      </w:r>
      <w:r>
        <w:rPr>
          <w:i/>
        </w:rPr>
        <w:t xml:space="preserve">amped </w:t>
      </w:r>
      <w:r>
        <w:rPr>
          <w:i/>
          <w:lang w:eastAsia="zh-CN"/>
        </w:rPr>
        <w:t>n</w:t>
      </w:r>
      <w:r>
        <w:rPr>
          <w:i/>
        </w:rPr>
        <w:t>ormally</w:t>
      </w:r>
      <w:r>
        <w:rPr>
          <w:lang w:eastAsia="zh-CN"/>
        </w:rPr>
        <w:t xml:space="preserve"> state, has only </w:t>
      </w:r>
      <w:r>
        <w:t>dedicated priorities</w:t>
      </w:r>
      <w:r>
        <w:rPr>
          <w:lang w:eastAsia="zh-CN"/>
        </w:rPr>
        <w:t xml:space="preserve"> other than for the current frequency, the UE shall consider the current </w:t>
      </w:r>
      <w:r>
        <w:t xml:space="preserve">frequency to be the </w:t>
      </w:r>
      <w:r>
        <w:rPr>
          <w:lang w:eastAsia="zh-CN"/>
        </w:rPr>
        <w:t>low</w:t>
      </w:r>
      <w:r>
        <w:t xml:space="preserve">est priority frequency (i.e. </w:t>
      </w:r>
      <w:r>
        <w:rPr>
          <w:lang w:eastAsia="zh-CN"/>
        </w:rPr>
        <w:t>low</w:t>
      </w:r>
      <w:r>
        <w:t>er than any of the network configured values)</w:t>
      </w:r>
      <w:r>
        <w:rPr>
          <w:lang w:eastAsia="zh-CN"/>
        </w:rPr>
        <w:t>. While the UE is camped on a suitable CSG cell</w:t>
      </w:r>
      <w:r>
        <w:t xml:space="preserve"> in normal coverage</w:t>
      </w:r>
      <w:r>
        <w:rPr>
          <w:lang w:eastAsia="zh-CN"/>
        </w:rPr>
        <w:t xml:space="preserve">, the UE shall always consider the current frequency to be the highest priority frequency (i.e. higher than any of the network configured values), irrespective of any other priority value allocated to this frequency.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network configured priorities). If the UE capable of sidelink communication is configured to perform sidelink communication and can only perform the sidelink communication while camping on a frequency, the UE may consider that frequency to be the highest priority. If the UE capable of V2X sidelink communication is configured to perform V2X sidelink communication and can only perform the V2X sidelink communication while camping on a frequency, the UE may consider that frequency to be the highest </w:t>
      </w:r>
      <w:r>
        <w:t>priority. If the UE capable of V2X sidelink communication is configured to perform V2X sidelink communication and can only use pre-configuration while not camping on a frequency, the UE may consider the frequency providing inter-carrier V2X sidelink configuration to be the highest priority.</w:t>
      </w:r>
      <w:r>
        <w:rPr>
          <w:rFonts w:eastAsia="宋体"/>
          <w:lang w:eastAsia="zh-CN"/>
        </w:rPr>
        <w:t xml:space="preserve"> If the UE is configured to perform both V2X sidelink communication and NR sidelink communication, the UE may consider the frequency providing both V2X sidelink communication and NR sidelink communication configuration to be the highest priority.If the UE is configured to perform </w:t>
      </w:r>
      <w:del w:id="8" w:author="ZTE - Boyuan" w:date="2020-06-10T09:07:31Z">
        <w:r>
          <w:rPr>
            <w:rFonts w:eastAsia="宋体"/>
            <w:lang w:eastAsia="zh-CN"/>
          </w:rPr>
          <w:delText xml:space="preserve">only </w:delText>
        </w:r>
      </w:del>
      <w:r>
        <w:rPr>
          <w:rFonts w:eastAsia="宋体"/>
          <w:lang w:eastAsia="zh-CN"/>
        </w:rPr>
        <w:t>V2X sidelink communication</w:t>
      </w:r>
      <w:ins w:id="9" w:author="ZTE - Boyuan" w:date="2020-06-10T09:07:45Z">
        <w:r>
          <w:rPr>
            <w:rFonts w:hint="eastAsia" w:eastAsia="宋体"/>
            <w:lang w:val="en-US" w:eastAsia="zh-CN"/>
          </w:rPr>
          <w:t xml:space="preserve"> an</w:t>
        </w:r>
      </w:ins>
      <w:ins w:id="10" w:author="ZTE - Boyuan" w:date="2020-06-10T09:07:46Z">
        <w:r>
          <w:rPr>
            <w:rFonts w:hint="eastAsia" w:eastAsia="宋体"/>
            <w:lang w:val="en-US" w:eastAsia="zh-CN"/>
          </w:rPr>
          <w:t>d no</w:t>
        </w:r>
      </w:ins>
      <w:ins w:id="11" w:author="ZTE - Boyuan" w:date="2020-06-10T09:07:47Z">
        <w:r>
          <w:rPr>
            <w:rFonts w:hint="eastAsia" w:eastAsia="宋体"/>
            <w:lang w:val="en-US" w:eastAsia="zh-CN"/>
          </w:rPr>
          <w:t>t perf</w:t>
        </w:r>
      </w:ins>
      <w:ins w:id="12" w:author="ZTE - Boyuan" w:date="2020-06-10T09:07:48Z">
        <w:r>
          <w:rPr>
            <w:rFonts w:hint="eastAsia" w:eastAsia="宋体"/>
            <w:lang w:val="en-US" w:eastAsia="zh-CN"/>
          </w:rPr>
          <w:t xml:space="preserve">orm </w:t>
        </w:r>
      </w:ins>
      <w:ins w:id="13" w:author="ZTE - Boyuan" w:date="2020-06-10T09:07:58Z">
        <w:r>
          <w:rPr>
            <w:rFonts w:hint="eastAsia" w:eastAsia="宋体"/>
            <w:lang w:val="en-US" w:eastAsia="zh-CN"/>
          </w:rPr>
          <w:t>NR</w:t>
        </w:r>
      </w:ins>
      <w:ins w:id="14" w:author="ZTE - Boyuan" w:date="2020-06-10T09:07:59Z">
        <w:r>
          <w:rPr>
            <w:rFonts w:hint="eastAsia" w:eastAsia="宋体"/>
            <w:lang w:val="en-US" w:eastAsia="zh-CN"/>
          </w:rPr>
          <w:t xml:space="preserve"> si</w:t>
        </w:r>
      </w:ins>
      <w:ins w:id="15" w:author="ZTE - Boyuan" w:date="2020-06-10T09:08:00Z">
        <w:r>
          <w:rPr>
            <w:rFonts w:hint="eastAsia" w:eastAsia="宋体"/>
            <w:lang w:val="en-US" w:eastAsia="zh-CN"/>
          </w:rPr>
          <w:t>delink</w:t>
        </w:r>
      </w:ins>
      <w:ins w:id="16" w:author="ZTE - Boyuan" w:date="2020-06-10T09:08:01Z">
        <w:r>
          <w:rPr>
            <w:rFonts w:hint="eastAsia" w:eastAsia="宋体"/>
            <w:lang w:val="en-US" w:eastAsia="zh-CN"/>
          </w:rPr>
          <w:t xml:space="preserve"> comm</w:t>
        </w:r>
      </w:ins>
      <w:ins w:id="17" w:author="ZTE - Boyuan" w:date="2020-06-10T09:08:02Z">
        <w:r>
          <w:rPr>
            <w:rFonts w:hint="eastAsia" w:eastAsia="宋体"/>
            <w:lang w:val="en-US" w:eastAsia="zh-CN"/>
          </w:rPr>
          <w:t>unica</w:t>
        </w:r>
      </w:ins>
      <w:ins w:id="18" w:author="ZTE - Boyuan" w:date="2020-06-10T09:08:03Z">
        <w:r>
          <w:rPr>
            <w:rFonts w:hint="eastAsia" w:eastAsia="宋体"/>
            <w:lang w:val="en-US" w:eastAsia="zh-CN"/>
          </w:rPr>
          <w:t>tion</w:t>
        </w:r>
      </w:ins>
      <w:r>
        <w:rPr>
          <w:rFonts w:eastAsia="宋体"/>
          <w:lang w:eastAsia="zh-CN"/>
        </w:rPr>
        <w:t xml:space="preserve">, the UE may consider the frequency providing V2X sidelink communication configuration to be the highest priority. If the UE is configured to perform </w:t>
      </w:r>
      <w:del w:id="19" w:author="ZTE - Boyuan" w:date="2020-06-10T09:09:15Z">
        <w:r>
          <w:rPr>
            <w:rFonts w:eastAsia="宋体"/>
            <w:lang w:eastAsia="zh-CN"/>
          </w:rPr>
          <w:delText xml:space="preserve">only </w:delText>
        </w:r>
      </w:del>
      <w:r>
        <w:rPr>
          <w:rFonts w:eastAsia="宋体"/>
          <w:lang w:eastAsia="zh-CN"/>
        </w:rPr>
        <w:t>NR sidelink communication</w:t>
      </w:r>
      <w:ins w:id="20" w:author="ZTE - Boyuan" w:date="2020-06-10T09:09:18Z">
        <w:r>
          <w:rPr>
            <w:rFonts w:hint="eastAsia" w:eastAsia="宋体"/>
            <w:lang w:val="en-US" w:eastAsia="zh-CN"/>
          </w:rPr>
          <w:t xml:space="preserve"> </w:t>
        </w:r>
      </w:ins>
      <w:ins w:id="21" w:author="ZTE - Boyuan" w:date="2020-06-10T09:09:20Z">
        <w:r>
          <w:rPr>
            <w:rFonts w:hint="eastAsia" w:eastAsia="宋体"/>
            <w:lang w:val="en-US" w:eastAsia="zh-CN"/>
          </w:rPr>
          <w:t>and n</w:t>
        </w:r>
      </w:ins>
      <w:ins w:id="22" w:author="ZTE - Boyuan" w:date="2020-06-10T09:09:21Z">
        <w:r>
          <w:rPr>
            <w:rFonts w:hint="eastAsia" w:eastAsia="宋体"/>
            <w:lang w:val="en-US" w:eastAsia="zh-CN"/>
          </w:rPr>
          <w:t>ot per</w:t>
        </w:r>
      </w:ins>
      <w:ins w:id="23" w:author="ZTE - Boyuan" w:date="2020-06-10T09:09:22Z">
        <w:r>
          <w:rPr>
            <w:rFonts w:hint="eastAsia" w:eastAsia="宋体"/>
            <w:lang w:val="en-US" w:eastAsia="zh-CN"/>
          </w:rPr>
          <w:t xml:space="preserve">form </w:t>
        </w:r>
      </w:ins>
      <w:ins w:id="24" w:author="ZTE - Boyuan" w:date="2020-06-10T09:09:23Z">
        <w:r>
          <w:rPr>
            <w:rFonts w:hint="eastAsia" w:eastAsia="宋体"/>
            <w:lang w:val="en-US" w:eastAsia="zh-CN"/>
          </w:rPr>
          <w:t>V2X</w:t>
        </w:r>
      </w:ins>
      <w:ins w:id="25" w:author="ZTE - Boyuan" w:date="2020-06-10T09:09:24Z">
        <w:r>
          <w:rPr>
            <w:rFonts w:hint="eastAsia" w:eastAsia="宋体"/>
            <w:lang w:val="en-US" w:eastAsia="zh-CN"/>
          </w:rPr>
          <w:t xml:space="preserve"> sideli</w:t>
        </w:r>
      </w:ins>
      <w:ins w:id="26" w:author="ZTE - Boyuan" w:date="2020-06-10T09:09:25Z">
        <w:r>
          <w:rPr>
            <w:rFonts w:hint="eastAsia" w:eastAsia="宋体"/>
            <w:lang w:val="en-US" w:eastAsia="zh-CN"/>
          </w:rPr>
          <w:t>nk co</w:t>
        </w:r>
      </w:ins>
      <w:ins w:id="27" w:author="ZTE - Boyuan" w:date="2020-06-10T09:09:26Z">
        <w:r>
          <w:rPr>
            <w:rFonts w:hint="eastAsia" w:eastAsia="宋体"/>
            <w:lang w:val="en-US" w:eastAsia="zh-CN"/>
          </w:rPr>
          <w:t>mmuni</w:t>
        </w:r>
      </w:ins>
      <w:ins w:id="28" w:author="ZTE - Boyuan" w:date="2020-06-10T09:09:27Z">
        <w:r>
          <w:rPr>
            <w:rFonts w:hint="eastAsia" w:eastAsia="宋体"/>
            <w:lang w:val="en-US" w:eastAsia="zh-CN"/>
          </w:rPr>
          <w:t>cation</w:t>
        </w:r>
      </w:ins>
      <w:r>
        <w:rPr>
          <w:rFonts w:eastAsia="宋体"/>
          <w:lang w:eastAsia="zh-CN"/>
        </w:rPr>
        <w:t>, the UE may consider the frequency providing NR sidelink communication configuration to be the highest priority.</w:t>
      </w:r>
      <w:r>
        <w:t xml:space="preserve"> If the UE capable of sidelink discovery is configured to</w:t>
      </w:r>
      <w:r>
        <w:rPr>
          <w:lang w:eastAsia="zh-CN"/>
        </w:rPr>
        <w:t xml:space="preserve"> perform Public Safety related sidelink discovery and can only perform the Public Safety related sidelink discovery while camping on a frequency, the UE may consider that frequency to be the highest priority.</w:t>
      </w:r>
    </w:p>
    <w:p>
      <w:pPr>
        <w:pStyle w:val="57"/>
        <w:rPr>
          <w:lang w:eastAsia="zh-CN"/>
        </w:rPr>
      </w:pPr>
      <w:r>
        <w:rPr>
          <w:lang w:eastAsia="zh-CN"/>
        </w:rPr>
        <w:t>NOTE 1:</w:t>
      </w:r>
      <w:r>
        <w:rPr>
          <w:lang w:eastAsia="zh-CN"/>
        </w:rPr>
        <w:tab/>
      </w:r>
      <w:r>
        <w:rPr>
          <w:lang w:eastAsia="zh-CN"/>
        </w:rPr>
        <w:t>The prioritization among the frequencies which UE considers to be the highest priority frequency is left to UE implementation.</w:t>
      </w:r>
    </w:p>
    <w:p>
      <w:pPr>
        <w:pStyle w:val="57"/>
        <w:rPr>
          <w:lang w:eastAsia="zh-CN"/>
        </w:rPr>
      </w:pPr>
      <w:r>
        <w:rPr>
          <w:lang w:eastAsia="zh-CN"/>
        </w:rPr>
        <w:t>NOTE 1a:</w:t>
      </w:r>
      <w:r>
        <w:rPr>
          <w:lang w:eastAsia="zh-CN"/>
        </w:rPr>
        <w:tab/>
      </w:r>
      <w:r>
        <w:rPr>
          <w:lang w:eastAsia="zh-CN"/>
        </w:rPr>
        <w:t>The frequency only providing the anchor frequency configuration should not be prioritized for V2X service during cell reselection as specified in TS 36.331[3].</w:t>
      </w:r>
    </w:p>
    <w:p>
      <w:pPr>
        <w:pStyle w:val="57"/>
        <w:rPr>
          <w:rFonts w:eastAsia="宋体"/>
          <w:lang w:eastAsia="zh-CN"/>
        </w:rPr>
      </w:pPr>
      <w:r>
        <w:rPr>
          <w:rFonts w:eastAsia="宋体"/>
          <w:shd w:val="clear" w:color="auto" w:fill="FFFFFF"/>
        </w:rPr>
        <w:t>NOTE 1b:</w:t>
      </w:r>
      <w:r>
        <w:rPr>
          <w:rFonts w:eastAsia="宋体"/>
          <w:shd w:val="clear" w:color="auto" w:fill="FFFFFF"/>
        </w:rPr>
        <w:tab/>
      </w:r>
      <w:r>
        <w:rPr>
          <w:rFonts w:eastAsia="宋体"/>
          <w:shd w:val="clear" w:color="auto" w:fill="FFFFFF"/>
        </w:rPr>
        <w:t>When UE is configured to perform NR sidelink communication or V2X sidelink communication performs cell reselection, it may consider the frequencies providing the intra-carrier and inter-carrier configuration have equal priority in cell reselection</w:t>
      </w:r>
      <w:r>
        <w:rPr>
          <w:rFonts w:eastAsia="宋体"/>
          <w:shd w:val="clear" w:color="auto" w:fill="FFFFFF"/>
          <w:lang w:eastAsia="zh-CN"/>
        </w:rPr>
        <w:t>.</w:t>
      </w:r>
    </w:p>
    <w:p>
      <w:pPr>
        <w:pStyle w:val="57"/>
        <w:rPr>
          <w:lang w:eastAsia="zh-CN"/>
        </w:rPr>
      </w:pPr>
      <w:r>
        <w:rPr>
          <w:lang w:eastAsia="zh-CN"/>
        </w:rPr>
        <w:t xml:space="preserve">NOTE </w:t>
      </w:r>
      <w:r>
        <w:rPr>
          <w:rFonts w:eastAsia="DengXian"/>
          <w:lang w:eastAsia="zh-CN"/>
        </w:rPr>
        <w:t>1c</w:t>
      </w:r>
      <w:r>
        <w:rPr>
          <w:lang w:eastAsia="zh-CN"/>
        </w:rPr>
        <w:t>:</w:t>
      </w:r>
      <w:r>
        <w:rPr>
          <w:lang w:eastAsia="zh-CN"/>
        </w:rPr>
        <w:tab/>
      </w:r>
      <w:r>
        <w:rPr>
          <w:lang w:eastAsia="zh-CN"/>
        </w:rPr>
        <w:t>The UE is configured to perform V2X sidelink communication or NR sidelink communication, if it has the capability and is authorized for the corresponding sidelink operation.</w:t>
      </w:r>
    </w:p>
    <w:p>
      <w:pPr>
        <w:pStyle w:val="57"/>
        <w:ind w:left="1098" w:leftChars="139" w:hanging="820"/>
        <w:rPr>
          <w:rFonts w:eastAsiaTheme="minorEastAsia"/>
          <w:lang w:eastAsia="zh-CN"/>
        </w:rPr>
      </w:pPr>
      <w:r>
        <w:rPr>
          <w:rFonts w:eastAsiaTheme="minorEastAsia"/>
          <w:lang w:eastAsia="zh-CN"/>
        </w:rPr>
        <w:t>NOTE 1d:</w:t>
      </w:r>
      <w:r>
        <w:rPr>
          <w:rFonts w:eastAsiaTheme="minorEastAsia"/>
          <w:lang w:eastAsia="zh-CN"/>
        </w:rPr>
        <w:tab/>
      </w:r>
      <w:r>
        <w:rPr>
          <w:rFonts w:eastAsiaTheme="minorEastAsia"/>
          <w:lang w:eastAsia="zh-CN"/>
        </w:rPr>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pPr>
        <w:pStyle w:val="57"/>
        <w:ind w:left="1098" w:leftChars="139" w:hanging="820"/>
        <w:rPr>
          <w:rFonts w:hint="eastAsia" w:eastAsiaTheme="minorEastAsia"/>
          <w:color w:val="FF0000"/>
          <w:lang w:val="en-US" w:eastAsia="zh-CN"/>
        </w:rPr>
      </w:pPr>
      <w:r>
        <w:rPr>
          <w:rFonts w:hint="eastAsia" w:eastAsiaTheme="minorEastAsia"/>
          <w:color w:val="FF0000"/>
          <w:lang w:val="en-US" w:eastAsia="zh-CN"/>
        </w:rPr>
        <w:t>&lt;text omitted&gt;</w:t>
      </w:r>
    </w:p>
    <w:tbl>
      <w:tblPr>
        <w:tblStyle w:val="46"/>
        <w:tblW w:w="98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blLayout w:type="fixed"/>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blLayout w:type="fixed"/>
          <w:tblCellMar>
            <w:top w:w="0" w:type="dxa"/>
            <w:left w:w="108" w:type="dxa"/>
            <w:bottom w:w="0" w:type="dxa"/>
            <w:right w:w="108" w:type="dxa"/>
          </w:tblCellMar>
        </w:tblPrEx>
        <w:trPr>
          <w:jc w:val="center"/>
        </w:trPr>
        <w:tc>
          <w:tcPr>
            <w:tcW w:w="9855" w:type="dxa"/>
            <w:shd w:val="clear" w:color="auto" w:fill="FDE9D9"/>
            <w:vAlign w:val="center"/>
          </w:tcPr>
          <w:p>
            <w:pPr>
              <w:overflowPunct w:val="0"/>
              <w:autoSpaceDE w:val="0"/>
              <w:autoSpaceDN w:val="0"/>
              <w:adjustRightInd w:val="0"/>
              <w:snapToGrid w:val="0"/>
              <w:spacing w:after="0"/>
              <w:jc w:val="center"/>
              <w:textAlignment w:val="baseline"/>
              <w:rPr>
                <w:rFonts w:hint="default"/>
                <w:color w:val="FF0000"/>
                <w:sz w:val="28"/>
                <w:szCs w:val="28"/>
                <w:lang w:val="en-US" w:eastAsia="zh-CN"/>
              </w:rPr>
            </w:pPr>
            <w:r>
              <w:rPr>
                <w:rFonts w:hint="eastAsia"/>
                <w:color w:val="FF0000"/>
                <w:sz w:val="28"/>
                <w:szCs w:val="28"/>
                <w:lang w:val="en-US" w:eastAsia="zh-CN"/>
              </w:rPr>
              <w:t>NEXT CHANGE</w:t>
            </w:r>
          </w:p>
        </w:tc>
      </w:tr>
    </w:tbl>
    <w:p>
      <w:pPr>
        <w:pStyle w:val="57"/>
        <w:ind w:left="1098" w:leftChars="139" w:hanging="820"/>
        <w:rPr>
          <w:rFonts w:hint="default" w:eastAsiaTheme="minorEastAsia"/>
          <w:color w:val="FF0000"/>
          <w:lang w:val="en-US" w:eastAsia="zh-CN"/>
        </w:rPr>
      </w:pPr>
    </w:p>
    <w:p>
      <w:pPr>
        <w:pStyle w:val="2"/>
        <w:rPr>
          <w:lang w:eastAsia="ko-KR"/>
        </w:rPr>
      </w:pPr>
      <w:bookmarkStart w:id="11" w:name="_Toc29237948"/>
      <w:bookmarkStart w:id="12" w:name="_Toc37235852"/>
      <w:r>
        <w:rPr>
          <w:lang w:eastAsia="ko-KR"/>
        </w:rPr>
        <w:t>11</w:t>
      </w:r>
      <w:r>
        <w:tab/>
      </w:r>
      <w:r>
        <w:rPr>
          <w:rFonts w:eastAsia="Malgun Gothic"/>
          <w:lang w:eastAsia="ko-KR"/>
        </w:rPr>
        <w:t>Sidelink</w:t>
      </w:r>
      <w:r>
        <w:rPr>
          <w:lang w:eastAsia="ko-KR"/>
        </w:rPr>
        <w:t xml:space="preserve"> operation</w:t>
      </w:r>
      <w:bookmarkEnd w:id="11"/>
      <w:bookmarkEnd w:id="12"/>
    </w:p>
    <w:p>
      <w:pPr>
        <w:pStyle w:val="3"/>
      </w:pPr>
      <w:bookmarkStart w:id="13" w:name="_Toc29237949"/>
      <w:bookmarkStart w:id="14" w:name="_Toc37235853"/>
      <w:r>
        <w:rPr>
          <w:lang w:eastAsia="ko-KR"/>
        </w:rPr>
        <w:t>11.1</w:t>
      </w:r>
      <w:r>
        <w:rPr>
          <w:lang w:eastAsia="ko-KR"/>
        </w:rPr>
        <w:tab/>
      </w:r>
      <w:r>
        <w:rPr>
          <w:rFonts w:eastAsia="Malgun Gothic"/>
          <w:lang w:eastAsia="ko-KR"/>
        </w:rPr>
        <w:t>S</w:t>
      </w:r>
      <w:r>
        <w:t>idelink communication</w:t>
      </w:r>
      <w:r>
        <w:rPr>
          <w:lang w:eastAsia="zh-CN"/>
        </w:rPr>
        <w:t xml:space="preserve"> and V2X sidelink communication</w:t>
      </w:r>
      <w:bookmarkEnd w:id="13"/>
      <w:r>
        <w:rPr>
          <w:lang w:eastAsia="zh-CN"/>
        </w:rPr>
        <w:t xml:space="preserve"> and NR sidelink communication</w:t>
      </w:r>
      <w:bookmarkEnd w:id="14"/>
    </w:p>
    <w:p>
      <w:pPr>
        <w:rPr>
          <w:lang w:eastAsia="zh-CN"/>
        </w:rPr>
      </w:pPr>
      <w:r>
        <w:rPr>
          <w:lang w:eastAsia="ko-KR"/>
        </w:rPr>
        <w:t xml:space="preserve">The UE may transmit or receive sidelink communication if it fulfils the condition(s) defined in TS 36.331 </w:t>
      </w:r>
      <w:r>
        <w:t>[</w:t>
      </w:r>
      <w:r>
        <w:rPr>
          <w:lang w:eastAsia="ko-KR"/>
        </w:rPr>
        <w:t>3]</w:t>
      </w:r>
      <w:r>
        <w:t xml:space="preserve">, clause </w:t>
      </w:r>
      <w:r>
        <w:rPr>
          <w:lang w:eastAsia="ko-KR"/>
        </w:rPr>
        <w:t>5.10.1a. The UE may transmit or receive</w:t>
      </w:r>
      <w:r>
        <w:rPr>
          <w:lang w:eastAsia="zh-CN"/>
        </w:rPr>
        <w:t xml:space="preserve"> V2X</w:t>
      </w:r>
      <w:r>
        <w:rPr>
          <w:lang w:eastAsia="ko-KR"/>
        </w:rPr>
        <w:t xml:space="preserve"> sidelink communication if it fulfils the condition(s) defined in TS 36.331 </w:t>
      </w:r>
      <w:r>
        <w:t>[</w:t>
      </w:r>
      <w:r>
        <w:rPr>
          <w:lang w:eastAsia="ko-KR"/>
        </w:rPr>
        <w:t>3]</w:t>
      </w:r>
      <w:r>
        <w:t xml:space="preserve">, clause </w:t>
      </w:r>
      <w:r>
        <w:rPr>
          <w:lang w:eastAsia="ko-KR"/>
        </w:rPr>
        <w:t>5.10.1</w:t>
      </w:r>
      <w:r>
        <w:rPr>
          <w:lang w:eastAsia="zh-CN"/>
        </w:rPr>
        <w:t>d</w:t>
      </w:r>
      <w:r>
        <w:rPr>
          <w:lang w:eastAsia="ko-KR"/>
        </w:rPr>
        <w:t xml:space="preserve">. When UE is in-coverage for </w:t>
      </w:r>
      <w:r>
        <w:rPr>
          <w:rFonts w:eastAsia="Malgun Gothic"/>
          <w:lang w:eastAsia="ko-KR"/>
        </w:rPr>
        <w:t xml:space="preserve">sidelink </w:t>
      </w:r>
      <w:r>
        <w:rPr>
          <w:lang w:eastAsia="ko-KR"/>
        </w:rPr>
        <w:t>operation</w:t>
      </w:r>
      <w:r>
        <w:rPr>
          <w:rFonts w:eastAsia="Malgun Gothic"/>
          <w:lang w:eastAsia="ko-KR"/>
        </w:rPr>
        <w:t xml:space="preserve"> </w:t>
      </w:r>
      <w:r>
        <w:rPr>
          <w:lang w:eastAsia="ko-KR"/>
        </w:rPr>
        <w:t xml:space="preserve">as defined in clause 11.4, the UE may perform the sidelink communication according to </w:t>
      </w:r>
      <w:r>
        <w:rPr>
          <w:i/>
          <w:lang w:eastAsia="ko-KR"/>
        </w:rPr>
        <w:t>SystemInformationBlockType18</w:t>
      </w:r>
      <w:r>
        <w:rPr>
          <w:lang w:eastAsia="zh-CN"/>
        </w:rPr>
        <w:t xml:space="preserve"> or </w:t>
      </w:r>
      <w:r>
        <w:rPr>
          <w:lang w:eastAsia="ko-KR"/>
        </w:rPr>
        <w:t>perform</w:t>
      </w:r>
      <w:r>
        <w:rPr>
          <w:lang w:eastAsia="zh-CN"/>
        </w:rPr>
        <w:t xml:space="preserve"> </w:t>
      </w:r>
      <w:r>
        <w:rPr>
          <w:lang w:eastAsia="ko-KR"/>
        </w:rPr>
        <w:t xml:space="preserve">the </w:t>
      </w:r>
      <w:r>
        <w:rPr>
          <w:lang w:eastAsia="zh-CN"/>
        </w:rPr>
        <w:t xml:space="preserve">V2X </w:t>
      </w:r>
      <w:r>
        <w:rPr>
          <w:lang w:eastAsia="ko-KR"/>
        </w:rPr>
        <w:t>sidelink communication</w:t>
      </w:r>
      <w:r>
        <w:rPr>
          <w:lang w:eastAsia="zh-CN"/>
        </w:rPr>
        <w:t xml:space="preserve"> </w:t>
      </w:r>
      <w:r>
        <w:rPr>
          <w:lang w:eastAsia="ko-KR"/>
        </w:rPr>
        <w:t>according to</w:t>
      </w:r>
      <w:r>
        <w:rPr>
          <w:lang w:eastAsia="zh-CN"/>
        </w:rPr>
        <w:t xml:space="preserve"> </w:t>
      </w:r>
      <w:r>
        <w:rPr>
          <w:i/>
          <w:lang w:eastAsia="ko-KR"/>
        </w:rPr>
        <w:t>SystemInformationBlockType</w:t>
      </w:r>
      <w:r>
        <w:rPr>
          <w:i/>
          <w:lang w:eastAsia="zh-CN"/>
        </w:rPr>
        <w:t>2</w:t>
      </w:r>
      <w:r>
        <w:rPr>
          <w:i/>
          <w:lang w:eastAsia="ko-KR"/>
        </w:rPr>
        <w:t>1</w:t>
      </w:r>
      <w:r>
        <w:rPr>
          <w:lang w:eastAsia="ko-KR"/>
        </w:rPr>
        <w:t xml:space="preserve"> or </w:t>
      </w:r>
      <w:r>
        <w:rPr>
          <w:i/>
          <w:lang w:eastAsia="ko-KR"/>
        </w:rPr>
        <w:t>SystemInformationBlockType</w:t>
      </w:r>
      <w:r>
        <w:rPr>
          <w:i/>
          <w:lang w:eastAsia="zh-CN"/>
        </w:rPr>
        <w:t>2</w:t>
      </w:r>
      <w:r>
        <w:rPr>
          <w:i/>
          <w:lang w:eastAsia="ko-KR"/>
        </w:rPr>
        <w:t>6,</w:t>
      </w:r>
      <w:r>
        <w:rPr>
          <w:lang w:eastAsia="ko-KR"/>
        </w:rPr>
        <w:t xml:space="preserve"> and when out-of-coverage for </w:t>
      </w:r>
      <w:r>
        <w:rPr>
          <w:rFonts w:eastAsia="Malgun Gothic"/>
          <w:lang w:eastAsia="ko-KR"/>
        </w:rPr>
        <w:t>sidelink</w:t>
      </w:r>
      <w:r>
        <w:rPr>
          <w:lang w:eastAsia="ko-KR"/>
        </w:rPr>
        <w:t xml:space="preserve">, the UE may perform the sidelink communication according to </w:t>
      </w:r>
      <w:r>
        <w:rPr>
          <w:i/>
        </w:rPr>
        <w:t>SL-Preconfiguration</w:t>
      </w:r>
      <w:r>
        <w:rPr>
          <w:kern w:val="2"/>
          <w:lang w:eastAsia="zh-CN"/>
        </w:rPr>
        <w:t xml:space="preserve"> or perform V2X sidelink communication according to</w:t>
      </w:r>
      <w:r>
        <w:rPr>
          <w:i/>
        </w:rPr>
        <w:t xml:space="preserve"> SL</w:t>
      </w:r>
      <w:r>
        <w:rPr>
          <w:i/>
          <w:lang w:eastAsia="zh-CN"/>
        </w:rPr>
        <w:t>-V2X</w:t>
      </w:r>
      <w:r>
        <w:rPr>
          <w:i/>
        </w:rPr>
        <w:t>-Preconfiguration</w:t>
      </w:r>
      <w:r>
        <w:rPr>
          <w:i/>
          <w:lang w:eastAsia="zh-CN"/>
        </w:rPr>
        <w:t xml:space="preserve"> </w:t>
      </w:r>
      <w:r>
        <w:rPr>
          <w:lang w:eastAsia="zh-CN"/>
        </w:rPr>
        <w:t>or according to</w:t>
      </w:r>
      <w:r>
        <w:rPr>
          <w:i/>
          <w:lang w:eastAsia="zh-CN"/>
        </w:rPr>
        <w:t xml:space="preserve"> SystemInformationBlockType21</w:t>
      </w:r>
      <w:r>
        <w:rPr>
          <w:kern w:val="2"/>
          <w:lang w:eastAsia="zh-CN"/>
        </w:rPr>
        <w:t xml:space="preserve"> or</w:t>
      </w:r>
      <w:r>
        <w:rPr>
          <w:lang w:eastAsia="ko-KR"/>
        </w:rPr>
        <w:t xml:space="preserve"> </w:t>
      </w:r>
      <w:r>
        <w:rPr>
          <w:i/>
          <w:lang w:eastAsia="ko-KR"/>
        </w:rPr>
        <w:t>SystemInformationBlockType</w:t>
      </w:r>
      <w:r>
        <w:rPr>
          <w:i/>
          <w:lang w:eastAsia="zh-CN"/>
        </w:rPr>
        <w:t>2</w:t>
      </w:r>
      <w:r>
        <w:rPr>
          <w:i/>
          <w:lang w:eastAsia="ko-KR"/>
        </w:rPr>
        <w:t xml:space="preserve">6 </w:t>
      </w:r>
      <w:r>
        <w:rPr>
          <w:kern w:val="2"/>
          <w:lang w:eastAsia="zh-CN"/>
        </w:rPr>
        <w:t>of the cell on the frequency which provides inter-carrier V2X sidelink configuration</w:t>
      </w:r>
      <w:r>
        <w:rPr>
          <w:kern w:val="2"/>
          <w:lang w:eastAsia="ko-KR"/>
        </w:rPr>
        <w:t xml:space="preserve">, as specified in TS 36.331 [3]. The UE shall not </w:t>
      </w:r>
      <w:r>
        <w:rPr>
          <w:kern w:val="2"/>
          <w:lang w:eastAsia="zh-CN"/>
        </w:rPr>
        <w:t>perform V2X sidelink communication according to</w:t>
      </w:r>
      <w:r>
        <w:rPr>
          <w:i/>
        </w:rPr>
        <w:t xml:space="preserve"> SL</w:t>
      </w:r>
      <w:r>
        <w:rPr>
          <w:i/>
          <w:lang w:eastAsia="zh-CN"/>
        </w:rPr>
        <w:t>-V2X</w:t>
      </w:r>
      <w:r>
        <w:rPr>
          <w:i/>
        </w:rPr>
        <w:t xml:space="preserve">-Preconfiguration </w:t>
      </w:r>
      <w:r>
        <w:t xml:space="preserve">if the UE detects a cell </w:t>
      </w:r>
      <w:r>
        <w:rPr>
          <w:kern w:val="2"/>
          <w:lang w:eastAsia="zh-CN"/>
        </w:rPr>
        <w:t xml:space="preserve">providing </w:t>
      </w:r>
      <w:r>
        <w:t xml:space="preserve">V2X </w:t>
      </w:r>
      <w:r>
        <w:rPr>
          <w:lang w:eastAsia="zh-CN"/>
        </w:rPr>
        <w:t>sidelink</w:t>
      </w:r>
      <w:r>
        <w:t xml:space="preserve"> configuration</w:t>
      </w:r>
      <w:r>
        <w:rPr>
          <w:lang w:eastAsia="zh-CN"/>
        </w:rPr>
        <w:t xml:space="preserve"> </w:t>
      </w:r>
      <w:r>
        <w:t xml:space="preserve">or </w:t>
      </w:r>
      <w:r>
        <w:rPr>
          <w:kern w:val="2"/>
          <w:lang w:eastAsia="zh-CN"/>
        </w:rPr>
        <w:t>inter-carrier V2X sidelink configuration</w:t>
      </w:r>
      <w:r>
        <w:t xml:space="preserve"> </w:t>
      </w:r>
      <w:r>
        <w:rPr>
          <w:lang w:eastAsia="zh-CN"/>
        </w:rPr>
        <w:t>for the frequency UE is interested to perform V2X sidelink communication on.</w:t>
      </w:r>
    </w:p>
    <w:p>
      <w:pPr>
        <w:rPr>
          <w:rFonts w:eastAsia="宋体"/>
          <w:szCs w:val="22"/>
          <w:lang w:eastAsia="zh-CN"/>
        </w:rPr>
      </w:pPr>
      <w:r>
        <w:rPr>
          <w:szCs w:val="22"/>
          <w:lang w:eastAsia="zh-CN"/>
        </w:rPr>
        <w:t>The UE may transmit or receive NR sidelink communication if it fulfills the condition(s) defined in TS 38.331 [37], clause 5.8.2. When UE is in-coverage for sidelink operation as defined in clause 11.4, the UE may perform NR sidelink communication according to</w:t>
      </w:r>
      <w:r>
        <w:rPr>
          <w:i/>
          <w:iCs/>
          <w:szCs w:val="22"/>
          <w:lang w:eastAsia="zh-CN"/>
        </w:rPr>
        <w:t xml:space="preserve"> SystemInformationBlockType12</w:t>
      </w:r>
      <w:r>
        <w:rPr>
          <w:szCs w:val="22"/>
          <w:lang w:eastAsia="zh-CN"/>
        </w:rPr>
        <w:t xml:space="preserve"> of the cell on an E-UTRAN frequency.</w:t>
      </w:r>
    </w:p>
    <w:p>
      <w:pPr>
        <w:pStyle w:val="3"/>
        <w:rPr>
          <w:lang w:eastAsia="ko-KR"/>
        </w:rPr>
      </w:pPr>
      <w:bookmarkStart w:id="15" w:name="_Toc29237950"/>
      <w:bookmarkStart w:id="16" w:name="_Toc37235854"/>
      <w:r>
        <w:rPr>
          <w:lang w:eastAsia="ko-KR"/>
        </w:rPr>
        <w:t>11.2</w:t>
      </w:r>
      <w:r>
        <w:rPr>
          <w:lang w:eastAsia="ko-KR"/>
        </w:rPr>
        <w:tab/>
      </w:r>
      <w:r>
        <w:rPr>
          <w:rFonts w:eastAsia="Malgun Gothic"/>
          <w:lang w:eastAsia="ko-KR"/>
        </w:rPr>
        <w:t>Sidelink discovery</w:t>
      </w:r>
      <w:bookmarkEnd w:id="15"/>
      <w:bookmarkEnd w:id="16"/>
    </w:p>
    <w:p>
      <w:pPr>
        <w:rPr>
          <w:i/>
          <w:kern w:val="2"/>
          <w:lang w:eastAsia="ko-KR"/>
        </w:rPr>
      </w:pPr>
      <w:r>
        <w:rPr>
          <w:lang w:eastAsia="ko-KR"/>
        </w:rPr>
        <w:t xml:space="preserve">The UE may transmit </w:t>
      </w:r>
      <w:r>
        <w:rPr>
          <w:rFonts w:eastAsia="Malgun Gothic"/>
          <w:lang w:eastAsia="ko-KR"/>
        </w:rPr>
        <w:t>sidelink</w:t>
      </w:r>
      <w:r>
        <w:rPr>
          <w:lang w:eastAsia="ko-KR"/>
        </w:rPr>
        <w:t xml:space="preserve"> discovery if it fulfils the condition(s) defined in TS 36.331 </w:t>
      </w:r>
      <w:r>
        <w:t>[</w:t>
      </w:r>
      <w:r>
        <w:rPr>
          <w:lang w:eastAsia="ko-KR"/>
        </w:rPr>
        <w:t>3]</w:t>
      </w:r>
      <w:r>
        <w:t xml:space="preserve">, clauses </w:t>
      </w:r>
      <w:r>
        <w:rPr>
          <w:lang w:eastAsia="ko-KR"/>
        </w:rPr>
        <w:t>5.10.1</w:t>
      </w:r>
      <w:r>
        <w:rPr>
          <w:rFonts w:eastAsia="宋体"/>
          <w:lang w:eastAsia="zh-CN"/>
        </w:rPr>
        <w:t>b and 5.10.1c</w:t>
      </w:r>
      <w:r>
        <w:rPr>
          <w:lang w:eastAsia="ko-KR"/>
        </w:rPr>
        <w:t xml:space="preserve">. When UE is in-coverage for </w:t>
      </w:r>
      <w:r>
        <w:rPr>
          <w:rFonts w:eastAsia="Malgun Gothic"/>
          <w:lang w:eastAsia="ko-KR"/>
        </w:rPr>
        <w:t xml:space="preserve">sidelink </w:t>
      </w:r>
      <w:r>
        <w:rPr>
          <w:lang w:eastAsia="ko-KR"/>
        </w:rPr>
        <w:t xml:space="preserve">as defined in clause 11.4, the UE may perform the </w:t>
      </w:r>
      <w:r>
        <w:rPr>
          <w:rFonts w:eastAsia="Malgun Gothic"/>
          <w:lang w:eastAsia="ko-KR"/>
        </w:rPr>
        <w:t>sidelink</w:t>
      </w:r>
      <w:r>
        <w:rPr>
          <w:lang w:eastAsia="ko-KR"/>
        </w:rPr>
        <w:t xml:space="preserve"> discovery according to </w:t>
      </w:r>
      <w:r>
        <w:rPr>
          <w:i/>
          <w:lang w:eastAsia="ko-KR"/>
        </w:rPr>
        <w:t>SystemInformationBlockType19</w:t>
      </w:r>
      <w:r>
        <w:rPr>
          <w:lang w:eastAsia="ko-KR"/>
        </w:rPr>
        <w:t>,</w:t>
      </w:r>
      <w:r>
        <w:rPr>
          <w:kern w:val="2"/>
          <w:lang w:eastAsia="ko-KR"/>
        </w:rPr>
        <w:t xml:space="preserve"> and when out-of-coverage for sidelink as defined in clause 11.4, the UE may perform the sidelink discovery according to </w:t>
      </w:r>
      <w:r>
        <w:rPr>
          <w:i/>
          <w:kern w:val="2"/>
          <w:lang w:eastAsia="ko-KR"/>
        </w:rPr>
        <w:t>SL-Preconfiguration</w:t>
      </w:r>
      <w:r>
        <w:rPr>
          <w:kern w:val="2"/>
          <w:lang w:eastAsia="ko-KR"/>
        </w:rPr>
        <w:t>, as specified in TS 36.331 [3].</w:t>
      </w:r>
    </w:p>
    <w:p>
      <w:pPr>
        <w:pStyle w:val="57"/>
      </w:pPr>
      <w:r>
        <w:t>NOTE:</w:t>
      </w:r>
      <w:r>
        <w:tab/>
      </w:r>
      <w:r>
        <w:rPr>
          <w:lang w:eastAsia="zh-CN"/>
        </w:rPr>
        <w:t>Sidelink discovery reception in idle mode is up to UE implementation</w:t>
      </w:r>
      <w:r>
        <w:t>.</w:t>
      </w:r>
    </w:p>
    <w:p>
      <w:pPr>
        <w:pStyle w:val="3"/>
      </w:pPr>
      <w:bookmarkStart w:id="17" w:name="_Toc37235855"/>
      <w:bookmarkStart w:id="18" w:name="_Toc29237951"/>
      <w:r>
        <w:t>11.3</w:t>
      </w:r>
      <w:r>
        <w:tab/>
      </w:r>
      <w:r>
        <w:rPr>
          <w:rFonts w:eastAsia="Malgun Gothic"/>
          <w:lang w:eastAsia="ko-KR"/>
        </w:rPr>
        <w:t>Sidelink</w:t>
      </w:r>
      <w:r>
        <w:t xml:space="preserve"> synchronisation</w:t>
      </w:r>
      <w:bookmarkEnd w:id="17"/>
      <w:bookmarkEnd w:id="18"/>
    </w:p>
    <w:p>
      <w:pPr>
        <w:rPr>
          <w:lang w:eastAsia="ko-KR"/>
        </w:rPr>
      </w:pPr>
      <w:r>
        <w:t xml:space="preserve">The UE may perform </w:t>
      </w:r>
      <w:r>
        <w:rPr>
          <w:rFonts w:eastAsia="Malgun Gothic"/>
          <w:lang w:eastAsia="ko-KR"/>
        </w:rPr>
        <w:t>sidelink</w:t>
      </w:r>
      <w:r>
        <w:t xml:space="preserve"> synchronisation according to </w:t>
      </w:r>
      <w:r>
        <w:rPr>
          <w:i/>
        </w:rPr>
        <w:t>SystemInformationBlockType18</w:t>
      </w:r>
      <w:r>
        <w:t xml:space="preserve"> for sidelink communication</w:t>
      </w:r>
      <w:r>
        <w:rPr>
          <w:lang w:eastAsia="zh-CN"/>
        </w:rPr>
        <w:t xml:space="preserve">, </w:t>
      </w:r>
      <w:r>
        <w:rPr>
          <w:i/>
        </w:rPr>
        <w:t>SystemInformationBlockType19</w:t>
      </w:r>
      <w:r>
        <w:t xml:space="preserve"> for </w:t>
      </w:r>
      <w:r>
        <w:rPr>
          <w:rFonts w:eastAsia="Malgun Gothic"/>
          <w:lang w:eastAsia="ko-KR"/>
        </w:rPr>
        <w:t>sidelink</w:t>
      </w:r>
      <w:r>
        <w:t xml:space="preserve"> discovery</w:t>
      </w:r>
      <w:r>
        <w:rPr>
          <w:lang w:eastAsia="zh-CN"/>
        </w:rPr>
        <w:t xml:space="preserve"> or </w:t>
      </w:r>
      <w:r>
        <w:rPr>
          <w:i/>
          <w:lang w:eastAsia="ko-KR"/>
        </w:rPr>
        <w:t>SystemInformationBlockType</w:t>
      </w:r>
      <w:r>
        <w:rPr>
          <w:i/>
          <w:lang w:eastAsia="zh-CN"/>
        </w:rPr>
        <w:t>2</w:t>
      </w:r>
      <w:r>
        <w:rPr>
          <w:i/>
          <w:lang w:eastAsia="ko-KR"/>
        </w:rPr>
        <w:t>1</w:t>
      </w:r>
      <w:r>
        <w:rPr>
          <w:i/>
          <w:lang w:eastAsia="zh-CN"/>
        </w:rPr>
        <w:t xml:space="preserve"> </w:t>
      </w:r>
      <w:r>
        <w:rPr>
          <w:lang w:eastAsia="zh-CN"/>
        </w:rPr>
        <w:t xml:space="preserve">for V2X </w:t>
      </w:r>
      <w:r>
        <w:t>sidelink communication, as specified in TS 36.331 [3]</w:t>
      </w:r>
      <w:r>
        <w:rPr>
          <w:lang w:eastAsia="ko-KR"/>
        </w:rPr>
        <w:t>.</w:t>
      </w:r>
    </w:p>
    <w:p>
      <w:pPr>
        <w:pStyle w:val="3"/>
        <w:rPr>
          <w:lang w:eastAsia="ko-KR"/>
        </w:rPr>
      </w:pPr>
      <w:bookmarkStart w:id="19" w:name="_Toc29237952"/>
      <w:bookmarkStart w:id="20" w:name="_Toc37235856"/>
      <w:r>
        <w:rPr>
          <w:lang w:eastAsia="ko-KR"/>
        </w:rPr>
        <w:t>11.4</w:t>
      </w:r>
      <w:r>
        <w:rPr>
          <w:lang w:eastAsia="ko-KR"/>
        </w:rPr>
        <w:tab/>
      </w:r>
      <w:r>
        <w:rPr>
          <w:lang w:eastAsia="ko-KR"/>
        </w:rPr>
        <w:t xml:space="preserve">Cell selection and reselection for </w:t>
      </w:r>
      <w:r>
        <w:rPr>
          <w:rFonts w:eastAsia="Malgun Gothic"/>
          <w:lang w:eastAsia="ko-KR"/>
        </w:rPr>
        <w:t>sidelink</w:t>
      </w:r>
      <w:bookmarkEnd w:id="19"/>
      <w:bookmarkEnd w:id="20"/>
    </w:p>
    <w:p>
      <w:pPr>
        <w:rPr>
          <w:lang w:eastAsia="ko-KR"/>
        </w:rPr>
      </w:pPr>
      <w:r>
        <w:t>The requirements defined in this clause</w:t>
      </w:r>
      <w:r>
        <w:rPr>
          <w:lang w:eastAsia="ko-KR"/>
        </w:rPr>
        <w:t xml:space="preserve"> for </w:t>
      </w:r>
      <w:r>
        <w:rPr>
          <w:rFonts w:eastAsia="Malgun Gothic"/>
          <w:lang w:eastAsia="ko-KR"/>
        </w:rPr>
        <w:t>sidelink</w:t>
      </w:r>
      <w:r>
        <w:rPr>
          <w:lang w:eastAsia="ko-KR"/>
        </w:rPr>
        <w:t xml:space="preserve"> operation</w:t>
      </w:r>
      <w:r>
        <w:t xml:space="preserve"> apply for UEs in RRC_IDLE and in RRC_CONNECTED.</w:t>
      </w:r>
    </w:p>
    <w:p>
      <w:pPr>
        <w:rPr>
          <w:rFonts w:hint="default"/>
          <w:lang w:val="en-US" w:eastAsia="ko-KR"/>
        </w:rPr>
      </w:pPr>
      <w:r>
        <w:rPr>
          <w:lang w:eastAsia="ko-KR"/>
        </w:rPr>
        <w:t>When UE is interested to perform sidelink communication or sidelink discovery announcement on non-serving frequency, it shall perform measurements on that frequency for cell selection and intra-frequency reselection purpose in accordance with TS 36.133 [10].</w:t>
      </w:r>
      <w:r>
        <w:rPr>
          <w:lang w:eastAsia="zh-CN"/>
        </w:rPr>
        <w:t xml:space="preserve"> When UE is interested to perform V2X sidelink communication on non-serving frequency, it may perform measurements on that frequency or the frequencies which can provide inter-carrier V2X sidelink configuration for that frequency for cell selection and intra-frequency reselection purpose in accordance with TS 36.133 [10].</w:t>
      </w:r>
      <w:ins w:id="29" w:author="ZTE - Boyuan" w:date="2020-06-10T09:10:31Z">
        <w:r>
          <w:rPr>
            <w:rFonts w:hint="eastAsia"/>
            <w:lang w:val="en-US" w:eastAsia="zh-CN"/>
          </w:rPr>
          <w:t xml:space="preserve"> When UE is interested to perform NR sidelink communication on non-serving frequency, it may perform measurements on that frequency or the frequencies which can provide inter-carrier NR sidelink configuration for that frequency for cell selection and intra-frequency reselection purpose in accordance with TS 36.133[10].</w:t>
        </w:r>
      </w:ins>
    </w:p>
    <w:p>
      <w:pPr>
        <w:rPr>
          <w:lang w:eastAsia="ko-KR"/>
        </w:rPr>
      </w:pPr>
      <w:r>
        <w:t xml:space="preserve">If the UE </w:t>
      </w:r>
      <w:r>
        <w:rPr>
          <w:lang w:eastAsia="ko-KR"/>
        </w:rPr>
        <w:t xml:space="preserve">detects </w:t>
      </w:r>
      <w:r>
        <w:t>a</w:t>
      </w:r>
      <w:r>
        <w:rPr>
          <w:lang w:eastAsia="ko-KR"/>
        </w:rPr>
        <w:t>t least one</w:t>
      </w:r>
      <w:r>
        <w:t xml:space="preserve"> cell on the </w:t>
      </w:r>
      <w:r>
        <w:rPr>
          <w:lang w:eastAsia="ko-KR"/>
        </w:rPr>
        <w:t>frequency which UE is configured to perform sidelink operation on fulfilling</w:t>
      </w:r>
      <w:r>
        <w:t xml:space="preserve"> the S</w:t>
      </w:r>
      <w:r>
        <w:rPr>
          <w:lang w:eastAsia="ko-KR"/>
        </w:rPr>
        <w:t xml:space="preserve"> </w:t>
      </w:r>
      <w:r>
        <w:t>criteri</w:t>
      </w:r>
      <w:r>
        <w:rPr>
          <w:lang w:eastAsia="ko-KR"/>
        </w:rPr>
        <w:t>on</w:t>
      </w:r>
      <w:r>
        <w:t xml:space="preserve"> in accordance with clause 11.4.1, it shall consider itself to be </w:t>
      </w:r>
      <w:r>
        <w:rPr>
          <w:lang w:eastAsia="ko-KR"/>
        </w:rPr>
        <w:t xml:space="preserve">in-coverage for </w:t>
      </w:r>
      <w:r>
        <w:rPr>
          <w:rFonts w:eastAsia="Malgun Gothic"/>
          <w:lang w:eastAsia="ko-KR"/>
        </w:rPr>
        <w:t>sidelink</w:t>
      </w:r>
      <w:r>
        <w:rPr>
          <w:lang w:eastAsia="ko-KR"/>
        </w:rPr>
        <w:t xml:space="preserve"> </w:t>
      </w:r>
      <w:r>
        <w:rPr>
          <w:rFonts w:eastAsia="Malgun Gothic"/>
          <w:lang w:eastAsia="ko-KR"/>
        </w:rPr>
        <w:t xml:space="preserve">operation </w:t>
      </w:r>
      <w:r>
        <w:rPr>
          <w:lang w:eastAsia="ko-KR"/>
        </w:rPr>
        <w:t>on that frequency</w:t>
      </w:r>
      <w:r>
        <w:t xml:space="preserve">. If the UE </w:t>
      </w:r>
      <w:r>
        <w:rPr>
          <w:lang w:eastAsia="ko-KR"/>
        </w:rPr>
        <w:t xml:space="preserve">cannot detect any </w:t>
      </w:r>
      <w:r>
        <w:t xml:space="preserve">cell on </w:t>
      </w:r>
      <w:r>
        <w:rPr>
          <w:lang w:eastAsia="ko-KR"/>
        </w:rPr>
        <w:t xml:space="preserve">that frequency </w:t>
      </w:r>
      <w:r>
        <w:t xml:space="preserve">meeting </w:t>
      </w:r>
      <w:r>
        <w:rPr>
          <w:lang w:eastAsia="ko-KR"/>
        </w:rPr>
        <w:t xml:space="preserve">the </w:t>
      </w:r>
      <w:r>
        <w:t>S</w:t>
      </w:r>
      <w:r>
        <w:rPr>
          <w:lang w:eastAsia="ko-KR"/>
        </w:rPr>
        <w:t xml:space="preserve"> </w:t>
      </w:r>
      <w:r>
        <w:t>criteri</w:t>
      </w:r>
      <w:r>
        <w:rPr>
          <w:lang w:eastAsia="ko-KR"/>
        </w:rPr>
        <w:t>on</w:t>
      </w:r>
      <w:r>
        <w:t xml:space="preserve">, it shall consider itself to be </w:t>
      </w:r>
      <w:r>
        <w:rPr>
          <w:lang w:eastAsia="ko-KR"/>
        </w:rPr>
        <w:t xml:space="preserve">out-of-coverage for </w:t>
      </w:r>
      <w:r>
        <w:rPr>
          <w:rFonts w:eastAsia="Malgun Gothic"/>
          <w:lang w:eastAsia="ko-KR"/>
        </w:rPr>
        <w:t>sidelink</w:t>
      </w:r>
      <w:r>
        <w:rPr>
          <w:lang w:eastAsia="ko-KR"/>
        </w:rPr>
        <w:t xml:space="preserve"> </w:t>
      </w:r>
      <w:r>
        <w:rPr>
          <w:rFonts w:eastAsia="Malgun Gothic"/>
          <w:lang w:eastAsia="ko-KR"/>
        </w:rPr>
        <w:t>operation</w:t>
      </w:r>
      <w:r>
        <w:rPr>
          <w:lang w:eastAsia="ko-KR"/>
        </w:rPr>
        <w:t xml:space="preserve"> on that frequency.</w:t>
      </w:r>
    </w:p>
    <w:p>
      <w:pPr>
        <w:rPr>
          <w:rFonts w:eastAsia="宋体"/>
          <w:lang w:eastAsia="zh-CN"/>
        </w:rPr>
      </w:pPr>
      <w:r>
        <w:rPr>
          <w:rFonts w:eastAsia="宋体"/>
          <w:lang w:eastAsia="zh-CN"/>
        </w:rPr>
        <w:t>If the UE detects at least one cell on the frequency which UE is configured to perform NR sidelink communication on fulfilling the S criterion in accordance with clause 11.4.1, it shall consider itself to be in-coverage for NR sidelink communication on that frequency. If the UE cannot detect any cell on that frequency meeting the S criterion, it shall consider itself to be out-of-coverage for NR sidelink communication on that frequency.</w:t>
      </w:r>
    </w:p>
    <w:p>
      <w:pPr>
        <w:rPr>
          <w:lang w:eastAsia="ko-KR"/>
        </w:rPr>
      </w:pPr>
      <w:r>
        <w:rPr>
          <w:lang w:eastAsia="ko-KR"/>
        </w:rPr>
        <w:t>If the UE has selected a cell on a non-serving frequency for sidelink communication or V2X sidelink communication</w:t>
      </w:r>
      <w:r>
        <w:rPr>
          <w:lang w:eastAsia="zh-CN"/>
        </w:rPr>
        <w:t xml:space="preserve"> </w:t>
      </w:r>
      <w:r>
        <w:rPr>
          <w:lang w:eastAsia="ko-KR"/>
        </w:rPr>
        <w:t xml:space="preserve">or </w:t>
      </w:r>
      <w:r>
        <w:rPr>
          <w:rFonts w:eastAsia="宋体"/>
          <w:lang w:eastAsia="zh-CN"/>
        </w:rPr>
        <w:t>NR sidelink communication or</w:t>
      </w:r>
      <w:r>
        <w:rPr>
          <w:lang w:eastAsia="ko-KR"/>
        </w:rPr>
        <w:t xml:space="preserve"> sidelink discovery announcement, it </w:t>
      </w:r>
      <w:r>
        <w:t xml:space="preserve">shall </w:t>
      </w:r>
      <w:r>
        <w:rPr>
          <w:lang w:eastAsia="ko-KR"/>
        </w:rPr>
        <w:t>perform additional intra-frequency reselection process</w:t>
      </w:r>
      <w:r>
        <w:t xml:space="preserve"> to select </w:t>
      </w:r>
      <w:r>
        <w:rPr>
          <w:lang w:eastAsia="ko-KR"/>
        </w:rPr>
        <w:t xml:space="preserve">a better cell for </w:t>
      </w:r>
      <w:r>
        <w:rPr>
          <w:rFonts w:eastAsia="Malgun Gothic"/>
          <w:lang w:eastAsia="ko-KR"/>
        </w:rPr>
        <w:t>sidelink</w:t>
      </w:r>
      <w:r>
        <w:rPr>
          <w:lang w:eastAsia="ko-KR"/>
        </w:rPr>
        <w:t xml:space="preserve"> operation on that frequency in accordance with clause 11.4.1.</w:t>
      </w:r>
    </w:p>
    <w:p>
      <w:pPr>
        <w:pStyle w:val="57"/>
        <w:rPr>
          <w:lang w:eastAsia="ko-KR"/>
        </w:rPr>
      </w:pPr>
      <w:r>
        <w:t xml:space="preserve">NOTE </w:t>
      </w:r>
      <w:r>
        <w:rPr>
          <w:lang w:eastAsia="ko-KR"/>
        </w:rPr>
        <w:t>1</w:t>
      </w:r>
      <w:r>
        <w:t>:</w:t>
      </w:r>
      <w:r>
        <w:tab/>
      </w:r>
      <w:r>
        <w:t>The UE may consider the carrier pre-configured for sidelink communication</w:t>
      </w:r>
      <w:r>
        <w:rPr>
          <w:lang w:eastAsia="zh-CN"/>
        </w:rPr>
        <w:t xml:space="preserve"> or V2X sidelink communication, or the frequencies pre-configured for providing inter-carrier V2X sidelink configuration</w:t>
      </w:r>
      <w:r>
        <w:t xml:space="preserve"> to have the highest cell reselection priority</w:t>
      </w:r>
      <w:r>
        <w:rPr>
          <w:lang w:eastAsia="ko-KR"/>
        </w:rPr>
        <w:t xml:space="preserve"> in accordance with clause 5.2.4.1.</w:t>
      </w:r>
    </w:p>
    <w:p>
      <w:pPr>
        <w:pStyle w:val="57"/>
        <w:rPr>
          <w:lang w:eastAsia="ko-KR"/>
        </w:rPr>
      </w:pPr>
      <w:r>
        <w:t xml:space="preserve">NOTE </w:t>
      </w:r>
      <w:r>
        <w:rPr>
          <w:lang w:eastAsia="ko-KR"/>
        </w:rPr>
        <w:t>2</w:t>
      </w:r>
      <w:r>
        <w:t>:</w:t>
      </w:r>
      <w:r>
        <w:tab/>
      </w:r>
      <w:r>
        <w:t xml:space="preserve">If the frequency the UE is configured to perform sidelink communication on is a serving frequency, the UE uses the serving cell </w:t>
      </w:r>
      <w:r>
        <w:rPr>
          <w:lang w:eastAsia="ko-KR"/>
        </w:rPr>
        <w:t xml:space="preserve">on that frequency </w:t>
      </w:r>
      <w:r>
        <w:t xml:space="preserve">for </w:t>
      </w:r>
      <w:r>
        <w:rPr>
          <w:lang w:eastAsia="ko-KR"/>
        </w:rPr>
        <w:t xml:space="preserve">the </w:t>
      </w:r>
      <w:r>
        <w:rPr>
          <w:rFonts w:eastAsia="Malgun Gothic"/>
          <w:lang w:eastAsia="ko-KR"/>
        </w:rPr>
        <w:t>sidelink</w:t>
      </w:r>
      <w:r>
        <w:t xml:space="preserve"> operation.</w:t>
      </w:r>
    </w:p>
    <w:p>
      <w:pPr>
        <w:pStyle w:val="4"/>
      </w:pPr>
      <w:bookmarkStart w:id="21" w:name="_Toc37235857"/>
      <w:bookmarkStart w:id="22" w:name="_Toc29237953"/>
      <w:r>
        <w:t>11.4</w:t>
      </w:r>
      <w:r>
        <w:rPr>
          <w:lang w:eastAsia="ko-KR"/>
        </w:rPr>
        <w:t>.1</w:t>
      </w:r>
      <w:r>
        <w:tab/>
      </w:r>
      <w:r>
        <w:t>Parameters used for cell selection and reselection triggered for sidelink</w:t>
      </w:r>
      <w:bookmarkEnd w:id="21"/>
      <w:bookmarkEnd w:id="22"/>
    </w:p>
    <w:p>
      <w:pPr>
        <w:rPr>
          <w:lang w:eastAsia="ko-KR"/>
        </w:rPr>
      </w:pPr>
      <w:r>
        <w:t>When evaluating</w:t>
      </w:r>
      <w:r>
        <w:rPr>
          <w:lang w:eastAsia="ko-KR"/>
        </w:rPr>
        <w:t xml:space="preserve"> S criterion or R criterion (ranking), </w:t>
      </w:r>
      <w:r>
        <w:t>as defined in clause 5.2.3.2</w:t>
      </w:r>
      <w:r>
        <w:rPr>
          <w:lang w:eastAsia="ko-KR"/>
        </w:rPr>
        <w:t xml:space="preserve"> and clause 5.2.4.6 respectively, for cell selection/reselection triggered for sidelink communication or V2X sidelink communication</w:t>
      </w:r>
      <w:r>
        <w:rPr>
          <w:lang w:eastAsia="zh-CN"/>
        </w:rPr>
        <w:t xml:space="preserve"> </w:t>
      </w:r>
      <w:r>
        <w:rPr>
          <w:lang w:eastAsia="ko-KR"/>
        </w:rPr>
        <w:t xml:space="preserve">or sidelink discovery announcement </w:t>
      </w:r>
      <w:r>
        <w:rPr>
          <w:rFonts w:eastAsia="宋体"/>
          <w:lang w:eastAsia="zh-CN"/>
        </w:rPr>
        <w:t>or NR sidelink communication</w:t>
      </w:r>
      <w:r>
        <w:rPr>
          <w:lang w:eastAsia="zh-CN"/>
        </w:rPr>
        <w:t xml:space="preserve"> </w:t>
      </w:r>
      <w:r>
        <w:rPr>
          <w:lang w:eastAsia="ko-KR"/>
        </w:rPr>
        <w:t xml:space="preserve">on a non-serving frequency, </w:t>
      </w:r>
      <w:r>
        <w:t xml:space="preserve">UE shall </w:t>
      </w:r>
      <w:r>
        <w:rPr>
          <w:lang w:eastAsia="ko-KR"/>
        </w:rPr>
        <w:t>perform the evaluation as follows:</w:t>
      </w:r>
    </w:p>
    <w:p>
      <w:pPr>
        <w:pStyle w:val="68"/>
        <w:rPr>
          <w:lang w:eastAsia="ko-KR"/>
        </w:rPr>
      </w:pPr>
      <w:r>
        <w:t>-</w:t>
      </w:r>
      <w:r>
        <w:tab/>
      </w:r>
      <w:r>
        <w:rPr>
          <w:lang w:eastAsia="ko-KR"/>
        </w:rPr>
        <w:t xml:space="preserve">if the UE intends to perform sidelink discovery announcement and it is configured with </w:t>
      </w:r>
      <w:r>
        <w:rPr>
          <w:i/>
          <w:lang w:eastAsia="ko-KR"/>
        </w:rPr>
        <w:t>discC</w:t>
      </w:r>
      <w:r>
        <w:rPr>
          <w:i/>
        </w:rPr>
        <w:t>ellSelectionInfo</w:t>
      </w:r>
      <w:r>
        <w:rPr>
          <w:lang w:eastAsia="ko-KR"/>
        </w:rPr>
        <w:t xml:space="preserve"> applicable for that frequency as specified in TS 36.331 [3], the UE shall use cell selection/reselection parameters included in the </w:t>
      </w:r>
      <w:r>
        <w:rPr>
          <w:i/>
          <w:lang w:eastAsia="ko-KR"/>
        </w:rPr>
        <w:t>discCellSelectionInfo</w:t>
      </w:r>
      <w:r>
        <w:rPr>
          <w:lang w:eastAsia="ko-KR"/>
        </w:rPr>
        <w:t xml:space="preserve"> for the evaluation, and f</w:t>
      </w:r>
      <w:r>
        <w:t xml:space="preserve">or a parameter used in the </w:t>
      </w:r>
      <w:r>
        <w:rPr>
          <w:lang w:eastAsia="ko-KR"/>
        </w:rPr>
        <w:t xml:space="preserve">evaluation </w:t>
      </w:r>
      <w:r>
        <w:t xml:space="preserve">but not included in the </w:t>
      </w:r>
      <w:r>
        <w:rPr>
          <w:i/>
          <w:lang w:eastAsia="ko-KR"/>
        </w:rPr>
        <w:t>discC</w:t>
      </w:r>
      <w:r>
        <w:rPr>
          <w:i/>
        </w:rPr>
        <w:t xml:space="preserve">ellSelectionInfo </w:t>
      </w:r>
      <w:r>
        <w:rPr>
          <w:lang w:eastAsia="ko-KR"/>
        </w:rPr>
        <w:t>applicable for that</w:t>
      </w:r>
      <w:r>
        <w:rPr>
          <w:i/>
          <w:lang w:eastAsia="ko-KR"/>
        </w:rPr>
        <w:t xml:space="preserve"> </w:t>
      </w:r>
      <w:r>
        <w:rPr>
          <w:lang w:eastAsia="ko-KR"/>
        </w:rPr>
        <w:t>frequency</w:t>
      </w:r>
      <w:r>
        <w:t>,</w:t>
      </w:r>
      <w:r>
        <w:rPr>
          <w:lang w:eastAsia="ko-KR"/>
        </w:rPr>
        <w:t xml:space="preserve"> </w:t>
      </w:r>
      <w:r>
        <w:t xml:space="preserve">UE </w:t>
      </w:r>
      <w:r>
        <w:rPr>
          <w:lang w:eastAsia="ko-KR"/>
        </w:rPr>
        <w:t xml:space="preserve">shall </w:t>
      </w:r>
      <w:r>
        <w:t>appl</w:t>
      </w:r>
      <w:r>
        <w:rPr>
          <w:lang w:eastAsia="ko-KR"/>
        </w:rPr>
        <w:t>y</w:t>
      </w:r>
      <w:r>
        <w:t xml:space="preserve"> zero value</w:t>
      </w:r>
      <w:r>
        <w:rPr>
          <w:lang w:eastAsia="ko-KR"/>
        </w:rPr>
        <w:t>.</w:t>
      </w:r>
    </w:p>
    <w:p>
      <w:pPr>
        <w:pStyle w:val="68"/>
        <w:rPr>
          <w:lang w:eastAsia="ko-KR"/>
        </w:rPr>
      </w:pPr>
      <w:r>
        <w:t>-</w:t>
      </w:r>
      <w:r>
        <w:tab/>
      </w:r>
      <w:r>
        <w:rPr>
          <w:lang w:eastAsia="ko-KR"/>
        </w:rPr>
        <w:t>else, the UE shall use cell selection/reselection parameters broadcast by the concerned cell (i.e. selected cell for the sidelink operation) for the evaluation.</w:t>
      </w:r>
    </w:p>
    <w:tbl>
      <w:tblPr>
        <w:tblStyle w:val="46"/>
        <w:tblW w:w="98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blLayout w:type="fixed"/>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blLayout w:type="fixed"/>
          <w:tblCellMar>
            <w:top w:w="0" w:type="dxa"/>
            <w:left w:w="108" w:type="dxa"/>
            <w:bottom w:w="0" w:type="dxa"/>
            <w:right w:w="108" w:type="dxa"/>
          </w:tblCellMar>
        </w:tblPrEx>
        <w:trPr>
          <w:jc w:val="center"/>
        </w:trPr>
        <w:tc>
          <w:tcPr>
            <w:tcW w:w="9855" w:type="dxa"/>
            <w:shd w:val="clear" w:color="auto" w:fill="FDE9D9"/>
            <w:vAlign w:val="center"/>
          </w:tcPr>
          <w:p>
            <w:pPr>
              <w:overflowPunct w:val="0"/>
              <w:autoSpaceDE w:val="0"/>
              <w:autoSpaceDN w:val="0"/>
              <w:adjustRightInd w:val="0"/>
              <w:snapToGrid w:val="0"/>
              <w:spacing w:after="0"/>
              <w:jc w:val="center"/>
              <w:textAlignment w:val="baseline"/>
              <w:rPr>
                <w:rFonts w:hint="default"/>
                <w:color w:val="FF0000"/>
                <w:sz w:val="28"/>
                <w:szCs w:val="28"/>
                <w:lang w:val="en-US" w:eastAsia="zh-CN"/>
              </w:rPr>
            </w:pPr>
            <w:r>
              <w:rPr>
                <w:rFonts w:hint="eastAsia"/>
                <w:color w:val="FF0000"/>
                <w:sz w:val="28"/>
                <w:szCs w:val="28"/>
                <w:lang w:eastAsia="zh-CN"/>
              </w:rPr>
              <w:t xml:space="preserve">CHANGE </w:t>
            </w:r>
            <w:r>
              <w:rPr>
                <w:rFonts w:hint="eastAsia"/>
                <w:color w:val="FF0000"/>
                <w:sz w:val="28"/>
                <w:szCs w:val="28"/>
                <w:lang w:val="en-US" w:eastAsia="zh-CN"/>
              </w:rPr>
              <w:t>END</w:t>
            </w:r>
          </w:p>
        </w:tc>
      </w:tr>
    </w:tbl>
    <w:p/>
    <w:sectPr>
      <w:headerReference r:id="rId3" w:type="default"/>
      <w:footerReference r:id="rId4" w:type="default"/>
      <w:footnotePr>
        <w:numRestart w:val="eachSect"/>
      </w:footnotePr>
      <w:pgSz w:w="11907" w:h="16840"/>
      <w:pgMar w:top="1416" w:right="1133" w:bottom="1133" w:left="1133" w:header="850" w:footer="34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swiss"/>
    <w:pitch w:val="default"/>
    <w:sig w:usb0="E00002FF" w:usb1="4000ACFF" w:usb2="00000001" w:usb3="00000000" w:csb0="2000019F" w:csb1="00000000"/>
  </w:font>
  <w:font w:name="游明朝">
    <w:altName w:val="Segoe Print"/>
    <w:panose1 w:val="00000000000000000000"/>
    <w:charset w:val="00"/>
    <w:family w:val="auto"/>
    <w:pitch w:val="default"/>
    <w:sig w:usb0="00000000" w:usb1="00000000" w:usb2="00000000" w:usb3="00000000" w:csb0="00000000" w:csb1="00000000"/>
  </w:font>
  <w:font w:name="Malgun Gothic">
    <w:panose1 w:val="020B0503020000020004"/>
    <w:charset w:val="81"/>
    <w:family w:val="swiss"/>
    <w:pitch w:val="default"/>
    <w:sig w:usb0="900002AF" w:usb1="01D77CFB" w:usb2="00000012" w:usb3="00000000" w:csb0="00080001" w:csb1="00000000"/>
  </w:font>
  <w:font w:name="DengXian">
    <w:altName w:val="宋体"/>
    <w:panose1 w:val="02010600030101010101"/>
    <w:charset w:val="86"/>
    <w:family w:val="auto"/>
    <w:pitch w:val="default"/>
    <w:sig w:usb0="00000000" w:usb1="00000000" w:usb2="00000016" w:usb3="00000000" w:csb0="0004000F" w:csb1="00000000"/>
  </w:font>
  <w:font w:name="Century">
    <w:altName w:val="Nyala"/>
    <w:panose1 w:val="02040604050505020304"/>
    <w:charset w:val="00"/>
    <w:family w:val="roman"/>
    <w:pitch w:val="default"/>
    <w:sig w:usb0="00000000" w:usb1="00000000" w:usb2="00000000" w:usb3="00000000" w:csb0="0000009F" w:csb1="00000000"/>
  </w:font>
  <w:font w:name="Times New Roman Italic">
    <w:altName w:val="Times New Roman"/>
    <w:panose1 w:val="02020503050405090304"/>
    <w:charset w:val="00"/>
    <w:family w:val="roman"/>
    <w:pitch w:val="default"/>
    <w:sig w:usb0="00000000" w:usb1="00000000" w:usb2="00000000" w:usb3="00000000" w:csb0="00000000" w:csb1="00000000"/>
  </w:font>
  <w:font w:name="Dotum">
    <w:panose1 w:val="020B0600000101010101"/>
    <w:charset w:val="81"/>
    <w:family w:val="swiss"/>
    <w:pitch w:val="default"/>
    <w:sig w:usb0="B00002AF" w:usb1="69D77CFB" w:usb2="00000030" w:usb3="00000000" w:csb0="4008009F" w:csb1="DFD70000"/>
  </w:font>
  <w:font w:name="Times">
    <w:altName w:val="Times New Roman"/>
    <w:panose1 w:val="02020603050405020304"/>
    <w:charset w:val="00"/>
    <w:family w:val="roman"/>
    <w:pitch w:val="default"/>
    <w:sig w:usb0="00000000" w:usb1="00000000" w:usb2="00000009" w:usb3="00000000" w:csb0="000001FF" w:csb1="00000000"/>
  </w:font>
  <w:font w:name="Nyala">
    <w:panose1 w:val="02000504070300020003"/>
    <w:charset w:val="00"/>
    <w:family w:val="auto"/>
    <w:pitch w:val="default"/>
    <w:sig w:usb0="A000006F" w:usb1="00000000" w:usb2="00000800" w:usb3="00000000" w:csb0="00000093" w:csb1="00000000"/>
  </w:font>
  <w:font w:name="CG Times (WN)">
    <w:altName w:val="Arial"/>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t>3GPP</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center" w:y="1"/>
      <w:widowControl/>
    </w:pPr>
    <w:r>
      <w:fldChar w:fldCharType="begin"/>
    </w:r>
    <w:r>
      <w:instrText xml:space="preserve"> PAGE </w:instrText>
    </w:r>
    <w:r>
      <w:fldChar w:fldCharType="separate"/>
    </w:r>
    <w:r>
      <w:t>3</w:t>
    </w:r>
    <w:r>
      <w:fldChar w:fldCharType="end"/>
    </w:r>
  </w:p>
  <w:p>
    <w:pPr>
      <w:pStyle w:val="3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0390FF"/>
    <w:multiLevelType w:val="singleLevel"/>
    <w:tmpl w:val="E10390FF"/>
    <w:lvl w:ilvl="0" w:tentative="0">
      <w:start w:val="1"/>
      <w:numFmt w:val="decimal"/>
      <w:suff w:val="space"/>
      <w:lvlText w:val="%1."/>
      <w:lvlJc w:val="left"/>
    </w:lvl>
  </w:abstractNum>
  <w:abstractNum w:abstractNumId="1">
    <w:nsid w:val="EF8287ED"/>
    <w:multiLevelType w:val="singleLevel"/>
    <w:tmpl w:val="EF8287ED"/>
    <w:lvl w:ilvl="0" w:tentative="0">
      <w:start w:val="1"/>
      <w:numFmt w:val="decimal"/>
      <w:suff w:val="space"/>
      <w:lvlText w:val="%1."/>
      <w:lvlJc w:val="left"/>
    </w:lvl>
  </w:abstractNum>
  <w:abstractNum w:abstractNumId="2">
    <w:nsid w:val="2DD0CB63"/>
    <w:multiLevelType w:val="singleLevel"/>
    <w:tmpl w:val="2DD0CB63"/>
    <w:lvl w:ilvl="0" w:tentative="0">
      <w:start w:val="1"/>
      <w:numFmt w:val="decimal"/>
      <w:suff w:val="space"/>
      <w:lvlText w:val="%1."/>
      <w:lvlJc w:val="left"/>
    </w:lvl>
  </w:abstractNum>
  <w:abstractNum w:abstractNumId="3">
    <w:nsid w:val="3B6301CC"/>
    <w:multiLevelType w:val="singleLevel"/>
    <w:tmpl w:val="3B6301CC"/>
    <w:lvl w:ilvl="0" w:tentative="0">
      <w:start w:val="1"/>
      <w:numFmt w:val="bullet"/>
      <w:pStyle w:val="97"/>
      <w:lvlText w:val=""/>
      <w:lvlJc w:val="left"/>
      <w:pPr>
        <w:tabs>
          <w:tab w:val="left" w:pos="1494"/>
        </w:tabs>
        <w:ind w:left="227" w:firstLine="907"/>
      </w:pPr>
      <w:rPr>
        <w:rFonts w:hint="default" w:ascii="Symbol" w:hAnsi="Symbol"/>
      </w:r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 Boyuan">
    <w15:presenceInfo w15:providerId="None" w15:userId="ZTE - Bo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A8C"/>
    <w:rsid w:val="000051D6"/>
    <w:rsid w:val="00005804"/>
    <w:rsid w:val="00005B55"/>
    <w:rsid w:val="00006332"/>
    <w:rsid w:val="00007250"/>
    <w:rsid w:val="00017DF1"/>
    <w:rsid w:val="000207A3"/>
    <w:rsid w:val="00021DF4"/>
    <w:rsid w:val="000235B8"/>
    <w:rsid w:val="00023695"/>
    <w:rsid w:val="00023A66"/>
    <w:rsid w:val="00024762"/>
    <w:rsid w:val="000257A4"/>
    <w:rsid w:val="00026D3A"/>
    <w:rsid w:val="000279DE"/>
    <w:rsid w:val="00031A1E"/>
    <w:rsid w:val="00032166"/>
    <w:rsid w:val="00032D83"/>
    <w:rsid w:val="00033309"/>
    <w:rsid w:val="000336AD"/>
    <w:rsid w:val="00034660"/>
    <w:rsid w:val="0003491E"/>
    <w:rsid w:val="00037C0A"/>
    <w:rsid w:val="00043D55"/>
    <w:rsid w:val="0004447C"/>
    <w:rsid w:val="00044BD0"/>
    <w:rsid w:val="00044CE9"/>
    <w:rsid w:val="00045D96"/>
    <w:rsid w:val="00046662"/>
    <w:rsid w:val="00047B84"/>
    <w:rsid w:val="00050FB5"/>
    <w:rsid w:val="000517D9"/>
    <w:rsid w:val="00051B79"/>
    <w:rsid w:val="00051E85"/>
    <w:rsid w:val="0005301C"/>
    <w:rsid w:val="000552EC"/>
    <w:rsid w:val="00055D18"/>
    <w:rsid w:val="00057364"/>
    <w:rsid w:val="00057D27"/>
    <w:rsid w:val="00063252"/>
    <w:rsid w:val="0006586E"/>
    <w:rsid w:val="00066193"/>
    <w:rsid w:val="00067172"/>
    <w:rsid w:val="00067A28"/>
    <w:rsid w:val="00070B7C"/>
    <w:rsid w:val="00072A47"/>
    <w:rsid w:val="00072AE7"/>
    <w:rsid w:val="00072DF5"/>
    <w:rsid w:val="00075007"/>
    <w:rsid w:val="0008209D"/>
    <w:rsid w:val="00084A61"/>
    <w:rsid w:val="00084A9F"/>
    <w:rsid w:val="00086675"/>
    <w:rsid w:val="000866C9"/>
    <w:rsid w:val="00092E76"/>
    <w:rsid w:val="000930C8"/>
    <w:rsid w:val="000933D1"/>
    <w:rsid w:val="000937D1"/>
    <w:rsid w:val="00094F98"/>
    <w:rsid w:val="0009633D"/>
    <w:rsid w:val="000967D6"/>
    <w:rsid w:val="00096A36"/>
    <w:rsid w:val="0009797A"/>
    <w:rsid w:val="00097A8F"/>
    <w:rsid w:val="000A01FA"/>
    <w:rsid w:val="000A08C1"/>
    <w:rsid w:val="000A0A8C"/>
    <w:rsid w:val="000A11D2"/>
    <w:rsid w:val="000A15F3"/>
    <w:rsid w:val="000A4A89"/>
    <w:rsid w:val="000A70A0"/>
    <w:rsid w:val="000A7ADB"/>
    <w:rsid w:val="000A7F79"/>
    <w:rsid w:val="000B0212"/>
    <w:rsid w:val="000B0B8D"/>
    <w:rsid w:val="000B0E49"/>
    <w:rsid w:val="000B259B"/>
    <w:rsid w:val="000B3C4A"/>
    <w:rsid w:val="000B4A09"/>
    <w:rsid w:val="000B692C"/>
    <w:rsid w:val="000B7B44"/>
    <w:rsid w:val="000C2225"/>
    <w:rsid w:val="000C2DD7"/>
    <w:rsid w:val="000C3A74"/>
    <w:rsid w:val="000C79D8"/>
    <w:rsid w:val="000D1325"/>
    <w:rsid w:val="000D18F5"/>
    <w:rsid w:val="000D2904"/>
    <w:rsid w:val="000D360A"/>
    <w:rsid w:val="000D3EBE"/>
    <w:rsid w:val="000D43F1"/>
    <w:rsid w:val="000D5C8A"/>
    <w:rsid w:val="000D6E96"/>
    <w:rsid w:val="000E003E"/>
    <w:rsid w:val="000E0FD3"/>
    <w:rsid w:val="000E111D"/>
    <w:rsid w:val="000E3D64"/>
    <w:rsid w:val="000E5A0A"/>
    <w:rsid w:val="000E6438"/>
    <w:rsid w:val="000E6CBE"/>
    <w:rsid w:val="000F03CA"/>
    <w:rsid w:val="000F085D"/>
    <w:rsid w:val="000F0F4D"/>
    <w:rsid w:val="000F1C33"/>
    <w:rsid w:val="000F3310"/>
    <w:rsid w:val="000F4549"/>
    <w:rsid w:val="000F54BC"/>
    <w:rsid w:val="000F558F"/>
    <w:rsid w:val="00100446"/>
    <w:rsid w:val="001004B3"/>
    <w:rsid w:val="00101022"/>
    <w:rsid w:val="001024E4"/>
    <w:rsid w:val="00103581"/>
    <w:rsid w:val="00103E67"/>
    <w:rsid w:val="001040B6"/>
    <w:rsid w:val="001041C6"/>
    <w:rsid w:val="00105425"/>
    <w:rsid w:val="00106DAC"/>
    <w:rsid w:val="001070F3"/>
    <w:rsid w:val="00110F55"/>
    <w:rsid w:val="001140CD"/>
    <w:rsid w:val="00114754"/>
    <w:rsid w:val="00114768"/>
    <w:rsid w:val="00116B68"/>
    <w:rsid w:val="001203EA"/>
    <w:rsid w:val="0012044E"/>
    <w:rsid w:val="00122336"/>
    <w:rsid w:val="0012638D"/>
    <w:rsid w:val="00126852"/>
    <w:rsid w:val="00133239"/>
    <w:rsid w:val="001341E3"/>
    <w:rsid w:val="0013657B"/>
    <w:rsid w:val="001367F5"/>
    <w:rsid w:val="00137935"/>
    <w:rsid w:val="001403D3"/>
    <w:rsid w:val="00140ABD"/>
    <w:rsid w:val="001424E0"/>
    <w:rsid w:val="00143640"/>
    <w:rsid w:val="00144732"/>
    <w:rsid w:val="00145B02"/>
    <w:rsid w:val="0014605E"/>
    <w:rsid w:val="0015004C"/>
    <w:rsid w:val="001549CE"/>
    <w:rsid w:val="001576E1"/>
    <w:rsid w:val="00161CD6"/>
    <w:rsid w:val="00164AD1"/>
    <w:rsid w:val="0016681E"/>
    <w:rsid w:val="00166B95"/>
    <w:rsid w:val="00166D4E"/>
    <w:rsid w:val="0017059A"/>
    <w:rsid w:val="00172490"/>
    <w:rsid w:val="001728DB"/>
    <w:rsid w:val="00175B9B"/>
    <w:rsid w:val="00177095"/>
    <w:rsid w:val="001776F7"/>
    <w:rsid w:val="00177859"/>
    <w:rsid w:val="00177B0B"/>
    <w:rsid w:val="00177FC6"/>
    <w:rsid w:val="001825B0"/>
    <w:rsid w:val="0018272A"/>
    <w:rsid w:val="00183FA9"/>
    <w:rsid w:val="00186579"/>
    <w:rsid w:val="00191ED9"/>
    <w:rsid w:val="00192197"/>
    <w:rsid w:val="00192D54"/>
    <w:rsid w:val="001952C7"/>
    <w:rsid w:val="00197948"/>
    <w:rsid w:val="001A0685"/>
    <w:rsid w:val="001A099B"/>
    <w:rsid w:val="001A0E43"/>
    <w:rsid w:val="001A198F"/>
    <w:rsid w:val="001A4630"/>
    <w:rsid w:val="001A5590"/>
    <w:rsid w:val="001A61D8"/>
    <w:rsid w:val="001B0A84"/>
    <w:rsid w:val="001B18AF"/>
    <w:rsid w:val="001B1A86"/>
    <w:rsid w:val="001B1D4B"/>
    <w:rsid w:val="001B1F04"/>
    <w:rsid w:val="001B22F6"/>
    <w:rsid w:val="001B2F69"/>
    <w:rsid w:val="001B3FB7"/>
    <w:rsid w:val="001C232C"/>
    <w:rsid w:val="001C437E"/>
    <w:rsid w:val="001D18AE"/>
    <w:rsid w:val="001D36BF"/>
    <w:rsid w:val="001D5F61"/>
    <w:rsid w:val="001D6F95"/>
    <w:rsid w:val="001D70BA"/>
    <w:rsid w:val="001D77F7"/>
    <w:rsid w:val="001E10DA"/>
    <w:rsid w:val="001E1CF8"/>
    <w:rsid w:val="001E28FB"/>
    <w:rsid w:val="001E37E6"/>
    <w:rsid w:val="001E50B2"/>
    <w:rsid w:val="001F03BB"/>
    <w:rsid w:val="001F21D0"/>
    <w:rsid w:val="001F2A83"/>
    <w:rsid w:val="001F39ED"/>
    <w:rsid w:val="001F4E4E"/>
    <w:rsid w:val="001F6192"/>
    <w:rsid w:val="001F639C"/>
    <w:rsid w:val="001F770E"/>
    <w:rsid w:val="001F7DB4"/>
    <w:rsid w:val="00200C37"/>
    <w:rsid w:val="002034C0"/>
    <w:rsid w:val="00205351"/>
    <w:rsid w:val="00205AD0"/>
    <w:rsid w:val="002067DF"/>
    <w:rsid w:val="002073AF"/>
    <w:rsid w:val="00207953"/>
    <w:rsid w:val="00210685"/>
    <w:rsid w:val="00210F82"/>
    <w:rsid w:val="00211514"/>
    <w:rsid w:val="00212A2E"/>
    <w:rsid w:val="0021325A"/>
    <w:rsid w:val="0021459D"/>
    <w:rsid w:val="00214E0D"/>
    <w:rsid w:val="0021540F"/>
    <w:rsid w:val="00217911"/>
    <w:rsid w:val="00217AA0"/>
    <w:rsid w:val="00220189"/>
    <w:rsid w:val="00222F85"/>
    <w:rsid w:val="00223A33"/>
    <w:rsid w:val="00224427"/>
    <w:rsid w:val="00225B66"/>
    <w:rsid w:val="002279A0"/>
    <w:rsid w:val="00227D71"/>
    <w:rsid w:val="00230592"/>
    <w:rsid w:val="00230CF0"/>
    <w:rsid w:val="00231A57"/>
    <w:rsid w:val="0023203C"/>
    <w:rsid w:val="00234899"/>
    <w:rsid w:val="00240FC8"/>
    <w:rsid w:val="00243E36"/>
    <w:rsid w:val="00245EE7"/>
    <w:rsid w:val="00247BCB"/>
    <w:rsid w:val="00252DFA"/>
    <w:rsid w:val="00257196"/>
    <w:rsid w:val="00257BB0"/>
    <w:rsid w:val="00260093"/>
    <w:rsid w:val="00260637"/>
    <w:rsid w:val="00260790"/>
    <w:rsid w:val="00261A6D"/>
    <w:rsid w:val="00263E5D"/>
    <w:rsid w:val="00265A26"/>
    <w:rsid w:val="00265F82"/>
    <w:rsid w:val="002668E8"/>
    <w:rsid w:val="00266BE8"/>
    <w:rsid w:val="00266F97"/>
    <w:rsid w:val="00267B8B"/>
    <w:rsid w:val="00272A5B"/>
    <w:rsid w:val="002730C0"/>
    <w:rsid w:val="0027611E"/>
    <w:rsid w:val="002766AB"/>
    <w:rsid w:val="00283911"/>
    <w:rsid w:val="0028667C"/>
    <w:rsid w:val="00286B7D"/>
    <w:rsid w:val="00287F56"/>
    <w:rsid w:val="002912C2"/>
    <w:rsid w:val="002920C7"/>
    <w:rsid w:val="00293D37"/>
    <w:rsid w:val="002942BF"/>
    <w:rsid w:val="0029479E"/>
    <w:rsid w:val="00296BF3"/>
    <w:rsid w:val="00296C3E"/>
    <w:rsid w:val="002979A5"/>
    <w:rsid w:val="002A0598"/>
    <w:rsid w:val="002A0AE4"/>
    <w:rsid w:val="002A1056"/>
    <w:rsid w:val="002A2420"/>
    <w:rsid w:val="002A3810"/>
    <w:rsid w:val="002A5534"/>
    <w:rsid w:val="002A67AD"/>
    <w:rsid w:val="002A703E"/>
    <w:rsid w:val="002B081A"/>
    <w:rsid w:val="002B34BE"/>
    <w:rsid w:val="002B4F81"/>
    <w:rsid w:val="002B50F6"/>
    <w:rsid w:val="002B5396"/>
    <w:rsid w:val="002B5D8B"/>
    <w:rsid w:val="002B6496"/>
    <w:rsid w:val="002B7F07"/>
    <w:rsid w:val="002C2811"/>
    <w:rsid w:val="002C399A"/>
    <w:rsid w:val="002C611A"/>
    <w:rsid w:val="002C6DA4"/>
    <w:rsid w:val="002D016E"/>
    <w:rsid w:val="002D05BD"/>
    <w:rsid w:val="002D06E7"/>
    <w:rsid w:val="002D224C"/>
    <w:rsid w:val="002D2D49"/>
    <w:rsid w:val="002D2D8F"/>
    <w:rsid w:val="002D42B7"/>
    <w:rsid w:val="002D4556"/>
    <w:rsid w:val="002D55D2"/>
    <w:rsid w:val="002D6B9F"/>
    <w:rsid w:val="002E110A"/>
    <w:rsid w:val="002E1F93"/>
    <w:rsid w:val="002E3FE8"/>
    <w:rsid w:val="002E4143"/>
    <w:rsid w:val="002E6FF2"/>
    <w:rsid w:val="002E7560"/>
    <w:rsid w:val="002E7DF7"/>
    <w:rsid w:val="002F143D"/>
    <w:rsid w:val="002F176D"/>
    <w:rsid w:val="002F2845"/>
    <w:rsid w:val="002F30E7"/>
    <w:rsid w:val="002F5863"/>
    <w:rsid w:val="002F6377"/>
    <w:rsid w:val="002F69FE"/>
    <w:rsid w:val="002F7319"/>
    <w:rsid w:val="003001F2"/>
    <w:rsid w:val="00300248"/>
    <w:rsid w:val="00300331"/>
    <w:rsid w:val="003009F6"/>
    <w:rsid w:val="00300ADC"/>
    <w:rsid w:val="003034D9"/>
    <w:rsid w:val="0030536E"/>
    <w:rsid w:val="0030668F"/>
    <w:rsid w:val="003072BD"/>
    <w:rsid w:val="00307818"/>
    <w:rsid w:val="003115CF"/>
    <w:rsid w:val="003138F1"/>
    <w:rsid w:val="00314EB0"/>
    <w:rsid w:val="003178F3"/>
    <w:rsid w:val="0032234C"/>
    <w:rsid w:val="00325ED7"/>
    <w:rsid w:val="00326A3E"/>
    <w:rsid w:val="00327B24"/>
    <w:rsid w:val="0033178E"/>
    <w:rsid w:val="00332D39"/>
    <w:rsid w:val="00333045"/>
    <w:rsid w:val="0033398D"/>
    <w:rsid w:val="00336363"/>
    <w:rsid w:val="00337CAA"/>
    <w:rsid w:val="00342217"/>
    <w:rsid w:val="00342B0D"/>
    <w:rsid w:val="00347EED"/>
    <w:rsid w:val="003517CE"/>
    <w:rsid w:val="00352D7A"/>
    <w:rsid w:val="00353590"/>
    <w:rsid w:val="00353856"/>
    <w:rsid w:val="00357EF6"/>
    <w:rsid w:val="00361438"/>
    <w:rsid w:val="0036149A"/>
    <w:rsid w:val="003635ED"/>
    <w:rsid w:val="00364EE5"/>
    <w:rsid w:val="0036682A"/>
    <w:rsid w:val="0036710A"/>
    <w:rsid w:val="003700D4"/>
    <w:rsid w:val="00373172"/>
    <w:rsid w:val="00373C2C"/>
    <w:rsid w:val="003750AB"/>
    <w:rsid w:val="00375C64"/>
    <w:rsid w:val="003777D2"/>
    <w:rsid w:val="00377958"/>
    <w:rsid w:val="00377BCE"/>
    <w:rsid w:val="00377D43"/>
    <w:rsid w:val="003812C8"/>
    <w:rsid w:val="0038143F"/>
    <w:rsid w:val="00382770"/>
    <w:rsid w:val="00385EB7"/>
    <w:rsid w:val="00392FB1"/>
    <w:rsid w:val="00394803"/>
    <w:rsid w:val="003956F0"/>
    <w:rsid w:val="003973C3"/>
    <w:rsid w:val="00397A56"/>
    <w:rsid w:val="00397D7A"/>
    <w:rsid w:val="003A40F7"/>
    <w:rsid w:val="003A4A26"/>
    <w:rsid w:val="003A4E3A"/>
    <w:rsid w:val="003A5672"/>
    <w:rsid w:val="003A5E90"/>
    <w:rsid w:val="003B024D"/>
    <w:rsid w:val="003B76C5"/>
    <w:rsid w:val="003C02C3"/>
    <w:rsid w:val="003C02E8"/>
    <w:rsid w:val="003C25EE"/>
    <w:rsid w:val="003C2799"/>
    <w:rsid w:val="003C2A12"/>
    <w:rsid w:val="003C4874"/>
    <w:rsid w:val="003C56D6"/>
    <w:rsid w:val="003D02E8"/>
    <w:rsid w:val="003D12A7"/>
    <w:rsid w:val="003D20B5"/>
    <w:rsid w:val="003D2C01"/>
    <w:rsid w:val="003D471C"/>
    <w:rsid w:val="003D5C65"/>
    <w:rsid w:val="003D7326"/>
    <w:rsid w:val="003D7654"/>
    <w:rsid w:val="003E0A33"/>
    <w:rsid w:val="003E2093"/>
    <w:rsid w:val="003E411F"/>
    <w:rsid w:val="003E4348"/>
    <w:rsid w:val="003E48A9"/>
    <w:rsid w:val="003E51F9"/>
    <w:rsid w:val="003E6BA8"/>
    <w:rsid w:val="003F09A1"/>
    <w:rsid w:val="003F09D3"/>
    <w:rsid w:val="003F108D"/>
    <w:rsid w:val="003F11B0"/>
    <w:rsid w:val="003F15C5"/>
    <w:rsid w:val="003F1D17"/>
    <w:rsid w:val="003F1F21"/>
    <w:rsid w:val="003F32B8"/>
    <w:rsid w:val="003F33A5"/>
    <w:rsid w:val="003F45D9"/>
    <w:rsid w:val="0040008C"/>
    <w:rsid w:val="00400904"/>
    <w:rsid w:val="004013A7"/>
    <w:rsid w:val="00403CDE"/>
    <w:rsid w:val="00404235"/>
    <w:rsid w:val="00404E0C"/>
    <w:rsid w:val="00405053"/>
    <w:rsid w:val="00406742"/>
    <w:rsid w:val="004118E1"/>
    <w:rsid w:val="004122A9"/>
    <w:rsid w:val="00412B14"/>
    <w:rsid w:val="00414729"/>
    <w:rsid w:val="00415CA1"/>
    <w:rsid w:val="00415FC3"/>
    <w:rsid w:val="00416879"/>
    <w:rsid w:val="00416C7A"/>
    <w:rsid w:val="004208A2"/>
    <w:rsid w:val="00421F71"/>
    <w:rsid w:val="00422506"/>
    <w:rsid w:val="00425539"/>
    <w:rsid w:val="0042560A"/>
    <w:rsid w:val="004266E3"/>
    <w:rsid w:val="004269B9"/>
    <w:rsid w:val="004307F3"/>
    <w:rsid w:val="00430CD7"/>
    <w:rsid w:val="00431A1B"/>
    <w:rsid w:val="004344CF"/>
    <w:rsid w:val="00434B5E"/>
    <w:rsid w:val="00435111"/>
    <w:rsid w:val="00435667"/>
    <w:rsid w:val="00436538"/>
    <w:rsid w:val="00440973"/>
    <w:rsid w:val="00441E97"/>
    <w:rsid w:val="004428A6"/>
    <w:rsid w:val="00443F40"/>
    <w:rsid w:val="00445614"/>
    <w:rsid w:val="00446758"/>
    <w:rsid w:val="00447CEF"/>
    <w:rsid w:val="00452123"/>
    <w:rsid w:val="00452551"/>
    <w:rsid w:val="00453782"/>
    <w:rsid w:val="00453FF2"/>
    <w:rsid w:val="00455C1E"/>
    <w:rsid w:val="00456EAC"/>
    <w:rsid w:val="00457265"/>
    <w:rsid w:val="00457C8B"/>
    <w:rsid w:val="00460770"/>
    <w:rsid w:val="00462493"/>
    <w:rsid w:val="00463191"/>
    <w:rsid w:val="00463C2D"/>
    <w:rsid w:val="00464769"/>
    <w:rsid w:val="00467180"/>
    <w:rsid w:val="00470FFD"/>
    <w:rsid w:val="00471DE3"/>
    <w:rsid w:val="00474A22"/>
    <w:rsid w:val="00474DF7"/>
    <w:rsid w:val="00476D3E"/>
    <w:rsid w:val="004779ED"/>
    <w:rsid w:val="00480B4C"/>
    <w:rsid w:val="00482306"/>
    <w:rsid w:val="00482D04"/>
    <w:rsid w:val="00483A30"/>
    <w:rsid w:val="00484AA8"/>
    <w:rsid w:val="00485567"/>
    <w:rsid w:val="00485D58"/>
    <w:rsid w:val="00486A88"/>
    <w:rsid w:val="004913B5"/>
    <w:rsid w:val="00491439"/>
    <w:rsid w:val="00492474"/>
    <w:rsid w:val="004938EB"/>
    <w:rsid w:val="0049402E"/>
    <w:rsid w:val="0049428F"/>
    <w:rsid w:val="004960C9"/>
    <w:rsid w:val="00497067"/>
    <w:rsid w:val="004A04F0"/>
    <w:rsid w:val="004A09C1"/>
    <w:rsid w:val="004A0D08"/>
    <w:rsid w:val="004A19CB"/>
    <w:rsid w:val="004A208C"/>
    <w:rsid w:val="004A293E"/>
    <w:rsid w:val="004A405C"/>
    <w:rsid w:val="004A673A"/>
    <w:rsid w:val="004A73C4"/>
    <w:rsid w:val="004A778D"/>
    <w:rsid w:val="004A7D26"/>
    <w:rsid w:val="004B3B8A"/>
    <w:rsid w:val="004B7A54"/>
    <w:rsid w:val="004C0A56"/>
    <w:rsid w:val="004C0F27"/>
    <w:rsid w:val="004C0F50"/>
    <w:rsid w:val="004C28B4"/>
    <w:rsid w:val="004C77A2"/>
    <w:rsid w:val="004D07E2"/>
    <w:rsid w:val="004D0B6D"/>
    <w:rsid w:val="004D1CCC"/>
    <w:rsid w:val="004D3127"/>
    <w:rsid w:val="004D3255"/>
    <w:rsid w:val="004D3A6B"/>
    <w:rsid w:val="004D4E8A"/>
    <w:rsid w:val="004D67E9"/>
    <w:rsid w:val="004D6DCE"/>
    <w:rsid w:val="004E0762"/>
    <w:rsid w:val="004E3FEB"/>
    <w:rsid w:val="004E4932"/>
    <w:rsid w:val="004E625A"/>
    <w:rsid w:val="004E66FC"/>
    <w:rsid w:val="004E6880"/>
    <w:rsid w:val="004E72D5"/>
    <w:rsid w:val="004F0404"/>
    <w:rsid w:val="004F1AE1"/>
    <w:rsid w:val="004F25A6"/>
    <w:rsid w:val="004F2C7B"/>
    <w:rsid w:val="004F3BF2"/>
    <w:rsid w:val="004F5473"/>
    <w:rsid w:val="00503E2D"/>
    <w:rsid w:val="00504DF3"/>
    <w:rsid w:val="00505403"/>
    <w:rsid w:val="0050559B"/>
    <w:rsid w:val="005056B5"/>
    <w:rsid w:val="00506FDE"/>
    <w:rsid w:val="00507709"/>
    <w:rsid w:val="00507A91"/>
    <w:rsid w:val="00507D4D"/>
    <w:rsid w:val="00510070"/>
    <w:rsid w:val="00510701"/>
    <w:rsid w:val="00510AF1"/>
    <w:rsid w:val="0051293C"/>
    <w:rsid w:val="00515A69"/>
    <w:rsid w:val="00521FC8"/>
    <w:rsid w:val="00522380"/>
    <w:rsid w:val="0052406B"/>
    <w:rsid w:val="0052437E"/>
    <w:rsid w:val="005303FB"/>
    <w:rsid w:val="00531581"/>
    <w:rsid w:val="00531A8B"/>
    <w:rsid w:val="00532518"/>
    <w:rsid w:val="005328EF"/>
    <w:rsid w:val="00533CBF"/>
    <w:rsid w:val="005358E3"/>
    <w:rsid w:val="0054369E"/>
    <w:rsid w:val="00543EA3"/>
    <w:rsid w:val="00544BB3"/>
    <w:rsid w:val="0054738C"/>
    <w:rsid w:val="00547B33"/>
    <w:rsid w:val="00547B3A"/>
    <w:rsid w:val="005500A1"/>
    <w:rsid w:val="005529A7"/>
    <w:rsid w:val="00552A33"/>
    <w:rsid w:val="00553B87"/>
    <w:rsid w:val="0055484D"/>
    <w:rsid w:val="00561C4E"/>
    <w:rsid w:val="0056349E"/>
    <w:rsid w:val="00564044"/>
    <w:rsid w:val="00566622"/>
    <w:rsid w:val="00566DFF"/>
    <w:rsid w:val="00570FF2"/>
    <w:rsid w:val="00573B99"/>
    <w:rsid w:val="005745C7"/>
    <w:rsid w:val="005752C9"/>
    <w:rsid w:val="00575498"/>
    <w:rsid w:val="00576757"/>
    <w:rsid w:val="00580525"/>
    <w:rsid w:val="005805E4"/>
    <w:rsid w:val="005809B1"/>
    <w:rsid w:val="0058124E"/>
    <w:rsid w:val="00581770"/>
    <w:rsid w:val="0058203C"/>
    <w:rsid w:val="005825E1"/>
    <w:rsid w:val="00583F93"/>
    <w:rsid w:val="00585888"/>
    <w:rsid w:val="00585F38"/>
    <w:rsid w:val="00586722"/>
    <w:rsid w:val="00587FB5"/>
    <w:rsid w:val="0059030F"/>
    <w:rsid w:val="00592B51"/>
    <w:rsid w:val="00593785"/>
    <w:rsid w:val="00596F3D"/>
    <w:rsid w:val="005976CD"/>
    <w:rsid w:val="005A1C77"/>
    <w:rsid w:val="005A2542"/>
    <w:rsid w:val="005A26FF"/>
    <w:rsid w:val="005A272D"/>
    <w:rsid w:val="005B104C"/>
    <w:rsid w:val="005B2703"/>
    <w:rsid w:val="005B30AB"/>
    <w:rsid w:val="005B341F"/>
    <w:rsid w:val="005C0784"/>
    <w:rsid w:val="005C18DA"/>
    <w:rsid w:val="005C200E"/>
    <w:rsid w:val="005C25BF"/>
    <w:rsid w:val="005C4B34"/>
    <w:rsid w:val="005C5894"/>
    <w:rsid w:val="005C7805"/>
    <w:rsid w:val="005C7BFF"/>
    <w:rsid w:val="005D03AC"/>
    <w:rsid w:val="005D0642"/>
    <w:rsid w:val="005D0EB3"/>
    <w:rsid w:val="005D17E4"/>
    <w:rsid w:val="005D1E29"/>
    <w:rsid w:val="005D2A05"/>
    <w:rsid w:val="005D2D67"/>
    <w:rsid w:val="005D2D78"/>
    <w:rsid w:val="005D54BA"/>
    <w:rsid w:val="005D5A50"/>
    <w:rsid w:val="005D5CF1"/>
    <w:rsid w:val="005D5EE2"/>
    <w:rsid w:val="005D73DA"/>
    <w:rsid w:val="005D78EB"/>
    <w:rsid w:val="005E1205"/>
    <w:rsid w:val="005E44FF"/>
    <w:rsid w:val="005E586E"/>
    <w:rsid w:val="005E6E27"/>
    <w:rsid w:val="005F3205"/>
    <w:rsid w:val="005F341E"/>
    <w:rsid w:val="005F4836"/>
    <w:rsid w:val="005F69E8"/>
    <w:rsid w:val="005F7558"/>
    <w:rsid w:val="005F7BB6"/>
    <w:rsid w:val="00602845"/>
    <w:rsid w:val="00603BEA"/>
    <w:rsid w:val="006064DF"/>
    <w:rsid w:val="0060769B"/>
    <w:rsid w:val="00610240"/>
    <w:rsid w:val="00610CE4"/>
    <w:rsid w:val="0061115E"/>
    <w:rsid w:val="00612A11"/>
    <w:rsid w:val="00612E9F"/>
    <w:rsid w:val="00612FE5"/>
    <w:rsid w:val="00613624"/>
    <w:rsid w:val="00613C46"/>
    <w:rsid w:val="00617950"/>
    <w:rsid w:val="0062108D"/>
    <w:rsid w:val="00621F1E"/>
    <w:rsid w:val="00623D3E"/>
    <w:rsid w:val="006256C4"/>
    <w:rsid w:val="00625F41"/>
    <w:rsid w:val="0062764D"/>
    <w:rsid w:val="00630138"/>
    <w:rsid w:val="0063169B"/>
    <w:rsid w:val="00634DF3"/>
    <w:rsid w:val="006350A4"/>
    <w:rsid w:val="006357FC"/>
    <w:rsid w:val="006368E2"/>
    <w:rsid w:val="00636CB6"/>
    <w:rsid w:val="0063784F"/>
    <w:rsid w:val="006400F7"/>
    <w:rsid w:val="00640AD6"/>
    <w:rsid w:val="00641DA6"/>
    <w:rsid w:val="006422FA"/>
    <w:rsid w:val="0064290F"/>
    <w:rsid w:val="00643DB0"/>
    <w:rsid w:val="00643E90"/>
    <w:rsid w:val="00645970"/>
    <w:rsid w:val="00646A84"/>
    <w:rsid w:val="006475A4"/>
    <w:rsid w:val="006477F2"/>
    <w:rsid w:val="00650D45"/>
    <w:rsid w:val="00655912"/>
    <w:rsid w:val="00656678"/>
    <w:rsid w:val="00657DFC"/>
    <w:rsid w:val="0066044E"/>
    <w:rsid w:val="00661593"/>
    <w:rsid w:val="00661E11"/>
    <w:rsid w:val="006626BD"/>
    <w:rsid w:val="006627D5"/>
    <w:rsid w:val="00663FEF"/>
    <w:rsid w:val="00664378"/>
    <w:rsid w:val="00664A93"/>
    <w:rsid w:val="00665DFD"/>
    <w:rsid w:val="006661FA"/>
    <w:rsid w:val="00667C97"/>
    <w:rsid w:val="00670F7D"/>
    <w:rsid w:val="0067122A"/>
    <w:rsid w:val="006732AC"/>
    <w:rsid w:val="00677541"/>
    <w:rsid w:val="00677D06"/>
    <w:rsid w:val="00681A51"/>
    <w:rsid w:val="006823F4"/>
    <w:rsid w:val="00682B0D"/>
    <w:rsid w:val="006838EC"/>
    <w:rsid w:val="00686483"/>
    <w:rsid w:val="0069188A"/>
    <w:rsid w:val="00692FFA"/>
    <w:rsid w:val="00693031"/>
    <w:rsid w:val="00694BD9"/>
    <w:rsid w:val="006972B1"/>
    <w:rsid w:val="006A05B7"/>
    <w:rsid w:val="006A19C6"/>
    <w:rsid w:val="006A2859"/>
    <w:rsid w:val="006A4181"/>
    <w:rsid w:val="006A5923"/>
    <w:rsid w:val="006A5FED"/>
    <w:rsid w:val="006A6641"/>
    <w:rsid w:val="006A666F"/>
    <w:rsid w:val="006A79D8"/>
    <w:rsid w:val="006B2CDC"/>
    <w:rsid w:val="006B4B8E"/>
    <w:rsid w:val="006B5645"/>
    <w:rsid w:val="006B5A46"/>
    <w:rsid w:val="006B5D68"/>
    <w:rsid w:val="006B6B68"/>
    <w:rsid w:val="006B700C"/>
    <w:rsid w:val="006B7ADE"/>
    <w:rsid w:val="006C0506"/>
    <w:rsid w:val="006C2D90"/>
    <w:rsid w:val="006C35B6"/>
    <w:rsid w:val="006C3820"/>
    <w:rsid w:val="006C47A7"/>
    <w:rsid w:val="006C5941"/>
    <w:rsid w:val="006C6379"/>
    <w:rsid w:val="006C7607"/>
    <w:rsid w:val="006D3123"/>
    <w:rsid w:val="006D3719"/>
    <w:rsid w:val="006D46AB"/>
    <w:rsid w:val="006E2EAC"/>
    <w:rsid w:val="006E362F"/>
    <w:rsid w:val="006E3714"/>
    <w:rsid w:val="006E3C9C"/>
    <w:rsid w:val="006E5721"/>
    <w:rsid w:val="006E61BC"/>
    <w:rsid w:val="006E6AF3"/>
    <w:rsid w:val="006E6BDA"/>
    <w:rsid w:val="006E7F90"/>
    <w:rsid w:val="006F18BA"/>
    <w:rsid w:val="006F3084"/>
    <w:rsid w:val="006F593C"/>
    <w:rsid w:val="006F652A"/>
    <w:rsid w:val="006F7F11"/>
    <w:rsid w:val="00702589"/>
    <w:rsid w:val="0070266C"/>
    <w:rsid w:val="00704892"/>
    <w:rsid w:val="0070672C"/>
    <w:rsid w:val="0070797B"/>
    <w:rsid w:val="00714B68"/>
    <w:rsid w:val="0071561E"/>
    <w:rsid w:val="00716017"/>
    <w:rsid w:val="00721B52"/>
    <w:rsid w:val="00721F86"/>
    <w:rsid w:val="00722887"/>
    <w:rsid w:val="00722B63"/>
    <w:rsid w:val="00723CA6"/>
    <w:rsid w:val="00725287"/>
    <w:rsid w:val="0072537A"/>
    <w:rsid w:val="007260A9"/>
    <w:rsid w:val="00726523"/>
    <w:rsid w:val="007308E4"/>
    <w:rsid w:val="0073254A"/>
    <w:rsid w:val="00732831"/>
    <w:rsid w:val="00733293"/>
    <w:rsid w:val="00740AE5"/>
    <w:rsid w:val="00740FC6"/>
    <w:rsid w:val="0074198E"/>
    <w:rsid w:val="007423FC"/>
    <w:rsid w:val="00744773"/>
    <w:rsid w:val="007454F5"/>
    <w:rsid w:val="007463B3"/>
    <w:rsid w:val="007502EE"/>
    <w:rsid w:val="00752654"/>
    <w:rsid w:val="007551FC"/>
    <w:rsid w:val="0075593B"/>
    <w:rsid w:val="00757DAA"/>
    <w:rsid w:val="00761D2E"/>
    <w:rsid w:val="007641D2"/>
    <w:rsid w:val="00766198"/>
    <w:rsid w:val="00766311"/>
    <w:rsid w:val="007668AC"/>
    <w:rsid w:val="00767018"/>
    <w:rsid w:val="007674DC"/>
    <w:rsid w:val="0076751E"/>
    <w:rsid w:val="0076769D"/>
    <w:rsid w:val="00767A6D"/>
    <w:rsid w:val="00771014"/>
    <w:rsid w:val="00771E39"/>
    <w:rsid w:val="0077231D"/>
    <w:rsid w:val="00772867"/>
    <w:rsid w:val="00772AEB"/>
    <w:rsid w:val="00773E73"/>
    <w:rsid w:val="00775A68"/>
    <w:rsid w:val="00776220"/>
    <w:rsid w:val="00781E9B"/>
    <w:rsid w:val="0078229E"/>
    <w:rsid w:val="0078330F"/>
    <w:rsid w:val="00784EEA"/>
    <w:rsid w:val="00786343"/>
    <w:rsid w:val="00787EA5"/>
    <w:rsid w:val="00787F5A"/>
    <w:rsid w:val="007922A0"/>
    <w:rsid w:val="0079244D"/>
    <w:rsid w:val="0079552F"/>
    <w:rsid w:val="0079674B"/>
    <w:rsid w:val="007A09AB"/>
    <w:rsid w:val="007A1151"/>
    <w:rsid w:val="007A1498"/>
    <w:rsid w:val="007A2606"/>
    <w:rsid w:val="007A3F34"/>
    <w:rsid w:val="007A421B"/>
    <w:rsid w:val="007A430A"/>
    <w:rsid w:val="007A5433"/>
    <w:rsid w:val="007A5F48"/>
    <w:rsid w:val="007B059D"/>
    <w:rsid w:val="007B1C5A"/>
    <w:rsid w:val="007C1082"/>
    <w:rsid w:val="007C1A4A"/>
    <w:rsid w:val="007C1F41"/>
    <w:rsid w:val="007C517A"/>
    <w:rsid w:val="007C637A"/>
    <w:rsid w:val="007C6B95"/>
    <w:rsid w:val="007D25B5"/>
    <w:rsid w:val="007D55F5"/>
    <w:rsid w:val="007D57E9"/>
    <w:rsid w:val="007D59A2"/>
    <w:rsid w:val="007D7DE5"/>
    <w:rsid w:val="007E38D5"/>
    <w:rsid w:val="007E46DF"/>
    <w:rsid w:val="007E58CE"/>
    <w:rsid w:val="007E671C"/>
    <w:rsid w:val="007F1996"/>
    <w:rsid w:val="007F1AB2"/>
    <w:rsid w:val="007F21A9"/>
    <w:rsid w:val="007F2F03"/>
    <w:rsid w:val="007F471F"/>
    <w:rsid w:val="007F5331"/>
    <w:rsid w:val="007F53A2"/>
    <w:rsid w:val="007F6776"/>
    <w:rsid w:val="007F695C"/>
    <w:rsid w:val="007F7AF6"/>
    <w:rsid w:val="00802028"/>
    <w:rsid w:val="00802587"/>
    <w:rsid w:val="00802E58"/>
    <w:rsid w:val="0080627B"/>
    <w:rsid w:val="00807D7F"/>
    <w:rsid w:val="00810250"/>
    <w:rsid w:val="00810264"/>
    <w:rsid w:val="00810AD2"/>
    <w:rsid w:val="0081643E"/>
    <w:rsid w:val="00816896"/>
    <w:rsid w:val="008200A6"/>
    <w:rsid w:val="00822B40"/>
    <w:rsid w:val="00823027"/>
    <w:rsid w:val="00823A73"/>
    <w:rsid w:val="008246FB"/>
    <w:rsid w:val="00824C78"/>
    <w:rsid w:val="0082539D"/>
    <w:rsid w:val="00826DBD"/>
    <w:rsid w:val="0082744B"/>
    <w:rsid w:val="008313F2"/>
    <w:rsid w:val="0083315C"/>
    <w:rsid w:val="00833ACE"/>
    <w:rsid w:val="00834672"/>
    <w:rsid w:val="00834A9E"/>
    <w:rsid w:val="00841D56"/>
    <w:rsid w:val="008426B0"/>
    <w:rsid w:val="008439A0"/>
    <w:rsid w:val="00843AF3"/>
    <w:rsid w:val="008455D7"/>
    <w:rsid w:val="008458E9"/>
    <w:rsid w:val="008461DA"/>
    <w:rsid w:val="00846333"/>
    <w:rsid w:val="008507E1"/>
    <w:rsid w:val="00856A40"/>
    <w:rsid w:val="0086180E"/>
    <w:rsid w:val="008626CA"/>
    <w:rsid w:val="00862B9D"/>
    <w:rsid w:val="008634BA"/>
    <w:rsid w:val="008640BA"/>
    <w:rsid w:val="00865564"/>
    <w:rsid w:val="00866FE4"/>
    <w:rsid w:val="00867A83"/>
    <w:rsid w:val="00872AC6"/>
    <w:rsid w:val="00873245"/>
    <w:rsid w:val="00873672"/>
    <w:rsid w:val="00875A78"/>
    <w:rsid w:val="008844F1"/>
    <w:rsid w:val="00887E04"/>
    <w:rsid w:val="008901F4"/>
    <w:rsid w:val="00893458"/>
    <w:rsid w:val="008957AF"/>
    <w:rsid w:val="00895AE6"/>
    <w:rsid w:val="00897852"/>
    <w:rsid w:val="00897FA5"/>
    <w:rsid w:val="008A2922"/>
    <w:rsid w:val="008A63BD"/>
    <w:rsid w:val="008A778B"/>
    <w:rsid w:val="008B1319"/>
    <w:rsid w:val="008B163E"/>
    <w:rsid w:val="008B1A8E"/>
    <w:rsid w:val="008B3B0A"/>
    <w:rsid w:val="008B552C"/>
    <w:rsid w:val="008B5B50"/>
    <w:rsid w:val="008B62BE"/>
    <w:rsid w:val="008B66CC"/>
    <w:rsid w:val="008C29C2"/>
    <w:rsid w:val="008C3A6B"/>
    <w:rsid w:val="008C45BD"/>
    <w:rsid w:val="008C4707"/>
    <w:rsid w:val="008C5BCC"/>
    <w:rsid w:val="008C6A12"/>
    <w:rsid w:val="008C7757"/>
    <w:rsid w:val="008C7B9D"/>
    <w:rsid w:val="008D1081"/>
    <w:rsid w:val="008D11C3"/>
    <w:rsid w:val="008D4CB8"/>
    <w:rsid w:val="008E35AE"/>
    <w:rsid w:val="008E44CF"/>
    <w:rsid w:val="008E5967"/>
    <w:rsid w:val="008F06DC"/>
    <w:rsid w:val="008F16FC"/>
    <w:rsid w:val="008F2ACE"/>
    <w:rsid w:val="008F3582"/>
    <w:rsid w:val="008F428B"/>
    <w:rsid w:val="008F53A4"/>
    <w:rsid w:val="008F64D9"/>
    <w:rsid w:val="008F7AB3"/>
    <w:rsid w:val="008F7D8F"/>
    <w:rsid w:val="009009B1"/>
    <w:rsid w:val="00901F71"/>
    <w:rsid w:val="00902664"/>
    <w:rsid w:val="00902A0A"/>
    <w:rsid w:val="00907122"/>
    <w:rsid w:val="00910252"/>
    <w:rsid w:val="00911536"/>
    <w:rsid w:val="00911627"/>
    <w:rsid w:val="00911C38"/>
    <w:rsid w:val="009123BC"/>
    <w:rsid w:val="009126DD"/>
    <w:rsid w:val="00913A89"/>
    <w:rsid w:val="009152DE"/>
    <w:rsid w:val="00915963"/>
    <w:rsid w:val="009207C1"/>
    <w:rsid w:val="00921BBE"/>
    <w:rsid w:val="0092352A"/>
    <w:rsid w:val="009237E4"/>
    <w:rsid w:val="009238E3"/>
    <w:rsid w:val="00923B6B"/>
    <w:rsid w:val="009242DC"/>
    <w:rsid w:val="00924B87"/>
    <w:rsid w:val="009250E4"/>
    <w:rsid w:val="00925A03"/>
    <w:rsid w:val="00925CF3"/>
    <w:rsid w:val="00926E3E"/>
    <w:rsid w:val="00927572"/>
    <w:rsid w:val="0092784F"/>
    <w:rsid w:val="00927BD4"/>
    <w:rsid w:val="00931626"/>
    <w:rsid w:val="009328AC"/>
    <w:rsid w:val="00933126"/>
    <w:rsid w:val="0093379F"/>
    <w:rsid w:val="00933D00"/>
    <w:rsid w:val="0093587A"/>
    <w:rsid w:val="00936D1B"/>
    <w:rsid w:val="00937337"/>
    <w:rsid w:val="009378BD"/>
    <w:rsid w:val="00940EBD"/>
    <w:rsid w:val="00941913"/>
    <w:rsid w:val="009434A5"/>
    <w:rsid w:val="00943F64"/>
    <w:rsid w:val="0094443E"/>
    <w:rsid w:val="00947887"/>
    <w:rsid w:val="009503FF"/>
    <w:rsid w:val="009514E5"/>
    <w:rsid w:val="009518B7"/>
    <w:rsid w:val="00952591"/>
    <w:rsid w:val="0095461E"/>
    <w:rsid w:val="009567EA"/>
    <w:rsid w:val="0096047C"/>
    <w:rsid w:val="00960798"/>
    <w:rsid w:val="00963F7F"/>
    <w:rsid w:val="00964825"/>
    <w:rsid w:val="00964F2C"/>
    <w:rsid w:val="009674AF"/>
    <w:rsid w:val="00971DB8"/>
    <w:rsid w:val="00971E6A"/>
    <w:rsid w:val="00973A8D"/>
    <w:rsid w:val="00974C76"/>
    <w:rsid w:val="00974F1A"/>
    <w:rsid w:val="00980467"/>
    <w:rsid w:val="009818E1"/>
    <w:rsid w:val="00982A43"/>
    <w:rsid w:val="0098396C"/>
    <w:rsid w:val="0098448E"/>
    <w:rsid w:val="009846FC"/>
    <w:rsid w:val="0098616A"/>
    <w:rsid w:val="009904E4"/>
    <w:rsid w:val="00990D0C"/>
    <w:rsid w:val="009930D0"/>
    <w:rsid w:val="00994B3A"/>
    <w:rsid w:val="00994EC9"/>
    <w:rsid w:val="00996323"/>
    <w:rsid w:val="009A01DF"/>
    <w:rsid w:val="009A06B0"/>
    <w:rsid w:val="009A1CF4"/>
    <w:rsid w:val="009A2DE8"/>
    <w:rsid w:val="009A361E"/>
    <w:rsid w:val="009A426F"/>
    <w:rsid w:val="009A4605"/>
    <w:rsid w:val="009A4A9A"/>
    <w:rsid w:val="009A5623"/>
    <w:rsid w:val="009A7891"/>
    <w:rsid w:val="009B0FE7"/>
    <w:rsid w:val="009B12A0"/>
    <w:rsid w:val="009B1800"/>
    <w:rsid w:val="009B2B07"/>
    <w:rsid w:val="009B422D"/>
    <w:rsid w:val="009B5E88"/>
    <w:rsid w:val="009C09C4"/>
    <w:rsid w:val="009C2AD8"/>
    <w:rsid w:val="009C5091"/>
    <w:rsid w:val="009C6815"/>
    <w:rsid w:val="009C7639"/>
    <w:rsid w:val="009C7C5D"/>
    <w:rsid w:val="009D1C21"/>
    <w:rsid w:val="009D4773"/>
    <w:rsid w:val="009D4819"/>
    <w:rsid w:val="009D5D39"/>
    <w:rsid w:val="009D7AD5"/>
    <w:rsid w:val="009E052E"/>
    <w:rsid w:val="009E28E2"/>
    <w:rsid w:val="009E2F65"/>
    <w:rsid w:val="009E4F4F"/>
    <w:rsid w:val="009E5EA2"/>
    <w:rsid w:val="009E5F98"/>
    <w:rsid w:val="009E6B0C"/>
    <w:rsid w:val="009F0CE0"/>
    <w:rsid w:val="009F4AD6"/>
    <w:rsid w:val="009F5A5B"/>
    <w:rsid w:val="009F6EB8"/>
    <w:rsid w:val="009F7CA6"/>
    <w:rsid w:val="00A016F0"/>
    <w:rsid w:val="00A01947"/>
    <w:rsid w:val="00A04B57"/>
    <w:rsid w:val="00A05052"/>
    <w:rsid w:val="00A051B1"/>
    <w:rsid w:val="00A1125A"/>
    <w:rsid w:val="00A12829"/>
    <w:rsid w:val="00A133B5"/>
    <w:rsid w:val="00A161BA"/>
    <w:rsid w:val="00A16F7A"/>
    <w:rsid w:val="00A20DAE"/>
    <w:rsid w:val="00A212E5"/>
    <w:rsid w:val="00A233A6"/>
    <w:rsid w:val="00A24AF2"/>
    <w:rsid w:val="00A25143"/>
    <w:rsid w:val="00A265E5"/>
    <w:rsid w:val="00A269BC"/>
    <w:rsid w:val="00A31368"/>
    <w:rsid w:val="00A32733"/>
    <w:rsid w:val="00A36095"/>
    <w:rsid w:val="00A363ED"/>
    <w:rsid w:val="00A400F5"/>
    <w:rsid w:val="00A407BD"/>
    <w:rsid w:val="00A4147F"/>
    <w:rsid w:val="00A4323F"/>
    <w:rsid w:val="00A43FFF"/>
    <w:rsid w:val="00A441F0"/>
    <w:rsid w:val="00A442A4"/>
    <w:rsid w:val="00A44515"/>
    <w:rsid w:val="00A46192"/>
    <w:rsid w:val="00A475D4"/>
    <w:rsid w:val="00A5047E"/>
    <w:rsid w:val="00A505A4"/>
    <w:rsid w:val="00A511B7"/>
    <w:rsid w:val="00A517D5"/>
    <w:rsid w:val="00A51EEF"/>
    <w:rsid w:val="00A52002"/>
    <w:rsid w:val="00A53668"/>
    <w:rsid w:val="00A53E05"/>
    <w:rsid w:val="00A5435F"/>
    <w:rsid w:val="00A560BD"/>
    <w:rsid w:val="00A56AFC"/>
    <w:rsid w:val="00A56DE1"/>
    <w:rsid w:val="00A600CC"/>
    <w:rsid w:val="00A61BC9"/>
    <w:rsid w:val="00A63238"/>
    <w:rsid w:val="00A635EF"/>
    <w:rsid w:val="00A646C7"/>
    <w:rsid w:val="00A650A3"/>
    <w:rsid w:val="00A65D91"/>
    <w:rsid w:val="00A65F47"/>
    <w:rsid w:val="00A6741A"/>
    <w:rsid w:val="00A71020"/>
    <w:rsid w:val="00A712C2"/>
    <w:rsid w:val="00A72DEA"/>
    <w:rsid w:val="00A72EA0"/>
    <w:rsid w:val="00A73108"/>
    <w:rsid w:val="00A73FAD"/>
    <w:rsid w:val="00A74DE3"/>
    <w:rsid w:val="00A75F32"/>
    <w:rsid w:val="00A77A37"/>
    <w:rsid w:val="00A806F5"/>
    <w:rsid w:val="00A83204"/>
    <w:rsid w:val="00A83486"/>
    <w:rsid w:val="00A83547"/>
    <w:rsid w:val="00A846AC"/>
    <w:rsid w:val="00A84D4E"/>
    <w:rsid w:val="00A87DB8"/>
    <w:rsid w:val="00A87E99"/>
    <w:rsid w:val="00A90345"/>
    <w:rsid w:val="00A91609"/>
    <w:rsid w:val="00A924D0"/>
    <w:rsid w:val="00A938A9"/>
    <w:rsid w:val="00A93FAD"/>
    <w:rsid w:val="00A94F7C"/>
    <w:rsid w:val="00A95BD8"/>
    <w:rsid w:val="00A96A4F"/>
    <w:rsid w:val="00AA0243"/>
    <w:rsid w:val="00AA127E"/>
    <w:rsid w:val="00AA3DB9"/>
    <w:rsid w:val="00AA48FE"/>
    <w:rsid w:val="00AA5D76"/>
    <w:rsid w:val="00AA6272"/>
    <w:rsid w:val="00AA6BF6"/>
    <w:rsid w:val="00AB0375"/>
    <w:rsid w:val="00AB04DC"/>
    <w:rsid w:val="00AB2124"/>
    <w:rsid w:val="00AB440C"/>
    <w:rsid w:val="00AB46CC"/>
    <w:rsid w:val="00AB55EE"/>
    <w:rsid w:val="00AB5937"/>
    <w:rsid w:val="00AB68B0"/>
    <w:rsid w:val="00AC23F4"/>
    <w:rsid w:val="00AC346F"/>
    <w:rsid w:val="00AC535A"/>
    <w:rsid w:val="00AC68F9"/>
    <w:rsid w:val="00AD0ABB"/>
    <w:rsid w:val="00AD1DE1"/>
    <w:rsid w:val="00AD31D5"/>
    <w:rsid w:val="00AD3B17"/>
    <w:rsid w:val="00AD4AA0"/>
    <w:rsid w:val="00AD6897"/>
    <w:rsid w:val="00AD7370"/>
    <w:rsid w:val="00AD7FA9"/>
    <w:rsid w:val="00AE17C4"/>
    <w:rsid w:val="00AE3B3B"/>
    <w:rsid w:val="00AE5C31"/>
    <w:rsid w:val="00AF106F"/>
    <w:rsid w:val="00AF2490"/>
    <w:rsid w:val="00AF2868"/>
    <w:rsid w:val="00AF3255"/>
    <w:rsid w:val="00AF32EB"/>
    <w:rsid w:val="00AF3930"/>
    <w:rsid w:val="00AF771F"/>
    <w:rsid w:val="00B00086"/>
    <w:rsid w:val="00B0326E"/>
    <w:rsid w:val="00B03CE6"/>
    <w:rsid w:val="00B05173"/>
    <w:rsid w:val="00B0748E"/>
    <w:rsid w:val="00B10485"/>
    <w:rsid w:val="00B12CF4"/>
    <w:rsid w:val="00B12DB6"/>
    <w:rsid w:val="00B135C4"/>
    <w:rsid w:val="00B15D66"/>
    <w:rsid w:val="00B15FCB"/>
    <w:rsid w:val="00B15FDA"/>
    <w:rsid w:val="00B16958"/>
    <w:rsid w:val="00B22B57"/>
    <w:rsid w:val="00B23955"/>
    <w:rsid w:val="00B23BA8"/>
    <w:rsid w:val="00B25A91"/>
    <w:rsid w:val="00B25E72"/>
    <w:rsid w:val="00B2695F"/>
    <w:rsid w:val="00B32297"/>
    <w:rsid w:val="00B348A1"/>
    <w:rsid w:val="00B352C7"/>
    <w:rsid w:val="00B352D3"/>
    <w:rsid w:val="00B35672"/>
    <w:rsid w:val="00B37907"/>
    <w:rsid w:val="00B470FA"/>
    <w:rsid w:val="00B471B0"/>
    <w:rsid w:val="00B473E7"/>
    <w:rsid w:val="00B47B11"/>
    <w:rsid w:val="00B47C22"/>
    <w:rsid w:val="00B50B8A"/>
    <w:rsid w:val="00B50EE5"/>
    <w:rsid w:val="00B51992"/>
    <w:rsid w:val="00B531C9"/>
    <w:rsid w:val="00B53C0C"/>
    <w:rsid w:val="00B54C9C"/>
    <w:rsid w:val="00B5656D"/>
    <w:rsid w:val="00B56B89"/>
    <w:rsid w:val="00B56C4A"/>
    <w:rsid w:val="00B60384"/>
    <w:rsid w:val="00B61503"/>
    <w:rsid w:val="00B62702"/>
    <w:rsid w:val="00B6302B"/>
    <w:rsid w:val="00B64878"/>
    <w:rsid w:val="00B67CD7"/>
    <w:rsid w:val="00B7154C"/>
    <w:rsid w:val="00B72970"/>
    <w:rsid w:val="00B73549"/>
    <w:rsid w:val="00B7384A"/>
    <w:rsid w:val="00B74B01"/>
    <w:rsid w:val="00B91152"/>
    <w:rsid w:val="00B92B34"/>
    <w:rsid w:val="00B93F04"/>
    <w:rsid w:val="00B95C14"/>
    <w:rsid w:val="00BA0B10"/>
    <w:rsid w:val="00BA1ECE"/>
    <w:rsid w:val="00BA23AC"/>
    <w:rsid w:val="00BA6A2E"/>
    <w:rsid w:val="00BA7EED"/>
    <w:rsid w:val="00BB08EA"/>
    <w:rsid w:val="00BB0A9E"/>
    <w:rsid w:val="00BB2B37"/>
    <w:rsid w:val="00BB33DF"/>
    <w:rsid w:val="00BB3D4C"/>
    <w:rsid w:val="00BB4E82"/>
    <w:rsid w:val="00BB51C3"/>
    <w:rsid w:val="00BB6582"/>
    <w:rsid w:val="00BB6CEE"/>
    <w:rsid w:val="00BC39F4"/>
    <w:rsid w:val="00BC4056"/>
    <w:rsid w:val="00BC448F"/>
    <w:rsid w:val="00BC562E"/>
    <w:rsid w:val="00BC5D79"/>
    <w:rsid w:val="00BC7592"/>
    <w:rsid w:val="00BC7AE4"/>
    <w:rsid w:val="00BC7E91"/>
    <w:rsid w:val="00BD3273"/>
    <w:rsid w:val="00BD4462"/>
    <w:rsid w:val="00BD4A06"/>
    <w:rsid w:val="00BD65E6"/>
    <w:rsid w:val="00BE3A34"/>
    <w:rsid w:val="00BE430F"/>
    <w:rsid w:val="00BE4A02"/>
    <w:rsid w:val="00BE5A21"/>
    <w:rsid w:val="00BE72A3"/>
    <w:rsid w:val="00BF56D6"/>
    <w:rsid w:val="00BF6158"/>
    <w:rsid w:val="00BF7DD5"/>
    <w:rsid w:val="00BF7E51"/>
    <w:rsid w:val="00C0009C"/>
    <w:rsid w:val="00C00354"/>
    <w:rsid w:val="00C0382E"/>
    <w:rsid w:val="00C03A01"/>
    <w:rsid w:val="00C0791A"/>
    <w:rsid w:val="00C103AA"/>
    <w:rsid w:val="00C11E30"/>
    <w:rsid w:val="00C11E3A"/>
    <w:rsid w:val="00C11E60"/>
    <w:rsid w:val="00C12E04"/>
    <w:rsid w:val="00C14438"/>
    <w:rsid w:val="00C14499"/>
    <w:rsid w:val="00C15F36"/>
    <w:rsid w:val="00C16774"/>
    <w:rsid w:val="00C209D6"/>
    <w:rsid w:val="00C2177B"/>
    <w:rsid w:val="00C2363D"/>
    <w:rsid w:val="00C23F3E"/>
    <w:rsid w:val="00C24635"/>
    <w:rsid w:val="00C25099"/>
    <w:rsid w:val="00C263BA"/>
    <w:rsid w:val="00C26697"/>
    <w:rsid w:val="00C26976"/>
    <w:rsid w:val="00C27292"/>
    <w:rsid w:val="00C27F85"/>
    <w:rsid w:val="00C31438"/>
    <w:rsid w:val="00C32025"/>
    <w:rsid w:val="00C33F08"/>
    <w:rsid w:val="00C343CE"/>
    <w:rsid w:val="00C4101A"/>
    <w:rsid w:val="00C4151B"/>
    <w:rsid w:val="00C419F3"/>
    <w:rsid w:val="00C435E9"/>
    <w:rsid w:val="00C45C48"/>
    <w:rsid w:val="00C45F77"/>
    <w:rsid w:val="00C46CA2"/>
    <w:rsid w:val="00C47AF7"/>
    <w:rsid w:val="00C47BC6"/>
    <w:rsid w:val="00C52B23"/>
    <w:rsid w:val="00C5345D"/>
    <w:rsid w:val="00C55745"/>
    <w:rsid w:val="00C56225"/>
    <w:rsid w:val="00C57FFD"/>
    <w:rsid w:val="00C61555"/>
    <w:rsid w:val="00C62599"/>
    <w:rsid w:val="00C65933"/>
    <w:rsid w:val="00C660C4"/>
    <w:rsid w:val="00C67004"/>
    <w:rsid w:val="00C71AE5"/>
    <w:rsid w:val="00C73544"/>
    <w:rsid w:val="00C739AD"/>
    <w:rsid w:val="00C73D3A"/>
    <w:rsid w:val="00C7441E"/>
    <w:rsid w:val="00C75516"/>
    <w:rsid w:val="00C76D3A"/>
    <w:rsid w:val="00C76F9C"/>
    <w:rsid w:val="00C813BA"/>
    <w:rsid w:val="00C81429"/>
    <w:rsid w:val="00C81EE8"/>
    <w:rsid w:val="00C853DC"/>
    <w:rsid w:val="00C86129"/>
    <w:rsid w:val="00C868E1"/>
    <w:rsid w:val="00C90F13"/>
    <w:rsid w:val="00C927F8"/>
    <w:rsid w:val="00C9304F"/>
    <w:rsid w:val="00C96F87"/>
    <w:rsid w:val="00C97466"/>
    <w:rsid w:val="00CA0915"/>
    <w:rsid w:val="00CA1CC7"/>
    <w:rsid w:val="00CA4B17"/>
    <w:rsid w:val="00CA4FF1"/>
    <w:rsid w:val="00CA7939"/>
    <w:rsid w:val="00CB0204"/>
    <w:rsid w:val="00CB0372"/>
    <w:rsid w:val="00CB07CD"/>
    <w:rsid w:val="00CB356E"/>
    <w:rsid w:val="00CB4869"/>
    <w:rsid w:val="00CB4D7B"/>
    <w:rsid w:val="00CB5851"/>
    <w:rsid w:val="00CB593F"/>
    <w:rsid w:val="00CB5ACC"/>
    <w:rsid w:val="00CB608E"/>
    <w:rsid w:val="00CB7165"/>
    <w:rsid w:val="00CC252D"/>
    <w:rsid w:val="00CC6278"/>
    <w:rsid w:val="00CC7EBD"/>
    <w:rsid w:val="00CD034A"/>
    <w:rsid w:val="00CD1BF5"/>
    <w:rsid w:val="00CD21E5"/>
    <w:rsid w:val="00CD27E8"/>
    <w:rsid w:val="00CD2E73"/>
    <w:rsid w:val="00CD3D41"/>
    <w:rsid w:val="00CD42FC"/>
    <w:rsid w:val="00CE0A77"/>
    <w:rsid w:val="00CE317B"/>
    <w:rsid w:val="00CE3489"/>
    <w:rsid w:val="00CE476E"/>
    <w:rsid w:val="00CE53D9"/>
    <w:rsid w:val="00CE753E"/>
    <w:rsid w:val="00CF01CB"/>
    <w:rsid w:val="00CF0330"/>
    <w:rsid w:val="00CF04F5"/>
    <w:rsid w:val="00CF09C7"/>
    <w:rsid w:val="00CF2CF2"/>
    <w:rsid w:val="00CF3F14"/>
    <w:rsid w:val="00CF4C39"/>
    <w:rsid w:val="00CF67D1"/>
    <w:rsid w:val="00CF785E"/>
    <w:rsid w:val="00D00388"/>
    <w:rsid w:val="00D03743"/>
    <w:rsid w:val="00D04BAD"/>
    <w:rsid w:val="00D069FC"/>
    <w:rsid w:val="00D06ADA"/>
    <w:rsid w:val="00D10EA6"/>
    <w:rsid w:val="00D1433C"/>
    <w:rsid w:val="00D15F7C"/>
    <w:rsid w:val="00D170C7"/>
    <w:rsid w:val="00D20027"/>
    <w:rsid w:val="00D20B22"/>
    <w:rsid w:val="00D22FF7"/>
    <w:rsid w:val="00D24054"/>
    <w:rsid w:val="00D259DA"/>
    <w:rsid w:val="00D267D3"/>
    <w:rsid w:val="00D26E6C"/>
    <w:rsid w:val="00D277A9"/>
    <w:rsid w:val="00D3052D"/>
    <w:rsid w:val="00D31F66"/>
    <w:rsid w:val="00D33A6F"/>
    <w:rsid w:val="00D33A7B"/>
    <w:rsid w:val="00D33C72"/>
    <w:rsid w:val="00D33CF9"/>
    <w:rsid w:val="00D34025"/>
    <w:rsid w:val="00D350D7"/>
    <w:rsid w:val="00D35825"/>
    <w:rsid w:val="00D3689A"/>
    <w:rsid w:val="00D36B92"/>
    <w:rsid w:val="00D41A72"/>
    <w:rsid w:val="00D44387"/>
    <w:rsid w:val="00D5068D"/>
    <w:rsid w:val="00D519ED"/>
    <w:rsid w:val="00D54CF8"/>
    <w:rsid w:val="00D55098"/>
    <w:rsid w:val="00D55974"/>
    <w:rsid w:val="00D55CA3"/>
    <w:rsid w:val="00D56BF0"/>
    <w:rsid w:val="00D57911"/>
    <w:rsid w:val="00D57F93"/>
    <w:rsid w:val="00D61624"/>
    <w:rsid w:val="00D62768"/>
    <w:rsid w:val="00D62B66"/>
    <w:rsid w:val="00D63B10"/>
    <w:rsid w:val="00D64332"/>
    <w:rsid w:val="00D66816"/>
    <w:rsid w:val="00D71AEF"/>
    <w:rsid w:val="00D71CF3"/>
    <w:rsid w:val="00D742E5"/>
    <w:rsid w:val="00D80C02"/>
    <w:rsid w:val="00D828D0"/>
    <w:rsid w:val="00D82F37"/>
    <w:rsid w:val="00D85396"/>
    <w:rsid w:val="00D85F64"/>
    <w:rsid w:val="00D86C3D"/>
    <w:rsid w:val="00D87EC4"/>
    <w:rsid w:val="00D90601"/>
    <w:rsid w:val="00D90C84"/>
    <w:rsid w:val="00D91513"/>
    <w:rsid w:val="00D91B9B"/>
    <w:rsid w:val="00D9226B"/>
    <w:rsid w:val="00D92DCD"/>
    <w:rsid w:val="00D92FB6"/>
    <w:rsid w:val="00D95561"/>
    <w:rsid w:val="00D95E62"/>
    <w:rsid w:val="00D97496"/>
    <w:rsid w:val="00DA1426"/>
    <w:rsid w:val="00DA2EA2"/>
    <w:rsid w:val="00DA3097"/>
    <w:rsid w:val="00DA30C4"/>
    <w:rsid w:val="00DA44E2"/>
    <w:rsid w:val="00DA49A3"/>
    <w:rsid w:val="00DA5D92"/>
    <w:rsid w:val="00DA714E"/>
    <w:rsid w:val="00DB0750"/>
    <w:rsid w:val="00DB23DF"/>
    <w:rsid w:val="00DB4264"/>
    <w:rsid w:val="00DB45AA"/>
    <w:rsid w:val="00DB5A45"/>
    <w:rsid w:val="00DB7DED"/>
    <w:rsid w:val="00DC13B4"/>
    <w:rsid w:val="00DC6206"/>
    <w:rsid w:val="00DD0A96"/>
    <w:rsid w:val="00DD1880"/>
    <w:rsid w:val="00DD1E96"/>
    <w:rsid w:val="00DD621B"/>
    <w:rsid w:val="00DD6552"/>
    <w:rsid w:val="00DE1FFA"/>
    <w:rsid w:val="00DE4232"/>
    <w:rsid w:val="00DE6EA9"/>
    <w:rsid w:val="00DF232B"/>
    <w:rsid w:val="00DF30B7"/>
    <w:rsid w:val="00DF4589"/>
    <w:rsid w:val="00DF5084"/>
    <w:rsid w:val="00DF5255"/>
    <w:rsid w:val="00DF5609"/>
    <w:rsid w:val="00DF6361"/>
    <w:rsid w:val="00DF7664"/>
    <w:rsid w:val="00DF7B14"/>
    <w:rsid w:val="00E0132B"/>
    <w:rsid w:val="00E057B1"/>
    <w:rsid w:val="00E10A69"/>
    <w:rsid w:val="00E10DB6"/>
    <w:rsid w:val="00E11068"/>
    <w:rsid w:val="00E11CC0"/>
    <w:rsid w:val="00E14861"/>
    <w:rsid w:val="00E171CC"/>
    <w:rsid w:val="00E2177B"/>
    <w:rsid w:val="00E21D30"/>
    <w:rsid w:val="00E2234B"/>
    <w:rsid w:val="00E236F8"/>
    <w:rsid w:val="00E2602E"/>
    <w:rsid w:val="00E27851"/>
    <w:rsid w:val="00E3129F"/>
    <w:rsid w:val="00E33815"/>
    <w:rsid w:val="00E351D6"/>
    <w:rsid w:val="00E35FB1"/>
    <w:rsid w:val="00E400C8"/>
    <w:rsid w:val="00E40B60"/>
    <w:rsid w:val="00E42BD3"/>
    <w:rsid w:val="00E459B6"/>
    <w:rsid w:val="00E47F53"/>
    <w:rsid w:val="00E47F67"/>
    <w:rsid w:val="00E500C2"/>
    <w:rsid w:val="00E51B3E"/>
    <w:rsid w:val="00E525FE"/>
    <w:rsid w:val="00E52C9B"/>
    <w:rsid w:val="00E53540"/>
    <w:rsid w:val="00E60F85"/>
    <w:rsid w:val="00E62D34"/>
    <w:rsid w:val="00E63920"/>
    <w:rsid w:val="00E63CEB"/>
    <w:rsid w:val="00E63EEE"/>
    <w:rsid w:val="00E70010"/>
    <w:rsid w:val="00E77DAA"/>
    <w:rsid w:val="00E80D70"/>
    <w:rsid w:val="00E85B0F"/>
    <w:rsid w:val="00E8635A"/>
    <w:rsid w:val="00E9285F"/>
    <w:rsid w:val="00E94BCD"/>
    <w:rsid w:val="00E95C8C"/>
    <w:rsid w:val="00E965F4"/>
    <w:rsid w:val="00EA05A5"/>
    <w:rsid w:val="00EA1809"/>
    <w:rsid w:val="00EA2D5F"/>
    <w:rsid w:val="00EA3907"/>
    <w:rsid w:val="00EA4720"/>
    <w:rsid w:val="00EA541B"/>
    <w:rsid w:val="00EA5AE8"/>
    <w:rsid w:val="00EA693C"/>
    <w:rsid w:val="00EB1636"/>
    <w:rsid w:val="00EB1E25"/>
    <w:rsid w:val="00EB370B"/>
    <w:rsid w:val="00EB3BE1"/>
    <w:rsid w:val="00EB41BC"/>
    <w:rsid w:val="00EB4B20"/>
    <w:rsid w:val="00EB67B9"/>
    <w:rsid w:val="00EB7616"/>
    <w:rsid w:val="00EC07DC"/>
    <w:rsid w:val="00EC1847"/>
    <w:rsid w:val="00EC3E64"/>
    <w:rsid w:val="00EC65EB"/>
    <w:rsid w:val="00ED197F"/>
    <w:rsid w:val="00ED33B4"/>
    <w:rsid w:val="00ED3787"/>
    <w:rsid w:val="00ED53A2"/>
    <w:rsid w:val="00ED5771"/>
    <w:rsid w:val="00EE136B"/>
    <w:rsid w:val="00EE1421"/>
    <w:rsid w:val="00EE2BB8"/>
    <w:rsid w:val="00EE37AC"/>
    <w:rsid w:val="00EE5350"/>
    <w:rsid w:val="00EF16A7"/>
    <w:rsid w:val="00EF2887"/>
    <w:rsid w:val="00EF2A07"/>
    <w:rsid w:val="00EF43C4"/>
    <w:rsid w:val="00F010A0"/>
    <w:rsid w:val="00F010C8"/>
    <w:rsid w:val="00F01D29"/>
    <w:rsid w:val="00F02BF0"/>
    <w:rsid w:val="00F02F31"/>
    <w:rsid w:val="00F060B8"/>
    <w:rsid w:val="00F06BC7"/>
    <w:rsid w:val="00F06C9A"/>
    <w:rsid w:val="00F12EFF"/>
    <w:rsid w:val="00F133BA"/>
    <w:rsid w:val="00F15237"/>
    <w:rsid w:val="00F15427"/>
    <w:rsid w:val="00F22594"/>
    <w:rsid w:val="00F23AD4"/>
    <w:rsid w:val="00F243B1"/>
    <w:rsid w:val="00F24D70"/>
    <w:rsid w:val="00F253C5"/>
    <w:rsid w:val="00F26759"/>
    <w:rsid w:val="00F2778C"/>
    <w:rsid w:val="00F27FDA"/>
    <w:rsid w:val="00F32680"/>
    <w:rsid w:val="00F339E5"/>
    <w:rsid w:val="00F34185"/>
    <w:rsid w:val="00F341B4"/>
    <w:rsid w:val="00F35248"/>
    <w:rsid w:val="00F36134"/>
    <w:rsid w:val="00F37A53"/>
    <w:rsid w:val="00F43814"/>
    <w:rsid w:val="00F438CF"/>
    <w:rsid w:val="00F44714"/>
    <w:rsid w:val="00F45A24"/>
    <w:rsid w:val="00F46309"/>
    <w:rsid w:val="00F4692E"/>
    <w:rsid w:val="00F509C0"/>
    <w:rsid w:val="00F54649"/>
    <w:rsid w:val="00F54AF4"/>
    <w:rsid w:val="00F54FA4"/>
    <w:rsid w:val="00F55C34"/>
    <w:rsid w:val="00F57005"/>
    <w:rsid w:val="00F60AD2"/>
    <w:rsid w:val="00F637E3"/>
    <w:rsid w:val="00F648DE"/>
    <w:rsid w:val="00F64B83"/>
    <w:rsid w:val="00F64E5A"/>
    <w:rsid w:val="00F6657E"/>
    <w:rsid w:val="00F67020"/>
    <w:rsid w:val="00F70ABC"/>
    <w:rsid w:val="00F72551"/>
    <w:rsid w:val="00F73794"/>
    <w:rsid w:val="00F80CE3"/>
    <w:rsid w:val="00F826F8"/>
    <w:rsid w:val="00F82909"/>
    <w:rsid w:val="00F8318A"/>
    <w:rsid w:val="00F838AC"/>
    <w:rsid w:val="00F86054"/>
    <w:rsid w:val="00F87675"/>
    <w:rsid w:val="00F92240"/>
    <w:rsid w:val="00F94B34"/>
    <w:rsid w:val="00FA1DCF"/>
    <w:rsid w:val="00FA5984"/>
    <w:rsid w:val="00FA5A2D"/>
    <w:rsid w:val="00FA7068"/>
    <w:rsid w:val="00FB00A7"/>
    <w:rsid w:val="00FB1658"/>
    <w:rsid w:val="00FB236D"/>
    <w:rsid w:val="00FB24A3"/>
    <w:rsid w:val="00FB3316"/>
    <w:rsid w:val="00FB36D2"/>
    <w:rsid w:val="00FB56E7"/>
    <w:rsid w:val="00FB7709"/>
    <w:rsid w:val="00FC2789"/>
    <w:rsid w:val="00FC3C46"/>
    <w:rsid w:val="00FC4011"/>
    <w:rsid w:val="00FC4A99"/>
    <w:rsid w:val="00FD04D8"/>
    <w:rsid w:val="00FD1DF6"/>
    <w:rsid w:val="00FD2ECB"/>
    <w:rsid w:val="00FD3A4F"/>
    <w:rsid w:val="00FD4FF4"/>
    <w:rsid w:val="00FD5C5C"/>
    <w:rsid w:val="00FD7F9E"/>
    <w:rsid w:val="00FE48EE"/>
    <w:rsid w:val="00FE5276"/>
    <w:rsid w:val="00FE5316"/>
    <w:rsid w:val="00FE60C1"/>
    <w:rsid w:val="00FE6B7C"/>
    <w:rsid w:val="00FE6BAC"/>
    <w:rsid w:val="00FE7545"/>
    <w:rsid w:val="00FE7691"/>
    <w:rsid w:val="00FF010A"/>
    <w:rsid w:val="00FF0563"/>
    <w:rsid w:val="00FF5C39"/>
    <w:rsid w:val="00FF6319"/>
    <w:rsid w:val="00FF7577"/>
    <w:rsid w:val="616F08F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MS Mincho"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unhideWhenUsed="0" w:uiPriority="0" w:name="toc 6"/>
    <w:lsdException w:qFormat="1" w:unhideWhenUsed="0" w:uiPriority="0" w:name="toc 7"/>
    <w:lsdException w:unhideWhenUsed="0" w:uiPriority="39" w:semiHidden="0" w:name="toc 8"/>
    <w:lsdException w:unhideWhenUsed="0" w:uiPriority="0" w:name="toc 9"/>
    <w:lsdException w:unhideWhenUsed="0" w:uiPriority="0" w:semiHidden="0" w:name="Normal Indent"/>
    <w:lsdException w:unhideWhenUsed="0" w:uiPriority="0" w:name="footnote text"/>
    <w:lsdException w:qFormat="1" w:unhideWhenUsed="0" w:uiPriority="0" w:name="annotation text"/>
    <w:lsdException w:unhideWhenUsed="0" w:uiPriority="0" w:semiHidden="0" w:name="header"/>
    <w:lsdException w:qFormat="1" w:unhideWhenUsed="0" w:uiPriority="0" w:semiHidden="0" w:name="footer"/>
    <w:lsdException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0" w:name="HTML Typewriter"/>
    <w:lsdException w:unhideWhenUsed="0" w:uiPriority="0" w:semiHidden="0" w:name="HTML Variable"/>
    <w:lsdException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MS Mincho"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MS Mincho" w:cs="Times New Roman"/>
      <w:sz w:val="36"/>
      <w:lang w:val="en-GB" w:eastAsia="en-US" w:bidi="ar-SA"/>
    </w:rPr>
  </w:style>
  <w:style w:type="paragraph" w:styleId="3">
    <w:name w:val="heading 2"/>
    <w:basedOn w:val="2"/>
    <w:next w:val="1"/>
    <w:link w:val="110"/>
    <w:qFormat/>
    <w:uiPriority w:val="0"/>
    <w:pPr>
      <w:pBdr>
        <w:top w:val="none" w:color="auto" w:sz="0" w:space="0"/>
      </w:pBdr>
      <w:spacing w:before="180"/>
      <w:outlineLvl w:val="1"/>
    </w:pPr>
    <w:rPr>
      <w:sz w:val="32"/>
    </w:rPr>
  </w:style>
  <w:style w:type="paragraph" w:styleId="4">
    <w:name w:val="heading 3"/>
    <w:basedOn w:val="3"/>
    <w:next w:val="1"/>
    <w:link w:val="107"/>
    <w:qFormat/>
    <w:uiPriority w:val="0"/>
    <w:pPr>
      <w:spacing w:before="120"/>
      <w:outlineLvl w:val="2"/>
    </w:pPr>
    <w:rPr>
      <w:sz w:val="28"/>
    </w:rPr>
  </w:style>
  <w:style w:type="paragraph" w:styleId="5">
    <w:name w:val="heading 4"/>
    <w:basedOn w:val="4"/>
    <w:next w:val="1"/>
    <w:link w:val="11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8">
    <w:name w:val="Default Paragraph Font"/>
    <w:semiHidden/>
    <w:unhideWhenUsed/>
    <w:uiPriority w:val="1"/>
  </w:style>
  <w:style w:type="table" w:default="1" w:styleId="46">
    <w:name w:val="Normal Table"/>
    <w:semiHidden/>
    <w:unhideWhenUsed/>
    <w:uiPriority w:val="99"/>
    <w:tblPr>
      <w:tblLayout w:type="fixed"/>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uiPriority w:val="0"/>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uiPriority w:val="39"/>
    <w:pPr>
      <w:keepNext w:val="0"/>
      <w:tabs>
        <w:tab w:val="right" w:leader="dot" w:pos="9639"/>
      </w:tabs>
      <w:spacing w:before="0"/>
      <w:ind w:left="851" w:hanging="851"/>
    </w:pPr>
    <w:rPr>
      <w:sz w:val="20"/>
    </w:rPr>
  </w:style>
  <w:style w:type="paragraph" w:styleId="21">
    <w:name w:val="toc 1"/>
    <w:next w:val="1"/>
    <w:uiPriority w:val="39"/>
    <w:pPr>
      <w:keepNext/>
      <w:keepLines/>
      <w:widowControl w:val="0"/>
      <w:tabs>
        <w:tab w:val="right" w:leader="dot" w:pos="9639"/>
      </w:tabs>
      <w:spacing w:before="120"/>
      <w:ind w:left="567" w:right="425" w:hanging="567"/>
    </w:pPr>
    <w:rPr>
      <w:rFonts w:ascii="Times New Roman" w:hAnsi="Times New Roman" w:eastAsia="MS Mincho"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qFormat/>
    <w:uiPriority w:val="0"/>
    <w:pPr>
      <w:spacing w:before="120" w:after="120"/>
    </w:pPr>
    <w:rPr>
      <w:b/>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16"/>
    <w:semiHidden/>
    <w:qFormat/>
    <w:uiPriority w:val="0"/>
  </w:style>
  <w:style w:type="paragraph" w:styleId="31">
    <w:name w:val="Body Text"/>
    <w:basedOn w:val="1"/>
    <w:qFormat/>
    <w:uiPriority w:val="0"/>
  </w:style>
  <w:style w:type="paragraph" w:styleId="32">
    <w:name w:val="Plain Text"/>
    <w:basedOn w:val="1"/>
    <w:qFormat/>
    <w:uiPriority w:val="0"/>
    <w:rPr>
      <w:rFonts w:ascii="Courier New" w:hAnsi="Courier New"/>
      <w:lang w:val="nb-NO"/>
    </w:rPr>
  </w:style>
  <w:style w:type="paragraph" w:styleId="33">
    <w:name w:val="List Bullet 5"/>
    <w:basedOn w:val="24"/>
    <w:qFormat/>
    <w:uiPriority w:val="0"/>
    <w:pPr>
      <w:ind w:left="1702"/>
    </w:pPr>
  </w:style>
  <w:style w:type="paragraph" w:styleId="34">
    <w:name w:val="toc 8"/>
    <w:basedOn w:val="21"/>
    <w:next w:val="1"/>
    <w:uiPriority w:val="39"/>
    <w:pPr>
      <w:spacing w:before="180"/>
      <w:ind w:left="2693" w:hanging="2693"/>
    </w:pPr>
    <w:rPr>
      <w:b/>
    </w:rPr>
  </w:style>
  <w:style w:type="paragraph" w:styleId="35">
    <w:name w:val="Balloon Text"/>
    <w:basedOn w:val="1"/>
    <w:semiHidden/>
    <w:uiPriority w:val="0"/>
    <w:rPr>
      <w:rFonts w:ascii="Tahoma" w:hAnsi="Tahoma" w:cs="Tahoma"/>
      <w:sz w:val="16"/>
      <w:szCs w:val="16"/>
    </w:rPr>
  </w:style>
  <w:style w:type="paragraph" w:styleId="36">
    <w:name w:val="footer"/>
    <w:basedOn w:val="37"/>
    <w:link w:val="113"/>
    <w:qFormat/>
    <w:uiPriority w:val="0"/>
    <w:pPr>
      <w:jc w:val="center"/>
    </w:pPr>
    <w:rPr>
      <w:i/>
    </w:rPr>
  </w:style>
  <w:style w:type="paragraph" w:styleId="37">
    <w:name w:val="header"/>
    <w:uiPriority w:val="0"/>
    <w:pPr>
      <w:widowControl w:val="0"/>
    </w:pPr>
    <w:rPr>
      <w:rFonts w:ascii="Arial" w:hAnsi="Arial" w:eastAsia="MS Mincho" w:cs="Times New Roman"/>
      <w:b/>
      <w:sz w:val="18"/>
      <w:lang w:val="en-GB" w:eastAsia="en-US" w:bidi="ar-SA"/>
    </w:rPr>
  </w:style>
  <w:style w:type="paragraph" w:styleId="38">
    <w:name w:val="index heading"/>
    <w:basedOn w:val="1"/>
    <w:next w:val="1"/>
    <w:semiHidden/>
    <w:uiPriority w:val="0"/>
    <w:pPr>
      <w:pBdr>
        <w:top w:val="single" w:color="auto" w:sz="12" w:space="0"/>
      </w:pBdr>
      <w:spacing w:before="360" w:after="240"/>
    </w:pPr>
    <w:rPr>
      <w:b/>
      <w:i/>
      <w:sz w:val="26"/>
    </w:rPr>
  </w:style>
  <w:style w:type="paragraph" w:styleId="39">
    <w:name w:val="footnote text"/>
    <w:basedOn w:val="1"/>
    <w:semiHidden/>
    <w:uiPriority w:val="0"/>
    <w:pPr>
      <w:keepLines/>
      <w:spacing w:after="0"/>
      <w:ind w:left="454" w:hanging="454"/>
    </w:pPr>
    <w:rPr>
      <w:sz w:val="16"/>
    </w:rPr>
  </w:style>
  <w:style w:type="paragraph" w:styleId="40">
    <w:name w:val="List 5"/>
    <w:basedOn w:val="41"/>
    <w:uiPriority w:val="0"/>
    <w:pPr>
      <w:ind w:left="1702"/>
    </w:pPr>
  </w:style>
  <w:style w:type="paragraph" w:styleId="41">
    <w:name w:val="List 4"/>
    <w:basedOn w:val="12"/>
    <w:qFormat/>
    <w:uiPriority w:val="0"/>
    <w:pPr>
      <w:ind w:left="1418"/>
    </w:pPr>
  </w:style>
  <w:style w:type="paragraph" w:styleId="42">
    <w:name w:val="toc 9"/>
    <w:basedOn w:val="34"/>
    <w:next w:val="1"/>
    <w:semiHidden/>
    <w:uiPriority w:val="0"/>
    <w:pPr>
      <w:ind w:left="1418" w:hanging="1418"/>
    </w:pPr>
  </w:style>
  <w:style w:type="paragraph" w:styleId="43">
    <w:name w:val="index 1"/>
    <w:basedOn w:val="1"/>
    <w:next w:val="1"/>
    <w:semiHidden/>
    <w:qFormat/>
    <w:uiPriority w:val="0"/>
    <w:pPr>
      <w:keepLines/>
      <w:spacing w:after="0"/>
    </w:pPr>
  </w:style>
  <w:style w:type="paragraph" w:styleId="44">
    <w:name w:val="index 2"/>
    <w:basedOn w:val="43"/>
    <w:next w:val="1"/>
    <w:semiHidden/>
    <w:qFormat/>
    <w:uiPriority w:val="0"/>
    <w:pPr>
      <w:ind w:left="284"/>
    </w:pPr>
  </w:style>
  <w:style w:type="paragraph" w:styleId="45">
    <w:name w:val="annotation subject"/>
    <w:basedOn w:val="30"/>
    <w:next w:val="30"/>
    <w:semiHidden/>
    <w:uiPriority w:val="0"/>
    <w:rPr>
      <w:b/>
      <w:bCs/>
    </w:rPr>
  </w:style>
  <w:style w:type="table" w:styleId="47">
    <w:name w:val="Table Grid"/>
    <w:basedOn w:val="46"/>
    <w:uiPriority w:val="0"/>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49">
    <w:name w:val="FollowedHyperlink"/>
    <w:uiPriority w:val="0"/>
    <w:rPr>
      <w:color w:val="800080"/>
      <w:u w:val="single"/>
    </w:rPr>
  </w:style>
  <w:style w:type="character" w:styleId="50">
    <w:name w:val="Hyperlink"/>
    <w:qFormat/>
    <w:uiPriority w:val="0"/>
    <w:rPr>
      <w:color w:val="0000FF"/>
      <w:u w:val="single"/>
    </w:rPr>
  </w:style>
  <w:style w:type="character" w:styleId="51">
    <w:name w:val="footnote reference"/>
    <w:semiHidden/>
    <w:qFormat/>
    <w:uiPriority w:val="0"/>
    <w:rPr>
      <w:b/>
      <w:position w:val="6"/>
      <w:sz w:val="16"/>
    </w:rPr>
  </w:style>
  <w:style w:type="paragraph" w:customStyle="1" w:styleId="52">
    <w:name w:val="EQ"/>
    <w:basedOn w:val="1"/>
    <w:next w:val="1"/>
    <w:uiPriority w:val="0"/>
    <w:pPr>
      <w:keepLines/>
      <w:tabs>
        <w:tab w:val="center" w:pos="4536"/>
        <w:tab w:val="right" w:pos="9072"/>
      </w:tabs>
    </w:pPr>
  </w:style>
  <w:style w:type="character" w:customStyle="1" w:styleId="53">
    <w:name w:val="ZGSM"/>
    <w:uiPriority w:val="0"/>
  </w:style>
  <w:style w:type="paragraph" w:customStyle="1" w:styleId="54">
    <w:name w:val="ZD"/>
    <w:qFormat/>
    <w:uiPriority w:val="0"/>
    <w:pPr>
      <w:framePr w:wrap="notBeside" w:vAnchor="page" w:hAnchor="margin" w:y="15764"/>
      <w:widowControl w:val="0"/>
    </w:pPr>
    <w:rPr>
      <w:rFonts w:ascii="Arial" w:hAnsi="Arial" w:eastAsia="MS Mincho" w:cs="Times New Roman"/>
      <w:sz w:val="32"/>
      <w:lang w:val="en-GB" w:eastAsia="en-US" w:bidi="ar-SA"/>
    </w:rPr>
  </w:style>
  <w:style w:type="paragraph" w:customStyle="1" w:styleId="55">
    <w:name w:val="TT"/>
    <w:basedOn w:val="2"/>
    <w:next w:val="1"/>
    <w:qFormat/>
    <w:uiPriority w:val="0"/>
    <w:pPr>
      <w:outlineLvl w:val="9"/>
    </w:pPr>
  </w:style>
  <w:style w:type="paragraph" w:customStyle="1" w:styleId="56">
    <w:name w:val="NF"/>
    <w:basedOn w:val="57"/>
    <w:uiPriority w:val="0"/>
    <w:pPr>
      <w:keepNext/>
      <w:spacing w:after="0"/>
    </w:pPr>
    <w:rPr>
      <w:rFonts w:ascii="Arial" w:hAnsi="Arial"/>
      <w:sz w:val="18"/>
    </w:rPr>
  </w:style>
  <w:style w:type="paragraph" w:customStyle="1" w:styleId="57">
    <w:name w:val="NO"/>
    <w:basedOn w:val="1"/>
    <w:link w:val="102"/>
    <w:qFormat/>
    <w:uiPriority w:val="0"/>
    <w:pPr>
      <w:keepLines/>
      <w:ind w:left="1135" w:hanging="851"/>
    </w:pPr>
  </w:style>
  <w:style w:type="paragraph" w:customStyle="1" w:styleId="58">
    <w:name w:val="PL"/>
    <w:link w:val="112"/>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MS Mincho" w:cs="Times New Roman"/>
      <w:sz w:val="16"/>
      <w:lang w:val="en-GB" w:eastAsia="en-US" w:bidi="ar-SA"/>
    </w:rPr>
  </w:style>
  <w:style w:type="paragraph" w:customStyle="1" w:styleId="59">
    <w:name w:val="TAR"/>
    <w:basedOn w:val="60"/>
    <w:qFormat/>
    <w:uiPriority w:val="0"/>
    <w:pPr>
      <w:jc w:val="right"/>
    </w:pPr>
  </w:style>
  <w:style w:type="paragraph" w:customStyle="1" w:styleId="60">
    <w:name w:val="TAL"/>
    <w:basedOn w:val="1"/>
    <w:link w:val="105"/>
    <w:qFormat/>
    <w:uiPriority w:val="0"/>
    <w:pPr>
      <w:keepNext/>
      <w:keepLines/>
      <w:spacing w:after="0"/>
    </w:pPr>
    <w:rPr>
      <w:rFonts w:ascii="Arial" w:hAnsi="Arial"/>
      <w:sz w:val="18"/>
    </w:rPr>
  </w:style>
  <w:style w:type="paragraph" w:customStyle="1" w:styleId="61">
    <w:name w:val="TAH"/>
    <w:basedOn w:val="62"/>
    <w:uiPriority w:val="0"/>
    <w:rPr>
      <w:b/>
    </w:rPr>
  </w:style>
  <w:style w:type="paragraph" w:customStyle="1" w:styleId="62">
    <w:name w:val="TAC"/>
    <w:basedOn w:val="60"/>
    <w:link w:val="114"/>
    <w:uiPriority w:val="0"/>
    <w:pPr>
      <w:jc w:val="center"/>
    </w:pPr>
    <w:rPr>
      <w:lang w:val="zh-CN"/>
    </w:rPr>
  </w:style>
  <w:style w:type="paragraph" w:customStyle="1" w:styleId="63">
    <w:name w:val="LD"/>
    <w:uiPriority w:val="0"/>
    <w:pPr>
      <w:keepNext/>
      <w:keepLines/>
      <w:spacing w:line="180" w:lineRule="exact"/>
    </w:pPr>
    <w:rPr>
      <w:rFonts w:ascii="Courier New" w:hAnsi="Courier New" w:eastAsia="MS Mincho" w:cs="Times New Roman"/>
      <w:lang w:val="en-GB" w:eastAsia="en-US" w:bidi="ar-SA"/>
    </w:rPr>
  </w:style>
  <w:style w:type="paragraph" w:customStyle="1" w:styleId="64">
    <w:name w:val="EX"/>
    <w:basedOn w:val="1"/>
    <w:link w:val="106"/>
    <w:qFormat/>
    <w:uiPriority w:val="0"/>
    <w:pPr>
      <w:keepLines/>
      <w:ind w:left="1702" w:hanging="1418"/>
    </w:pPr>
  </w:style>
  <w:style w:type="paragraph" w:customStyle="1" w:styleId="65">
    <w:name w:val="FP"/>
    <w:basedOn w:val="1"/>
    <w:qFormat/>
    <w:uiPriority w:val="0"/>
    <w:pPr>
      <w:spacing w:after="0"/>
    </w:pPr>
  </w:style>
  <w:style w:type="paragraph" w:customStyle="1" w:styleId="66">
    <w:name w:val="NW"/>
    <w:basedOn w:val="57"/>
    <w:qFormat/>
    <w:uiPriority w:val="0"/>
    <w:pPr>
      <w:spacing w:after="0"/>
    </w:pPr>
  </w:style>
  <w:style w:type="paragraph" w:customStyle="1" w:styleId="67">
    <w:name w:val="EW"/>
    <w:basedOn w:val="64"/>
    <w:qFormat/>
    <w:uiPriority w:val="0"/>
    <w:pPr>
      <w:spacing w:after="0"/>
    </w:pPr>
  </w:style>
  <w:style w:type="paragraph" w:customStyle="1" w:styleId="68">
    <w:name w:val="B1"/>
    <w:basedOn w:val="14"/>
    <w:link w:val="100"/>
    <w:qFormat/>
    <w:uiPriority w:val="0"/>
  </w:style>
  <w:style w:type="paragraph" w:customStyle="1" w:styleId="69">
    <w:name w:val="Editor's Note"/>
    <w:basedOn w:val="57"/>
    <w:link w:val="101"/>
    <w:qFormat/>
    <w:uiPriority w:val="0"/>
    <w:rPr>
      <w:color w:val="FF0000"/>
    </w:rPr>
  </w:style>
  <w:style w:type="paragraph" w:customStyle="1" w:styleId="70">
    <w:name w:val="TH"/>
    <w:basedOn w:val="1"/>
    <w:link w:val="108"/>
    <w:qFormat/>
    <w:uiPriority w:val="0"/>
    <w:pPr>
      <w:keepNext/>
      <w:keepLines/>
      <w:spacing w:before="60"/>
      <w:jc w:val="center"/>
    </w:pPr>
    <w:rPr>
      <w:rFonts w:ascii="Arial" w:hAnsi="Arial"/>
      <w:b/>
    </w:rPr>
  </w:style>
  <w:style w:type="paragraph" w:customStyle="1" w:styleId="71">
    <w:name w:val="ZA"/>
    <w:qFormat/>
    <w:uiPriority w:val="0"/>
    <w:pPr>
      <w:framePr w:w="10206" w:h="794" w:hRule="exact" w:wrap="notBeside" w:vAnchor="page" w:hAnchor="margin" w:y="1135"/>
      <w:widowControl w:val="0"/>
      <w:pBdr>
        <w:bottom w:val="single" w:color="auto" w:sz="12" w:space="1"/>
      </w:pBdr>
      <w:jc w:val="right"/>
    </w:pPr>
    <w:rPr>
      <w:rFonts w:ascii="Arial" w:hAnsi="Arial" w:eastAsia="MS Mincho" w:cs="Times New Roman"/>
      <w:sz w:val="40"/>
      <w:lang w:val="en-GB" w:eastAsia="en-US" w:bidi="ar-SA"/>
    </w:rPr>
  </w:style>
  <w:style w:type="paragraph" w:customStyle="1" w:styleId="72">
    <w:name w:val="ZB"/>
    <w:qFormat/>
    <w:uiPriority w:val="0"/>
    <w:pPr>
      <w:framePr w:w="10206" w:h="284" w:hRule="exact" w:wrap="notBeside" w:vAnchor="page" w:hAnchor="margin" w:y="1986"/>
      <w:widowControl w:val="0"/>
      <w:ind w:right="28"/>
      <w:jc w:val="right"/>
    </w:pPr>
    <w:rPr>
      <w:rFonts w:ascii="Arial" w:hAnsi="Arial" w:eastAsia="MS Mincho" w:cs="Times New Roman"/>
      <w:i/>
      <w:lang w:val="en-GB" w:eastAsia="en-US" w:bidi="ar-SA"/>
    </w:rPr>
  </w:style>
  <w:style w:type="paragraph" w:customStyle="1" w:styleId="73">
    <w:name w:val="ZT"/>
    <w:qFormat/>
    <w:uiPriority w:val="0"/>
    <w:pPr>
      <w:framePr w:wrap="notBeside" w:vAnchor="margin" w:hAnchor="margin" w:yAlign="center"/>
      <w:widowControl w:val="0"/>
      <w:spacing w:line="240" w:lineRule="atLeast"/>
      <w:jc w:val="right"/>
    </w:pPr>
    <w:rPr>
      <w:rFonts w:ascii="Arial" w:hAnsi="Arial" w:eastAsia="MS Mincho" w:cs="Times New Roman"/>
      <w:b/>
      <w:sz w:val="34"/>
      <w:lang w:val="en-GB" w:eastAsia="en-US" w:bidi="ar-SA"/>
    </w:rPr>
  </w:style>
  <w:style w:type="paragraph" w:customStyle="1" w:styleId="74">
    <w:name w:val="ZU"/>
    <w:qFormat/>
    <w:uiPriority w:val="0"/>
    <w:pPr>
      <w:framePr w:w="10206" w:wrap="notBeside" w:vAnchor="page" w:hAnchor="margin" w:y="6238"/>
      <w:widowControl w:val="0"/>
      <w:pBdr>
        <w:top w:val="single" w:color="auto" w:sz="12" w:space="1"/>
      </w:pBdr>
      <w:jc w:val="right"/>
    </w:pPr>
    <w:rPr>
      <w:rFonts w:ascii="Arial" w:hAnsi="Arial" w:eastAsia="MS Mincho" w:cs="Times New Roman"/>
      <w:lang w:val="en-GB" w:eastAsia="en-US" w:bidi="ar-SA"/>
    </w:rPr>
  </w:style>
  <w:style w:type="paragraph" w:customStyle="1" w:styleId="75">
    <w:name w:val="TAN"/>
    <w:basedOn w:val="60"/>
    <w:qFormat/>
    <w:uiPriority w:val="0"/>
    <w:pPr>
      <w:ind w:left="851" w:hanging="851"/>
    </w:pPr>
  </w:style>
  <w:style w:type="paragraph" w:customStyle="1" w:styleId="76">
    <w:name w:val="ZH"/>
    <w:qFormat/>
    <w:uiPriority w:val="0"/>
    <w:pPr>
      <w:framePr w:wrap="notBeside" w:vAnchor="page" w:hAnchor="margin" w:xAlign="center" w:y="6805"/>
      <w:widowControl w:val="0"/>
    </w:pPr>
    <w:rPr>
      <w:rFonts w:ascii="Arial" w:hAnsi="Arial" w:eastAsia="MS Mincho" w:cs="Times New Roman"/>
      <w:lang w:val="en-GB" w:eastAsia="en-US" w:bidi="ar-SA"/>
    </w:rPr>
  </w:style>
  <w:style w:type="paragraph" w:customStyle="1" w:styleId="77">
    <w:name w:val="TF"/>
    <w:basedOn w:val="70"/>
    <w:qFormat/>
    <w:uiPriority w:val="0"/>
    <w:pPr>
      <w:keepNext w:val="0"/>
      <w:spacing w:before="0" w:after="240"/>
    </w:pPr>
  </w:style>
  <w:style w:type="paragraph" w:customStyle="1" w:styleId="78">
    <w:name w:val="ZG"/>
    <w:qFormat/>
    <w:uiPriority w:val="0"/>
    <w:pPr>
      <w:framePr w:wrap="notBeside" w:vAnchor="page" w:hAnchor="margin" w:xAlign="right" w:y="6805"/>
      <w:widowControl w:val="0"/>
      <w:jc w:val="right"/>
    </w:pPr>
    <w:rPr>
      <w:rFonts w:ascii="Arial" w:hAnsi="Arial" w:eastAsia="MS Mincho" w:cs="Times New Roman"/>
      <w:lang w:val="en-GB" w:eastAsia="en-US" w:bidi="ar-SA"/>
    </w:rPr>
  </w:style>
  <w:style w:type="paragraph" w:customStyle="1" w:styleId="79">
    <w:name w:val="B2"/>
    <w:basedOn w:val="13"/>
    <w:link w:val="99"/>
    <w:qFormat/>
    <w:uiPriority w:val="0"/>
  </w:style>
  <w:style w:type="paragraph" w:customStyle="1" w:styleId="80">
    <w:name w:val="B3"/>
    <w:basedOn w:val="12"/>
    <w:link w:val="103"/>
    <w:qFormat/>
    <w:uiPriority w:val="0"/>
  </w:style>
  <w:style w:type="paragraph" w:customStyle="1" w:styleId="81">
    <w:name w:val="B4"/>
    <w:basedOn w:val="41"/>
    <w:uiPriority w:val="0"/>
  </w:style>
  <w:style w:type="paragraph" w:customStyle="1" w:styleId="82">
    <w:name w:val="B5"/>
    <w:basedOn w:val="40"/>
    <w:uiPriority w:val="0"/>
  </w:style>
  <w:style w:type="paragraph" w:customStyle="1" w:styleId="83">
    <w:name w:val="ZTD"/>
    <w:basedOn w:val="72"/>
    <w:uiPriority w:val="0"/>
    <w:pPr>
      <w:framePr w:hRule="auto" w:y="852"/>
    </w:pPr>
    <w:rPr>
      <w:i w:val="0"/>
      <w:sz w:val="40"/>
    </w:rPr>
  </w:style>
  <w:style w:type="paragraph" w:customStyle="1" w:styleId="84">
    <w:name w:val="ZV"/>
    <w:basedOn w:val="74"/>
    <w:uiPriority w:val="0"/>
    <w:pPr>
      <w:framePr w:y="16161"/>
    </w:pPr>
  </w:style>
  <w:style w:type="paragraph" w:customStyle="1" w:styleId="85">
    <w:name w:val="INDENT1"/>
    <w:basedOn w:val="1"/>
    <w:uiPriority w:val="0"/>
    <w:pPr>
      <w:ind w:left="851"/>
    </w:pPr>
  </w:style>
  <w:style w:type="paragraph" w:customStyle="1" w:styleId="86">
    <w:name w:val="INDENT2"/>
    <w:basedOn w:val="1"/>
    <w:uiPriority w:val="0"/>
    <w:pPr>
      <w:ind w:left="1135" w:hanging="284"/>
    </w:pPr>
  </w:style>
  <w:style w:type="paragraph" w:customStyle="1" w:styleId="87">
    <w:name w:val="INDENT3"/>
    <w:basedOn w:val="1"/>
    <w:uiPriority w:val="0"/>
    <w:pPr>
      <w:ind w:left="1701" w:hanging="567"/>
    </w:pPr>
  </w:style>
  <w:style w:type="paragraph" w:customStyle="1" w:styleId="88">
    <w:name w:val="Figure_Title"/>
    <w:basedOn w:val="1"/>
    <w:next w:val="1"/>
    <w:uiPriority w:val="0"/>
    <w:pPr>
      <w:keepLines/>
      <w:tabs>
        <w:tab w:val="left" w:pos="794"/>
        <w:tab w:val="left" w:pos="1191"/>
        <w:tab w:val="left" w:pos="1588"/>
        <w:tab w:val="left" w:pos="1985"/>
      </w:tabs>
      <w:spacing w:before="120" w:after="480"/>
      <w:jc w:val="center"/>
    </w:pPr>
    <w:rPr>
      <w:b/>
      <w:sz w:val="24"/>
    </w:rPr>
  </w:style>
  <w:style w:type="paragraph" w:customStyle="1" w:styleId="89">
    <w:name w:val="Rec_CCITT_#"/>
    <w:basedOn w:val="1"/>
    <w:uiPriority w:val="0"/>
    <w:pPr>
      <w:keepNext/>
      <w:keepLines/>
    </w:pPr>
    <w:rPr>
      <w:b/>
    </w:rPr>
  </w:style>
  <w:style w:type="paragraph" w:customStyle="1" w:styleId="90">
    <w:name w:val="enumlev2"/>
    <w:basedOn w:val="1"/>
    <w:uiPriority w:val="0"/>
    <w:pPr>
      <w:tabs>
        <w:tab w:val="left" w:pos="794"/>
        <w:tab w:val="left" w:pos="1191"/>
        <w:tab w:val="left" w:pos="1588"/>
        <w:tab w:val="left" w:pos="1985"/>
      </w:tabs>
      <w:spacing w:before="86"/>
      <w:ind w:left="1588" w:hanging="397"/>
      <w:jc w:val="both"/>
    </w:pPr>
    <w:rPr>
      <w:lang w:val="en-US"/>
    </w:rPr>
  </w:style>
  <w:style w:type="paragraph" w:customStyle="1" w:styleId="91">
    <w:name w:val="Couv Rec Title"/>
    <w:basedOn w:val="1"/>
    <w:uiPriority w:val="0"/>
    <w:pPr>
      <w:keepNext/>
      <w:keepLines/>
      <w:spacing w:before="240"/>
      <w:ind w:left="1418"/>
    </w:pPr>
    <w:rPr>
      <w:rFonts w:ascii="Arial" w:hAnsi="Arial"/>
      <w:b/>
      <w:sz w:val="36"/>
      <w:lang w:val="en-US"/>
    </w:rPr>
  </w:style>
  <w:style w:type="paragraph" w:customStyle="1" w:styleId="92">
    <w:name w:val="TAJ"/>
    <w:basedOn w:val="70"/>
    <w:qFormat/>
    <w:uiPriority w:val="0"/>
  </w:style>
  <w:style w:type="character" w:customStyle="1" w:styleId="93">
    <w:name w:val="B1 Zchn"/>
    <w:qFormat/>
    <w:uiPriority w:val="0"/>
    <w:rPr>
      <w:rFonts w:ascii="Times New Roman" w:hAnsi="Times New Roman"/>
      <w:lang w:val="en-GB" w:eastAsia="en-US"/>
    </w:rPr>
  </w:style>
  <w:style w:type="paragraph" w:customStyle="1" w:styleId="94">
    <w:name w:val="Guidance"/>
    <w:basedOn w:val="1"/>
    <w:uiPriority w:val="0"/>
    <w:rPr>
      <w:i/>
      <w:color w:val="0000FF"/>
    </w:rPr>
  </w:style>
  <w:style w:type="paragraph" w:customStyle="1" w:styleId="95">
    <w:name w:val="CR Cover Page"/>
    <w:qFormat/>
    <w:uiPriority w:val="0"/>
    <w:pPr>
      <w:spacing w:after="120"/>
    </w:pPr>
    <w:rPr>
      <w:rFonts w:ascii="Arial" w:hAnsi="Arial" w:eastAsia="Times New Roman" w:cs="Times New Roman"/>
      <w:lang w:val="en-GB" w:eastAsia="en-US" w:bidi="ar-SA"/>
    </w:rPr>
  </w:style>
  <w:style w:type="paragraph" w:customStyle="1" w:styleId="96">
    <w:name w:val="吹き出し1"/>
    <w:basedOn w:val="1"/>
    <w:semiHidden/>
    <w:uiPriority w:val="0"/>
    <w:rPr>
      <w:rFonts w:ascii="Tahoma" w:hAnsi="Tahoma" w:cs="MS Mincho"/>
      <w:sz w:val="16"/>
      <w:szCs w:val="16"/>
    </w:rPr>
  </w:style>
  <w:style w:type="paragraph" w:customStyle="1" w:styleId="97">
    <w:name w:val="bullet"/>
    <w:basedOn w:val="1"/>
    <w:uiPriority w:val="0"/>
    <w:pPr>
      <w:numPr>
        <w:ilvl w:val="0"/>
        <w:numId w:val="1"/>
      </w:numPr>
    </w:pPr>
  </w:style>
  <w:style w:type="character" w:customStyle="1" w:styleId="98">
    <w:name w:val="NO Char"/>
    <w:qFormat/>
    <w:uiPriority w:val="0"/>
    <w:rPr>
      <w:rFonts w:eastAsia="MS Mincho"/>
      <w:lang w:val="en-GB" w:eastAsia="en-US" w:bidi="ar-SA"/>
    </w:rPr>
  </w:style>
  <w:style w:type="character" w:customStyle="1" w:styleId="99">
    <w:name w:val="B2 Char"/>
    <w:link w:val="79"/>
    <w:qFormat/>
    <w:uiPriority w:val="0"/>
    <w:rPr>
      <w:rFonts w:eastAsia="MS Mincho"/>
      <w:lang w:val="en-GB" w:eastAsia="en-US" w:bidi="ar-SA"/>
    </w:rPr>
  </w:style>
  <w:style w:type="character" w:customStyle="1" w:styleId="100">
    <w:name w:val="B1 Char"/>
    <w:link w:val="68"/>
    <w:uiPriority w:val="0"/>
    <w:rPr>
      <w:rFonts w:eastAsia="MS Mincho"/>
      <w:lang w:val="en-GB" w:eastAsia="en-US" w:bidi="ar-SA"/>
    </w:rPr>
  </w:style>
  <w:style w:type="character" w:customStyle="1" w:styleId="101">
    <w:name w:val="Editor's Note Char"/>
    <w:link w:val="69"/>
    <w:uiPriority w:val="0"/>
    <w:rPr>
      <w:rFonts w:eastAsia="MS Mincho"/>
      <w:color w:val="FF0000"/>
      <w:lang w:val="en-GB" w:eastAsia="en-US" w:bidi="ar-SA"/>
    </w:rPr>
  </w:style>
  <w:style w:type="character" w:customStyle="1" w:styleId="102">
    <w:name w:val="NO Char1"/>
    <w:link w:val="57"/>
    <w:qFormat/>
    <w:uiPriority w:val="0"/>
    <w:rPr>
      <w:rFonts w:eastAsia="MS Mincho"/>
      <w:lang w:val="en-GB" w:eastAsia="en-US" w:bidi="ar-SA"/>
    </w:rPr>
  </w:style>
  <w:style w:type="character" w:customStyle="1" w:styleId="103">
    <w:name w:val="B3 Char"/>
    <w:link w:val="80"/>
    <w:uiPriority w:val="0"/>
    <w:rPr>
      <w:rFonts w:eastAsia="MS Mincho"/>
      <w:lang w:val="en-GB" w:eastAsia="en-US" w:bidi="ar-SA"/>
    </w:rPr>
  </w:style>
  <w:style w:type="character" w:customStyle="1" w:styleId="104">
    <w:name w:val="B1 Char1"/>
    <w:qFormat/>
    <w:uiPriority w:val="0"/>
    <w:rPr>
      <w:lang w:val="en-GB" w:eastAsia="en-US" w:bidi="ar-SA"/>
    </w:rPr>
  </w:style>
  <w:style w:type="character" w:customStyle="1" w:styleId="105">
    <w:name w:val="TAL Car"/>
    <w:link w:val="60"/>
    <w:qFormat/>
    <w:uiPriority w:val="0"/>
    <w:rPr>
      <w:rFonts w:ascii="Arial" w:hAnsi="Arial" w:eastAsia="MS Mincho"/>
      <w:sz w:val="18"/>
      <w:lang w:val="en-GB" w:eastAsia="en-US" w:bidi="ar-SA"/>
    </w:rPr>
  </w:style>
  <w:style w:type="character" w:customStyle="1" w:styleId="106">
    <w:name w:val="EX Char"/>
    <w:link w:val="64"/>
    <w:qFormat/>
    <w:locked/>
    <w:uiPriority w:val="0"/>
    <w:rPr>
      <w:lang w:val="en-GB" w:eastAsia="en-US"/>
    </w:rPr>
  </w:style>
  <w:style w:type="character" w:customStyle="1" w:styleId="107">
    <w:name w:val="Heading 3 Char"/>
    <w:link w:val="4"/>
    <w:uiPriority w:val="0"/>
    <w:rPr>
      <w:rFonts w:ascii="Arial" w:hAnsi="Arial"/>
      <w:sz w:val="28"/>
      <w:lang w:val="en-GB" w:eastAsia="en-US"/>
    </w:rPr>
  </w:style>
  <w:style w:type="character" w:customStyle="1" w:styleId="108">
    <w:name w:val="TH Char"/>
    <w:link w:val="70"/>
    <w:qFormat/>
    <w:uiPriority w:val="0"/>
    <w:rPr>
      <w:rFonts w:ascii="Arial" w:hAnsi="Arial"/>
      <w:b/>
      <w:lang w:val="en-GB" w:eastAsia="en-US"/>
    </w:rPr>
  </w:style>
  <w:style w:type="paragraph" w:customStyle="1" w:styleId="109">
    <w:name w:val="Revision"/>
    <w:hidden/>
    <w:semiHidden/>
    <w:uiPriority w:val="99"/>
    <w:rPr>
      <w:rFonts w:ascii="Times New Roman" w:hAnsi="Times New Roman" w:eastAsia="MS Mincho" w:cs="Times New Roman"/>
      <w:lang w:val="en-GB" w:eastAsia="en-US" w:bidi="ar-SA"/>
    </w:rPr>
  </w:style>
  <w:style w:type="character" w:customStyle="1" w:styleId="110">
    <w:name w:val="Heading 2 Char"/>
    <w:link w:val="3"/>
    <w:uiPriority w:val="0"/>
    <w:rPr>
      <w:rFonts w:ascii="Arial" w:hAnsi="Arial"/>
      <w:sz w:val="32"/>
      <w:lang w:val="en-GB" w:eastAsia="en-US"/>
    </w:rPr>
  </w:style>
  <w:style w:type="character" w:customStyle="1" w:styleId="111">
    <w:name w:val="Heading 4 Char"/>
    <w:link w:val="5"/>
    <w:uiPriority w:val="0"/>
    <w:rPr>
      <w:rFonts w:ascii="Arial" w:hAnsi="Arial"/>
      <w:sz w:val="24"/>
      <w:lang w:val="en-GB" w:eastAsia="en-US"/>
    </w:rPr>
  </w:style>
  <w:style w:type="character" w:customStyle="1" w:styleId="112">
    <w:name w:val="PL Char"/>
    <w:link w:val="58"/>
    <w:uiPriority w:val="0"/>
    <w:rPr>
      <w:rFonts w:ascii="Courier New" w:hAnsi="Courier New"/>
      <w:sz w:val="16"/>
      <w:lang w:eastAsia="en-US" w:bidi="ar-SA"/>
    </w:rPr>
  </w:style>
  <w:style w:type="character" w:customStyle="1" w:styleId="113">
    <w:name w:val="Footer Char"/>
    <w:basedOn w:val="48"/>
    <w:link w:val="36"/>
    <w:uiPriority w:val="0"/>
    <w:rPr>
      <w:rFonts w:ascii="Arial" w:hAnsi="Arial"/>
      <w:b/>
      <w:i/>
      <w:sz w:val="18"/>
      <w:lang w:eastAsia="en-US"/>
    </w:rPr>
  </w:style>
  <w:style w:type="character" w:customStyle="1" w:styleId="114">
    <w:name w:val="TAC Char"/>
    <w:link w:val="62"/>
    <w:locked/>
    <w:uiPriority w:val="0"/>
    <w:rPr>
      <w:rFonts w:ascii="Arial" w:hAnsi="Arial"/>
      <w:sz w:val="18"/>
      <w:lang w:eastAsia="en-US"/>
    </w:rPr>
  </w:style>
  <w:style w:type="character" w:customStyle="1" w:styleId="115">
    <w:name w:val="B2 Car"/>
    <w:uiPriority w:val="0"/>
    <w:rPr>
      <w:lang w:eastAsia="en-US"/>
    </w:rPr>
  </w:style>
  <w:style w:type="character" w:customStyle="1" w:styleId="116">
    <w:name w:val="Comment Text Char"/>
    <w:basedOn w:val="48"/>
    <w:link w:val="30"/>
    <w:semiHidden/>
    <w:uiPriority w:val="0"/>
    <w:rPr>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29334C-1D94-4F24-84E4-3A4723060EB9}">
  <ds:schemaRefs/>
</ds:datastoreItem>
</file>

<file path=docProps/app.xml><?xml version="1.0" encoding="utf-8"?>
<Properties xmlns="http://schemas.openxmlformats.org/officeDocument/2006/extended-properties" xmlns:vt="http://schemas.openxmlformats.org/officeDocument/2006/docPropsVTypes">
  <Template>3gpp_70.dot</Template>
  <Pages>58</Pages>
  <Words>25271</Words>
  <Characters>132929</Characters>
  <Lines>4028</Lines>
  <Paragraphs>3295</Paragraphs>
  <TotalTime>2</TotalTime>
  <ScaleCrop>false</ScaleCrop>
  <LinksUpToDate>false</LinksUpToDate>
  <CharactersWithSpaces>154905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2020-04-08T08:47:00Z</dcterms:created>
  <dc:creator>MCC Support</dc:creator>
  <cp:keywords>LTE, E-UTRAN, radio, terminal</cp:keywords>
  <cp:lastModifiedBy>ZTE - Boyuan</cp:lastModifiedBy>
  <cp:lastPrinted>2007-12-21T11:58:00Z</cp:lastPrinted>
  <dcterms:modified xsi:type="dcterms:W3CDTF">2020-06-10T01:12:45Z</dcterms:modified>
  <dc:subject>Evolved Universal Terrestrial Radio Access (E-UTRA); User Equipment (UE) procedures in idle mode (Release 16)</dc:subject>
  <dc:title>3GPP TS 36.304</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