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CE8DA" w14:textId="1255A706"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w:t>
      </w:r>
      <w:r w:rsidR="005C26B3">
        <w:t>10-e</w:t>
      </w:r>
      <w:r w:rsidRPr="00CE0424">
        <w:tab/>
      </w:r>
      <w:r w:rsidRPr="00CE0424">
        <w:rPr>
          <w:sz w:val="32"/>
          <w:szCs w:val="32"/>
        </w:rPr>
        <w:t xml:space="preserve">Tdoc </w:t>
      </w:r>
      <w:r w:rsidR="005B6D57" w:rsidRPr="005B6D57">
        <w:rPr>
          <w:sz w:val="32"/>
          <w:szCs w:val="32"/>
        </w:rPr>
        <w:t>R2-2005115</w:t>
      </w:r>
      <w:bookmarkStart w:id="0" w:name="_GoBack"/>
      <w:bookmarkEnd w:id="0"/>
    </w:p>
    <w:p w14:paraId="27F060A3" w14:textId="3C57F5D3" w:rsidR="00E90E49" w:rsidRPr="002A54BE" w:rsidRDefault="00DD24F8" w:rsidP="00357380">
      <w:pPr>
        <w:pStyle w:val="3GPPHeader"/>
      </w:pPr>
      <w:r w:rsidRPr="00DD24F8">
        <w:t xml:space="preserve">Electronic meeting, </w:t>
      </w:r>
      <w:r w:rsidR="005C26B3" w:rsidRPr="005C26B3">
        <w:t xml:space="preserve">1st - 12th </w:t>
      </w:r>
      <w:proofErr w:type="gramStart"/>
      <w:r w:rsidR="005C26B3" w:rsidRPr="005C26B3">
        <w:t>June,</w:t>
      </w:r>
      <w:proofErr w:type="gramEnd"/>
      <w:r w:rsidR="005C26B3" w:rsidRPr="005C26B3">
        <w:t xml:space="preserve"> 2020</w:t>
      </w:r>
    </w:p>
    <w:p w14:paraId="04E75EEC" w14:textId="77777777" w:rsidR="00FD133A" w:rsidRPr="002A54BE" w:rsidRDefault="00FD133A" w:rsidP="00357380">
      <w:pPr>
        <w:pStyle w:val="3GPPHeader"/>
      </w:pPr>
    </w:p>
    <w:p w14:paraId="4BB81A17" w14:textId="65AE0763" w:rsidR="00E90E49" w:rsidRPr="003059A8" w:rsidRDefault="00E90E49" w:rsidP="00311702">
      <w:pPr>
        <w:pStyle w:val="3GPPHeader"/>
        <w:rPr>
          <w:sz w:val="22"/>
          <w:szCs w:val="22"/>
          <w:lang w:val="sv-SE"/>
        </w:rPr>
      </w:pPr>
      <w:r w:rsidRPr="003059A8">
        <w:rPr>
          <w:sz w:val="22"/>
          <w:szCs w:val="22"/>
          <w:lang w:val="sv-SE"/>
        </w:rPr>
        <w:t>Agenda Item:</w:t>
      </w:r>
      <w:r w:rsidRPr="003059A8">
        <w:rPr>
          <w:sz w:val="22"/>
          <w:szCs w:val="22"/>
          <w:lang w:val="sv-SE"/>
        </w:rPr>
        <w:tab/>
      </w:r>
      <w:r w:rsidR="006C52D4" w:rsidRPr="006C52D4">
        <w:rPr>
          <w:sz w:val="22"/>
          <w:szCs w:val="22"/>
          <w:lang w:val="sv-SE"/>
        </w:rPr>
        <w:t>6.10.4.2</w:t>
      </w:r>
    </w:p>
    <w:p w14:paraId="70CDCC2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21CFDC9" w14:textId="39FBEB8E" w:rsidR="00BD2177" w:rsidRPr="00CE0424" w:rsidRDefault="003D3C45" w:rsidP="00311702">
      <w:pPr>
        <w:pStyle w:val="3GPPHeader"/>
        <w:rPr>
          <w:sz w:val="22"/>
          <w:szCs w:val="22"/>
        </w:rPr>
      </w:pPr>
      <w:r>
        <w:rPr>
          <w:sz w:val="22"/>
          <w:szCs w:val="22"/>
        </w:rPr>
        <w:t>Title:</w:t>
      </w:r>
      <w:r w:rsidR="00E90E49" w:rsidRPr="00CE0424">
        <w:rPr>
          <w:sz w:val="22"/>
          <w:szCs w:val="22"/>
        </w:rPr>
        <w:tab/>
      </w:r>
      <w:r w:rsidR="005453C5">
        <w:rPr>
          <w:sz w:val="22"/>
          <w:szCs w:val="22"/>
        </w:rPr>
        <w:t>PHR triggering for dormant BWP</w:t>
      </w:r>
    </w:p>
    <w:p w14:paraId="4D40BBC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D2177">
        <w:rPr>
          <w:sz w:val="22"/>
          <w:szCs w:val="22"/>
        </w:rPr>
        <w:t>Discussion, Decision</w:t>
      </w:r>
    </w:p>
    <w:p w14:paraId="5FEF2E26" w14:textId="77777777" w:rsidR="00E90E49" w:rsidRPr="00CE0424" w:rsidRDefault="00230D18" w:rsidP="00CE0424">
      <w:pPr>
        <w:pStyle w:val="Heading1"/>
      </w:pPr>
      <w:r>
        <w:t>1</w:t>
      </w:r>
      <w:r>
        <w:tab/>
      </w:r>
      <w:r w:rsidR="00E90E49" w:rsidRPr="00CE0424">
        <w:t>Introduction</w:t>
      </w:r>
    </w:p>
    <w:p w14:paraId="4D3F1041" w14:textId="225C3E49" w:rsidR="009C7E8F" w:rsidRDefault="009C7E8F" w:rsidP="007C58B8">
      <w:pPr>
        <w:pStyle w:val="BodyText"/>
      </w:pPr>
      <w:r>
        <w:t>In RAN2#109</w:t>
      </w:r>
      <w:r w:rsidR="000F736F">
        <w:t>b</w:t>
      </w:r>
      <w:r>
        <w:t>is-e, the following was agreed:</w:t>
      </w:r>
    </w:p>
    <w:p w14:paraId="70337447" w14:textId="5E782DAE" w:rsidR="009C7E8F" w:rsidRDefault="00451714" w:rsidP="007C58B8">
      <w:pPr>
        <w:pStyle w:val="Agreement"/>
      </w:pPr>
      <w:r w:rsidRPr="00A91FF5">
        <w:t xml:space="preserve">The activated SCell on which the active BWP is dormant BWP should not be included in PHR report. FFS whether we need addition/modification to PHR trigger. </w:t>
      </w:r>
    </w:p>
    <w:p w14:paraId="7038A84C" w14:textId="77777777" w:rsidR="009048B5" w:rsidRDefault="009048B5" w:rsidP="00CE0424">
      <w:pPr>
        <w:pStyle w:val="BodyText"/>
      </w:pPr>
    </w:p>
    <w:p w14:paraId="3CE5D948" w14:textId="78DBFA22" w:rsidR="00477768" w:rsidRPr="00CE0424" w:rsidRDefault="007C58B8" w:rsidP="00CE0424">
      <w:pPr>
        <w:pStyle w:val="BodyText"/>
      </w:pPr>
      <w:r w:rsidRPr="007C58B8">
        <w:t>Th</w:t>
      </w:r>
      <w:r>
        <w:t xml:space="preserve">is contribution discusses </w:t>
      </w:r>
      <w:r w:rsidR="009048B5">
        <w:t>this remaining FFS.</w:t>
      </w:r>
    </w:p>
    <w:p w14:paraId="58CD6836" w14:textId="77777777" w:rsidR="004000E8" w:rsidRPr="00CE0424" w:rsidRDefault="00230D18" w:rsidP="00CE0424">
      <w:pPr>
        <w:pStyle w:val="Heading1"/>
      </w:pPr>
      <w:bookmarkStart w:id="1" w:name="_Ref178064866"/>
      <w:r>
        <w:t>2</w:t>
      </w:r>
      <w:r>
        <w:tab/>
      </w:r>
      <w:r w:rsidR="004000E8" w:rsidRPr="00CE0424">
        <w:t>Discussion</w:t>
      </w:r>
      <w:bookmarkEnd w:id="1"/>
    </w:p>
    <w:p w14:paraId="3D87894E" w14:textId="2D9FB8A5" w:rsidR="00C473A5" w:rsidRDefault="008E5D92" w:rsidP="00F9068F">
      <w:pPr>
        <w:pStyle w:val="TF"/>
        <w:jc w:val="both"/>
        <w:rPr>
          <w:b w:val="0"/>
          <w:bCs/>
          <w:lang w:val="sv-SE"/>
        </w:rPr>
      </w:pPr>
      <w:r>
        <w:rPr>
          <w:b w:val="0"/>
          <w:bCs/>
          <w:lang w:val="sv-SE"/>
        </w:rPr>
        <w:t xml:space="preserve">The PHR report behaviour was changed to </w:t>
      </w:r>
      <w:r w:rsidR="00734C82">
        <w:rPr>
          <w:b w:val="0"/>
          <w:bCs/>
          <w:lang w:val="sv-SE"/>
        </w:rPr>
        <w:t xml:space="preserve">not include in the report activated SCells which have a dormant BWP active. </w:t>
      </w:r>
      <w:r w:rsidR="00060783">
        <w:rPr>
          <w:b w:val="0"/>
          <w:bCs/>
          <w:lang w:val="sv-SE"/>
        </w:rPr>
        <w:t xml:space="preserve">However, it was raised in RAN2#109bis-e that </w:t>
      </w:r>
      <w:r w:rsidR="00923B33">
        <w:rPr>
          <w:b w:val="0"/>
          <w:bCs/>
          <w:lang w:val="sv-SE"/>
        </w:rPr>
        <w:t>such behaviour may require an additional PHR report to be sent</w:t>
      </w:r>
      <w:r w:rsidR="00C063AC">
        <w:rPr>
          <w:b w:val="0"/>
          <w:bCs/>
          <w:lang w:val="sv-SE"/>
        </w:rPr>
        <w:t xml:space="preserve"> when </w:t>
      </w:r>
      <w:r w:rsidR="00923B33">
        <w:rPr>
          <w:b w:val="0"/>
          <w:bCs/>
          <w:lang w:val="sv-SE"/>
        </w:rPr>
        <w:t>a BWP is switched</w:t>
      </w:r>
      <w:r w:rsidR="00C063AC">
        <w:rPr>
          <w:b w:val="0"/>
          <w:bCs/>
          <w:lang w:val="sv-SE"/>
        </w:rPr>
        <w:t xml:space="preserve"> from</w:t>
      </w:r>
      <w:r w:rsidR="00092C8D">
        <w:rPr>
          <w:b w:val="0"/>
          <w:bCs/>
          <w:lang w:val="sv-SE"/>
        </w:rPr>
        <w:t xml:space="preserve"> </w:t>
      </w:r>
      <w:r w:rsidR="00C063AC">
        <w:rPr>
          <w:b w:val="0"/>
          <w:bCs/>
          <w:lang w:val="sv-SE"/>
        </w:rPr>
        <w:t>dormant BWP to non-dormant BWP</w:t>
      </w:r>
      <w:r w:rsidR="00DA58E8">
        <w:rPr>
          <w:b w:val="0"/>
          <w:bCs/>
          <w:lang w:val="sv-SE"/>
        </w:rPr>
        <w:t>.</w:t>
      </w:r>
      <w:r w:rsidR="00635B9A">
        <w:rPr>
          <w:b w:val="0"/>
          <w:bCs/>
          <w:lang w:val="sv-SE"/>
        </w:rPr>
        <w:t xml:space="preserve"> </w:t>
      </w:r>
      <w:r w:rsidR="00B15830">
        <w:rPr>
          <w:b w:val="0"/>
          <w:bCs/>
          <w:lang w:val="sv-SE"/>
        </w:rPr>
        <w:t>This</w:t>
      </w:r>
      <w:r w:rsidR="00910EF9">
        <w:rPr>
          <w:b w:val="0"/>
          <w:bCs/>
          <w:lang w:val="sv-SE"/>
        </w:rPr>
        <w:t xml:space="preserve"> would be</w:t>
      </w:r>
      <w:r w:rsidR="007A5F1D">
        <w:rPr>
          <w:b w:val="0"/>
          <w:bCs/>
          <w:lang w:val="sv-SE"/>
        </w:rPr>
        <w:t xml:space="preserve"> based on the fact that for LTE SCell dormant state, when swtiching from SCell dormant to active state PHR i</w:t>
      </w:r>
      <w:r w:rsidR="00177B22">
        <w:rPr>
          <w:b w:val="0"/>
          <w:bCs/>
          <w:lang w:val="sv-SE"/>
        </w:rPr>
        <w:t>s</w:t>
      </w:r>
      <w:r w:rsidR="00F9068F">
        <w:rPr>
          <w:b w:val="0"/>
          <w:bCs/>
          <w:lang w:val="sv-SE"/>
        </w:rPr>
        <w:t xml:space="preserve"> </w:t>
      </w:r>
      <w:r w:rsidR="007A5F1D">
        <w:rPr>
          <w:b w:val="0"/>
          <w:bCs/>
          <w:lang w:val="sv-SE"/>
        </w:rPr>
        <w:t>triggered:</w:t>
      </w:r>
    </w:p>
    <w:p w14:paraId="3622DB2E" w14:textId="77777777" w:rsidR="00D72365" w:rsidRDefault="00D72365" w:rsidP="00D72365">
      <w:pPr>
        <w:rPr>
          <w:noProof/>
          <w:lang w:eastAsia="en-US"/>
        </w:rPr>
      </w:pPr>
      <w:r w:rsidRPr="009160A2">
        <w:rPr>
          <w:noProof/>
          <w:highlight w:val="yellow"/>
        </w:rPr>
        <w:t>A Power Headroom Report (PHR) shall be triggered if any of the following events occur:</w:t>
      </w:r>
    </w:p>
    <w:p w14:paraId="723F3C9D" w14:textId="77777777" w:rsidR="00D72365" w:rsidRDefault="00D72365" w:rsidP="00D72365">
      <w:pPr>
        <w:pStyle w:val="B1"/>
        <w:rPr>
          <w:noProof/>
        </w:rPr>
      </w:pPr>
      <w:r>
        <w:rPr>
          <w:noProof/>
        </w:rPr>
        <w:t>-</w:t>
      </w:r>
      <w:r>
        <w:rPr>
          <w:noProof/>
        </w:rPr>
        <w:tab/>
      </w:r>
      <w:r>
        <w:rPr>
          <w:i/>
          <w:noProof/>
        </w:rPr>
        <w:t>prohibitPHR-Timer</w:t>
      </w:r>
      <w:r>
        <w:rPr>
          <w:noProof/>
        </w:rPr>
        <w:t xml:space="preserve"> expires or has expired and the path loss has changed more than </w:t>
      </w:r>
      <w:r>
        <w:rPr>
          <w:i/>
        </w:rPr>
        <w:t>dl-PathlossChange</w:t>
      </w:r>
      <w:r>
        <w:rPr>
          <w:noProof/>
        </w:rPr>
        <w:t xml:space="preserve"> dB for at least one activated Serving Cell of any MAC entity which is used as a pathloss reference since the last transmission of a PHR in this MAC entity when the MAC entity has UL resources for new transmission;</w:t>
      </w:r>
    </w:p>
    <w:p w14:paraId="7F05491E" w14:textId="77777777" w:rsidR="00D72365" w:rsidRDefault="00D72365" w:rsidP="00D72365">
      <w:pPr>
        <w:pStyle w:val="B1"/>
        <w:rPr>
          <w:noProof/>
        </w:rPr>
      </w:pPr>
      <w:r>
        <w:rPr>
          <w:noProof/>
        </w:rPr>
        <w:t>-</w:t>
      </w:r>
      <w:r>
        <w:rPr>
          <w:noProof/>
        </w:rPr>
        <w:tab/>
      </w:r>
      <w:r>
        <w:rPr>
          <w:i/>
          <w:noProof/>
        </w:rPr>
        <w:t>periodicPHR-Timer</w:t>
      </w:r>
      <w:r>
        <w:rPr>
          <w:noProof/>
        </w:rPr>
        <w:t xml:space="preserve"> expires;</w:t>
      </w:r>
    </w:p>
    <w:p w14:paraId="08D30E4B" w14:textId="77777777" w:rsidR="00D72365" w:rsidRDefault="00D72365" w:rsidP="00D72365">
      <w:pPr>
        <w:pStyle w:val="B1"/>
        <w:rPr>
          <w:noProof/>
        </w:rPr>
      </w:pPr>
      <w:r>
        <w:rPr>
          <w:noProof/>
        </w:rPr>
        <w:t>-</w:t>
      </w:r>
      <w:r>
        <w:rPr>
          <w:noProof/>
        </w:rPr>
        <w:tab/>
        <w:t>upon configuration or reconfiguration of the power headroom reporting functionality by upper layers, as specified in TS 36.331 [8], which is not used to disable the function;</w:t>
      </w:r>
    </w:p>
    <w:p w14:paraId="23D8199B" w14:textId="77777777" w:rsidR="00D72365" w:rsidRDefault="00D72365" w:rsidP="00D72365">
      <w:pPr>
        <w:pStyle w:val="B1"/>
        <w:rPr>
          <w:noProof/>
        </w:rPr>
      </w:pPr>
      <w:r>
        <w:rPr>
          <w:noProof/>
        </w:rPr>
        <w:t>-</w:t>
      </w:r>
      <w:r>
        <w:rPr>
          <w:noProof/>
        </w:rPr>
        <w:tab/>
      </w:r>
      <w:r w:rsidRPr="009160A2">
        <w:rPr>
          <w:noProof/>
          <w:highlight w:val="yellow"/>
        </w:rPr>
        <w:t>activation of an SCell of any MAC entity with configured uplink</w:t>
      </w:r>
      <w:r w:rsidRPr="009160A2">
        <w:rPr>
          <w:noProof/>
          <w:highlight w:val="yellow"/>
          <w:lang w:eastAsia="zh-TW"/>
        </w:rPr>
        <w:t>;</w:t>
      </w:r>
    </w:p>
    <w:p w14:paraId="00FAB930" w14:textId="77777777" w:rsidR="007A5F1D" w:rsidRDefault="007A5F1D" w:rsidP="00605AA9">
      <w:pPr>
        <w:pStyle w:val="TF"/>
        <w:jc w:val="left"/>
        <w:rPr>
          <w:b w:val="0"/>
          <w:bCs/>
          <w:lang w:val="sv-SE"/>
        </w:rPr>
      </w:pPr>
    </w:p>
    <w:p w14:paraId="7D5921C2" w14:textId="52C1FBE5" w:rsidR="0034248A" w:rsidRDefault="009160A2" w:rsidP="00605AA9">
      <w:pPr>
        <w:pStyle w:val="TF"/>
        <w:jc w:val="left"/>
        <w:rPr>
          <w:b w:val="0"/>
          <w:bCs/>
          <w:lang w:val="sv-SE"/>
        </w:rPr>
      </w:pPr>
      <w:r>
        <w:rPr>
          <w:b w:val="0"/>
          <w:bCs/>
          <w:lang w:val="sv-SE"/>
        </w:rPr>
        <w:t>However, t</w:t>
      </w:r>
      <w:r w:rsidR="00C26E5E">
        <w:rPr>
          <w:b w:val="0"/>
          <w:bCs/>
          <w:lang w:val="sv-SE"/>
        </w:rPr>
        <w:t xml:space="preserve">he necessity to send a PHR report when performing BWP switching was discussed in </w:t>
      </w:r>
      <w:r w:rsidR="002124A7">
        <w:rPr>
          <w:b w:val="0"/>
          <w:bCs/>
          <w:lang w:val="sv-SE"/>
        </w:rPr>
        <w:t>RAN2#100, where the following was agreed</w:t>
      </w:r>
      <w:r w:rsidR="00967E2D">
        <w:rPr>
          <w:b w:val="0"/>
          <w:bCs/>
          <w:lang w:val="sv-SE"/>
        </w:rPr>
        <w:t>:</w:t>
      </w: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7"/>
      </w:tblGrid>
      <w:tr w:rsidR="00220F0A" w14:paraId="03BBFF09" w14:textId="77777777" w:rsidTr="00D92E49">
        <w:tc>
          <w:tcPr>
            <w:tcW w:w="8494" w:type="dxa"/>
            <w:shd w:val="clear" w:color="auto" w:fill="auto"/>
          </w:tcPr>
          <w:p w14:paraId="063A35C2" w14:textId="77777777" w:rsidR="00220F0A" w:rsidRPr="0053400B" w:rsidRDefault="00220F0A" w:rsidP="00D92E49">
            <w:pPr>
              <w:pStyle w:val="Doc-text2"/>
              <w:tabs>
                <w:tab w:val="clear" w:pos="1622"/>
                <w:tab w:val="left" w:pos="358"/>
              </w:tabs>
              <w:ind w:left="1168" w:hanging="1168"/>
              <w:rPr>
                <w:b/>
              </w:rPr>
            </w:pPr>
            <w:r w:rsidRPr="0053400B">
              <w:rPr>
                <w:b/>
              </w:rPr>
              <w:t>Agreements:</w:t>
            </w:r>
          </w:p>
          <w:p w14:paraId="022CF739" w14:textId="77777777" w:rsidR="00220F0A" w:rsidRDefault="00220F0A" w:rsidP="00220F0A">
            <w:pPr>
              <w:pStyle w:val="Doc-text2"/>
              <w:numPr>
                <w:ilvl w:val="0"/>
                <w:numId w:val="28"/>
              </w:numPr>
              <w:tabs>
                <w:tab w:val="clear" w:pos="1622"/>
                <w:tab w:val="left" w:pos="358"/>
              </w:tabs>
              <w:overflowPunct/>
              <w:autoSpaceDE/>
              <w:autoSpaceDN/>
              <w:adjustRightInd/>
              <w:ind w:left="1168" w:hanging="1168"/>
              <w:textAlignment w:val="auto"/>
            </w:pPr>
            <w:r>
              <w:rPr>
                <w:lang w:eastAsia="ko-KR"/>
              </w:rPr>
              <w:t>T</w:t>
            </w:r>
            <w:r w:rsidRPr="0093261B">
              <w:rPr>
                <w:lang w:eastAsia="ko-KR"/>
              </w:rPr>
              <w:t>he UE behavior on the active BWP includes the followings</w:t>
            </w:r>
            <w:r>
              <w:rPr>
                <w:lang w:eastAsia="ko-KR"/>
              </w:rPr>
              <w:t>:</w:t>
            </w:r>
          </w:p>
          <w:p w14:paraId="12150278" w14:textId="77777777" w:rsidR="00220F0A" w:rsidRPr="0093261B" w:rsidRDefault="00220F0A" w:rsidP="00220F0A">
            <w:pPr>
              <w:pStyle w:val="B3"/>
              <w:numPr>
                <w:ilvl w:val="0"/>
                <w:numId w:val="29"/>
              </w:numPr>
              <w:tabs>
                <w:tab w:val="left" w:pos="358"/>
              </w:tabs>
              <w:overflowPunct/>
              <w:autoSpaceDE/>
              <w:autoSpaceDN/>
              <w:adjustRightInd/>
              <w:spacing w:after="0"/>
              <w:jc w:val="left"/>
              <w:textAlignment w:val="auto"/>
            </w:pPr>
            <w:r w:rsidRPr="0093261B">
              <w:t>PDCCH monitoring on the BWP</w:t>
            </w:r>
          </w:p>
          <w:p w14:paraId="4B0C65BA" w14:textId="77777777" w:rsidR="00220F0A" w:rsidRPr="0093261B" w:rsidRDefault="00220F0A" w:rsidP="00220F0A">
            <w:pPr>
              <w:pStyle w:val="B3"/>
              <w:numPr>
                <w:ilvl w:val="0"/>
                <w:numId w:val="29"/>
              </w:numPr>
              <w:tabs>
                <w:tab w:val="left" w:pos="358"/>
              </w:tabs>
              <w:overflowPunct/>
              <w:autoSpaceDE/>
              <w:autoSpaceDN/>
              <w:adjustRightInd/>
              <w:spacing w:after="0"/>
              <w:jc w:val="left"/>
              <w:textAlignment w:val="auto"/>
            </w:pPr>
            <w:r w:rsidRPr="0093261B">
              <w:t>PUCCH transmission on the BWP, if configured.</w:t>
            </w:r>
          </w:p>
          <w:p w14:paraId="35A779FA" w14:textId="77777777" w:rsidR="00220F0A" w:rsidRDefault="00220F0A" w:rsidP="00220F0A">
            <w:pPr>
              <w:pStyle w:val="B3"/>
              <w:numPr>
                <w:ilvl w:val="0"/>
                <w:numId w:val="29"/>
              </w:numPr>
              <w:tabs>
                <w:tab w:val="left" w:pos="358"/>
              </w:tabs>
              <w:overflowPunct/>
              <w:autoSpaceDE/>
              <w:autoSpaceDN/>
              <w:adjustRightInd/>
              <w:spacing w:after="0"/>
              <w:jc w:val="left"/>
              <w:textAlignment w:val="auto"/>
            </w:pPr>
            <w:r w:rsidRPr="0093261B">
              <w:t>PUSCH transmission on the BWP</w:t>
            </w:r>
          </w:p>
          <w:p w14:paraId="74FF3CF7" w14:textId="77777777" w:rsidR="00220F0A" w:rsidRDefault="00220F0A" w:rsidP="00220F0A">
            <w:pPr>
              <w:pStyle w:val="B3"/>
              <w:numPr>
                <w:ilvl w:val="0"/>
                <w:numId w:val="29"/>
              </w:numPr>
              <w:tabs>
                <w:tab w:val="left" w:pos="358"/>
              </w:tabs>
              <w:overflowPunct/>
              <w:autoSpaceDE/>
              <w:autoSpaceDN/>
              <w:adjustRightInd/>
              <w:spacing w:after="0"/>
              <w:jc w:val="left"/>
              <w:textAlignment w:val="auto"/>
            </w:pPr>
            <w:r>
              <w:t>PRACH transmission on the BWP, if configured.</w:t>
            </w:r>
          </w:p>
          <w:p w14:paraId="7ED2C511" w14:textId="77777777" w:rsidR="00220F0A" w:rsidRDefault="00220F0A" w:rsidP="00220F0A">
            <w:pPr>
              <w:pStyle w:val="B3"/>
              <w:numPr>
                <w:ilvl w:val="0"/>
                <w:numId w:val="29"/>
              </w:numPr>
              <w:tabs>
                <w:tab w:val="left" w:pos="358"/>
              </w:tabs>
              <w:overflowPunct/>
              <w:autoSpaceDE/>
              <w:autoSpaceDN/>
              <w:adjustRightInd/>
              <w:spacing w:after="0"/>
              <w:jc w:val="left"/>
              <w:textAlignment w:val="auto"/>
            </w:pPr>
            <w:r w:rsidRPr="0053400B">
              <w:rPr>
                <w:lang w:val="en-US"/>
              </w:rPr>
              <w:t>PDSCH reception on the BWP</w:t>
            </w:r>
          </w:p>
          <w:p w14:paraId="76DF0865" w14:textId="77777777" w:rsidR="00220F0A" w:rsidRDefault="00220F0A" w:rsidP="00220F0A">
            <w:pPr>
              <w:pStyle w:val="Doc-text2"/>
              <w:numPr>
                <w:ilvl w:val="0"/>
                <w:numId w:val="28"/>
              </w:numPr>
              <w:tabs>
                <w:tab w:val="clear" w:pos="1622"/>
                <w:tab w:val="left" w:pos="358"/>
              </w:tabs>
              <w:overflowPunct/>
              <w:autoSpaceDE/>
              <w:autoSpaceDN/>
              <w:adjustRightInd/>
              <w:ind w:left="358" w:hanging="358"/>
              <w:textAlignment w:val="auto"/>
            </w:pPr>
            <w:r w:rsidRPr="002736B1">
              <w:rPr>
                <w:rFonts w:hint="eastAsia"/>
                <w:lang w:eastAsia="ko-KR"/>
              </w:rPr>
              <w:t>For PCell</w:t>
            </w:r>
            <w:r>
              <w:rPr>
                <w:lang w:eastAsia="ko-KR"/>
              </w:rPr>
              <w:t>/SCell</w:t>
            </w:r>
            <w:r w:rsidRPr="002736B1">
              <w:rPr>
                <w:rFonts w:hint="eastAsia"/>
                <w:lang w:eastAsia="ko-KR"/>
              </w:rPr>
              <w:t>,</w:t>
            </w:r>
            <w:r w:rsidRPr="002736B1">
              <w:rPr>
                <w:lang w:eastAsia="ko-KR"/>
              </w:rPr>
              <w:t xml:space="preserve"> </w:t>
            </w:r>
            <w:r>
              <w:rPr>
                <w:lang w:eastAsia="ko-KR"/>
              </w:rPr>
              <w:t>no</w:t>
            </w:r>
            <w:r w:rsidRPr="002736B1">
              <w:rPr>
                <w:lang w:eastAsia="ko-KR"/>
              </w:rPr>
              <w:t xml:space="preserve"> additional activation step </w:t>
            </w:r>
            <w:r>
              <w:rPr>
                <w:lang w:eastAsia="ko-KR"/>
              </w:rPr>
              <w:t>is required to activate a BWP when PCell is newly added (i.e. PCell/Scell is always configured with an active BWP)</w:t>
            </w:r>
          </w:p>
          <w:p w14:paraId="65520832" w14:textId="77777777" w:rsidR="00220F0A" w:rsidRDefault="00220F0A" w:rsidP="00220F0A">
            <w:pPr>
              <w:pStyle w:val="Doc-text2"/>
              <w:numPr>
                <w:ilvl w:val="0"/>
                <w:numId w:val="28"/>
              </w:numPr>
              <w:tabs>
                <w:tab w:val="clear" w:pos="1622"/>
                <w:tab w:val="left" w:pos="358"/>
              </w:tabs>
              <w:overflowPunct/>
              <w:autoSpaceDE/>
              <w:autoSpaceDN/>
              <w:adjustRightInd/>
              <w:ind w:left="358" w:hanging="358"/>
              <w:textAlignment w:val="auto"/>
            </w:pPr>
            <w:r>
              <w:rPr>
                <w:lang w:eastAsia="ko-KR"/>
              </w:rPr>
              <w:t>There is no case that a cell is active with no active BWP</w:t>
            </w:r>
            <w:r w:rsidRPr="00F86959">
              <w:rPr>
                <w:lang w:eastAsia="ko-KR"/>
              </w:rPr>
              <w:t>.</w:t>
            </w:r>
          </w:p>
          <w:p w14:paraId="17114999" w14:textId="77777777" w:rsidR="00220F0A" w:rsidRDefault="00220F0A" w:rsidP="00220F0A">
            <w:pPr>
              <w:pStyle w:val="Doc-text2"/>
              <w:numPr>
                <w:ilvl w:val="0"/>
                <w:numId w:val="28"/>
              </w:numPr>
              <w:tabs>
                <w:tab w:val="clear" w:pos="1622"/>
                <w:tab w:val="left" w:pos="358"/>
              </w:tabs>
              <w:overflowPunct/>
              <w:autoSpaceDE/>
              <w:autoSpaceDN/>
              <w:adjustRightInd/>
              <w:ind w:left="358" w:hanging="358"/>
              <w:textAlignment w:val="auto"/>
            </w:pPr>
            <w:r w:rsidRPr="0095452F">
              <w:rPr>
                <w:lang w:eastAsia="ko-KR"/>
              </w:rPr>
              <w:lastRenderedPageBreak/>
              <w:t xml:space="preserve">BWP switching </w:t>
            </w:r>
            <w:r>
              <w:rPr>
                <w:lang w:eastAsia="ko-KR"/>
              </w:rPr>
              <w:t>cannot</w:t>
            </w:r>
            <w:r w:rsidRPr="0095452F">
              <w:rPr>
                <w:lang w:eastAsia="ko-KR"/>
              </w:rPr>
              <w:t xml:space="preserve"> occur during RA procedure for RRC Connection establishment</w:t>
            </w:r>
          </w:p>
          <w:p w14:paraId="0D41277C" w14:textId="77777777" w:rsidR="00220F0A" w:rsidRPr="00EE18F5" w:rsidRDefault="00220F0A" w:rsidP="00220F0A">
            <w:pPr>
              <w:pStyle w:val="Doc-text2"/>
              <w:numPr>
                <w:ilvl w:val="0"/>
                <w:numId w:val="28"/>
              </w:numPr>
              <w:tabs>
                <w:tab w:val="clear" w:pos="1622"/>
                <w:tab w:val="left" w:pos="358"/>
              </w:tabs>
              <w:overflowPunct/>
              <w:autoSpaceDE/>
              <w:autoSpaceDN/>
              <w:adjustRightInd/>
              <w:ind w:left="358" w:hanging="358"/>
              <w:textAlignment w:val="auto"/>
            </w:pPr>
            <w:r w:rsidRPr="0053400B">
              <w:rPr>
                <w:bCs/>
                <w:lang w:eastAsia="ko-KR"/>
              </w:rPr>
              <w:t>During CFRA</w:t>
            </w:r>
            <w:r w:rsidRPr="0053400B">
              <w:rPr>
                <w:b/>
                <w:bCs/>
                <w:lang w:eastAsia="ko-KR"/>
              </w:rPr>
              <w:t xml:space="preserve"> </w:t>
            </w:r>
            <w:r w:rsidRPr="0053400B">
              <w:rPr>
                <w:bCs/>
                <w:lang w:eastAsia="ko-KR"/>
              </w:rPr>
              <w:t xml:space="preserve">the network doesn’t perform BWP switching.  FFS on the impact of beam recovery.  </w:t>
            </w:r>
          </w:p>
          <w:p w14:paraId="17947CAB" w14:textId="77777777" w:rsidR="00220F0A" w:rsidRPr="002075E5" w:rsidRDefault="00220F0A" w:rsidP="00220F0A">
            <w:pPr>
              <w:pStyle w:val="Doc-text2"/>
              <w:numPr>
                <w:ilvl w:val="0"/>
                <w:numId w:val="28"/>
              </w:numPr>
              <w:tabs>
                <w:tab w:val="clear" w:pos="1622"/>
                <w:tab w:val="left" w:pos="358"/>
              </w:tabs>
              <w:overflowPunct/>
              <w:autoSpaceDE/>
              <w:autoSpaceDN/>
              <w:adjustRightInd/>
              <w:ind w:left="358" w:hanging="358"/>
              <w:textAlignment w:val="auto"/>
            </w:pPr>
            <w:r w:rsidRPr="0053400B">
              <w:rPr>
                <w:bCs/>
                <w:lang w:eastAsia="ko-KR"/>
              </w:rPr>
              <w:t>The UE stops the BWP timer when it initiates random access procedure</w:t>
            </w:r>
          </w:p>
          <w:p w14:paraId="367F5D93" w14:textId="77777777" w:rsidR="00220F0A" w:rsidRDefault="00220F0A" w:rsidP="00220F0A">
            <w:pPr>
              <w:pStyle w:val="Doc-text2"/>
              <w:numPr>
                <w:ilvl w:val="0"/>
                <w:numId w:val="28"/>
              </w:numPr>
              <w:tabs>
                <w:tab w:val="clear" w:pos="1622"/>
                <w:tab w:val="left" w:pos="358"/>
              </w:tabs>
              <w:overflowPunct/>
              <w:autoSpaceDE/>
              <w:autoSpaceDN/>
              <w:adjustRightInd/>
              <w:ind w:left="358" w:hanging="358"/>
              <w:textAlignment w:val="auto"/>
            </w:pPr>
            <w:r>
              <w:t xml:space="preserve">For contention based, some UL BWP are configured with PRACH resources.  The UE performs RACH on the active BWP if configured with RACH resources.  If not configured the UE uses initial UL/DL BWP.   It is recommended for the network to configure RACH resources on active BWP.   If the UE switches to initial BWP it stays there until told by the network to switch with a DCI.   </w:t>
            </w:r>
          </w:p>
          <w:p w14:paraId="4F35A5BF" w14:textId="77777777" w:rsidR="00220F0A" w:rsidRDefault="00220F0A" w:rsidP="00220F0A">
            <w:pPr>
              <w:pStyle w:val="Doc-text2"/>
              <w:numPr>
                <w:ilvl w:val="0"/>
                <w:numId w:val="28"/>
              </w:numPr>
              <w:tabs>
                <w:tab w:val="clear" w:pos="1622"/>
                <w:tab w:val="left" w:pos="358"/>
              </w:tabs>
              <w:overflowPunct/>
              <w:autoSpaceDE/>
              <w:autoSpaceDN/>
              <w:adjustRightInd/>
              <w:ind w:left="358" w:hanging="358"/>
              <w:textAlignment w:val="auto"/>
            </w:pPr>
            <w:r>
              <w:t>W</w:t>
            </w:r>
            <w:r w:rsidRPr="00333687">
              <w:t>hen</w:t>
            </w:r>
            <w:r>
              <w:t xml:space="preserve"> a BWP switch command is received while the UE is doing CBRA, it is up to UE implementation whether it switches BWP, stops the RA and start in new BWP or whether it ignores the BWP switch command and continues the RA in the BWP where it started.   </w:t>
            </w:r>
          </w:p>
          <w:p w14:paraId="582465F4" w14:textId="77777777" w:rsidR="00220F0A" w:rsidRDefault="00220F0A" w:rsidP="00220F0A">
            <w:pPr>
              <w:pStyle w:val="Doc-text2"/>
              <w:numPr>
                <w:ilvl w:val="0"/>
                <w:numId w:val="28"/>
              </w:numPr>
              <w:tabs>
                <w:tab w:val="clear" w:pos="1622"/>
                <w:tab w:val="left" w:pos="358"/>
              </w:tabs>
              <w:overflowPunct/>
              <w:autoSpaceDE/>
              <w:autoSpaceDN/>
              <w:adjustRightInd/>
              <w:ind w:left="358" w:hanging="358"/>
              <w:textAlignment w:val="auto"/>
            </w:pPr>
            <w:r>
              <w:rPr>
                <w:lang w:eastAsia="ko-KR"/>
              </w:rPr>
              <w:t>There is no additional text required to specify the UE behaviour for the BWP switching during SR procedure. Only the PUCCH resources on the activated BWP can be considered valid.</w:t>
            </w:r>
          </w:p>
          <w:p w14:paraId="07682C1E" w14:textId="77777777" w:rsidR="00220F0A" w:rsidRPr="00DA4330" w:rsidRDefault="00220F0A" w:rsidP="00220F0A">
            <w:pPr>
              <w:pStyle w:val="Doc-text2"/>
              <w:numPr>
                <w:ilvl w:val="0"/>
                <w:numId w:val="28"/>
              </w:numPr>
              <w:tabs>
                <w:tab w:val="clear" w:pos="1622"/>
                <w:tab w:val="left" w:pos="358"/>
              </w:tabs>
              <w:overflowPunct/>
              <w:autoSpaceDE/>
              <w:autoSpaceDN/>
              <w:adjustRightInd/>
              <w:ind w:left="358" w:hanging="358"/>
              <w:textAlignment w:val="auto"/>
            </w:pPr>
            <w:r>
              <w:rPr>
                <w:lang w:eastAsia="ko-KR"/>
              </w:rPr>
              <w:t xml:space="preserve">BWP switching either by DCI or BWP timer does not impact any running </w:t>
            </w:r>
            <w:r w:rsidRPr="0053400B">
              <w:rPr>
                <w:i/>
                <w:lang w:eastAsia="ko-KR"/>
              </w:rPr>
              <w:t xml:space="preserve">drx-InactivityTimer </w:t>
            </w:r>
            <w:r>
              <w:rPr>
                <w:lang w:eastAsia="ko-KR"/>
              </w:rPr>
              <w:t xml:space="preserve">or </w:t>
            </w:r>
            <w:r w:rsidRPr="0053400B">
              <w:rPr>
                <w:i/>
                <w:lang w:eastAsia="ko-KR"/>
              </w:rPr>
              <w:t>drx-onDurationTimer</w:t>
            </w:r>
          </w:p>
          <w:p w14:paraId="427132A5" w14:textId="77777777" w:rsidR="00220F0A" w:rsidRPr="00267A83" w:rsidRDefault="00220F0A" w:rsidP="00220F0A">
            <w:pPr>
              <w:pStyle w:val="Doc-text2"/>
              <w:numPr>
                <w:ilvl w:val="0"/>
                <w:numId w:val="28"/>
              </w:numPr>
              <w:tabs>
                <w:tab w:val="clear" w:pos="1622"/>
                <w:tab w:val="left" w:pos="358"/>
              </w:tabs>
              <w:overflowPunct/>
              <w:autoSpaceDE/>
              <w:autoSpaceDN/>
              <w:adjustRightInd/>
              <w:ind w:left="358" w:hanging="358"/>
              <w:textAlignment w:val="auto"/>
              <w:rPr>
                <w:highlight w:val="yellow"/>
              </w:rPr>
            </w:pPr>
            <w:r w:rsidRPr="00267A83">
              <w:rPr>
                <w:bCs/>
                <w:highlight w:val="yellow"/>
                <w:lang w:eastAsia="ko-KR"/>
              </w:rPr>
              <w:t>No new PHR trigger condition is required for BWP switching</w:t>
            </w:r>
          </w:p>
          <w:p w14:paraId="0BB0C32E" w14:textId="77777777" w:rsidR="00220F0A" w:rsidRDefault="00220F0A" w:rsidP="00220F0A">
            <w:pPr>
              <w:pStyle w:val="Doc-text2"/>
              <w:numPr>
                <w:ilvl w:val="0"/>
                <w:numId w:val="28"/>
              </w:numPr>
              <w:tabs>
                <w:tab w:val="clear" w:pos="1622"/>
                <w:tab w:val="left" w:pos="358"/>
              </w:tabs>
              <w:overflowPunct/>
              <w:autoSpaceDE/>
              <w:autoSpaceDN/>
              <w:adjustRightInd/>
              <w:ind w:left="358" w:hanging="358"/>
              <w:textAlignment w:val="auto"/>
            </w:pPr>
            <w:r>
              <w:rPr>
                <w:lang w:eastAsia="ko-KR"/>
              </w:rPr>
              <w:t>There is one HARQ entity per serving cell even with there are multiple BWPs configured for a serving cell.</w:t>
            </w:r>
          </w:p>
          <w:p w14:paraId="173C6A05" w14:textId="77777777" w:rsidR="00220F0A" w:rsidRDefault="00220F0A" w:rsidP="00220F0A">
            <w:pPr>
              <w:pStyle w:val="Doc-text2"/>
              <w:numPr>
                <w:ilvl w:val="0"/>
                <w:numId w:val="28"/>
              </w:numPr>
              <w:tabs>
                <w:tab w:val="clear" w:pos="1622"/>
                <w:tab w:val="left" w:pos="358"/>
              </w:tabs>
              <w:overflowPunct/>
              <w:autoSpaceDE/>
              <w:autoSpaceDN/>
              <w:adjustRightInd/>
              <w:ind w:left="358" w:hanging="358"/>
              <w:textAlignment w:val="auto"/>
            </w:pPr>
            <w:r>
              <w:t xml:space="preserve">The BWP timer is specified in the MAC </w:t>
            </w:r>
          </w:p>
        </w:tc>
      </w:tr>
    </w:tbl>
    <w:p w14:paraId="5F78846C" w14:textId="26798352" w:rsidR="0034248A" w:rsidRDefault="0034248A" w:rsidP="00605AA9">
      <w:pPr>
        <w:pStyle w:val="TF"/>
        <w:jc w:val="left"/>
        <w:rPr>
          <w:b w:val="0"/>
          <w:bCs/>
          <w:lang w:val="sv-SE"/>
        </w:rPr>
      </w:pPr>
    </w:p>
    <w:p w14:paraId="1EAFA37A" w14:textId="511B6F8C" w:rsidR="00DA1AA3" w:rsidRDefault="00DA1AA3" w:rsidP="00605AA9">
      <w:pPr>
        <w:pStyle w:val="TF"/>
        <w:jc w:val="left"/>
        <w:rPr>
          <w:b w:val="0"/>
          <w:bCs/>
          <w:lang w:val="sv-SE"/>
        </w:rPr>
      </w:pPr>
      <w:r>
        <w:rPr>
          <w:b w:val="0"/>
          <w:bCs/>
          <w:lang w:val="sv-SE"/>
        </w:rPr>
        <w:t xml:space="preserve">We think there would be no need to deviate from the previous conclusion </w:t>
      </w:r>
      <w:r w:rsidR="00931C95">
        <w:rPr>
          <w:b w:val="0"/>
          <w:bCs/>
          <w:lang w:val="sv-SE"/>
        </w:rPr>
        <w:t>that BWP switching does not imply in new PHR triggering.</w:t>
      </w:r>
    </w:p>
    <w:p w14:paraId="24931C3D" w14:textId="2DA2AFAB" w:rsidR="00931C95" w:rsidRDefault="00754CC8" w:rsidP="00754CC8">
      <w:pPr>
        <w:pStyle w:val="Observation"/>
        <w:rPr>
          <w:lang w:val="sv-SE"/>
        </w:rPr>
      </w:pPr>
      <w:bookmarkStart w:id="2" w:name="_Toc40962550"/>
      <w:r>
        <w:rPr>
          <w:lang w:val="sv-SE"/>
        </w:rPr>
        <w:t xml:space="preserve">It was </w:t>
      </w:r>
      <w:r w:rsidR="000D5C76">
        <w:rPr>
          <w:lang w:val="sv-SE"/>
        </w:rPr>
        <w:t xml:space="preserve">agreed </w:t>
      </w:r>
      <w:r>
        <w:rPr>
          <w:lang w:val="sv-SE"/>
        </w:rPr>
        <w:t>previously in RAN2 that BWP switching should not require any new PHR triggering.</w:t>
      </w:r>
      <w:bookmarkEnd w:id="2"/>
    </w:p>
    <w:p w14:paraId="2ECEF608" w14:textId="6C9FAB52" w:rsidR="0034248A" w:rsidRDefault="00446DEE" w:rsidP="00CD2EFD">
      <w:pPr>
        <w:pStyle w:val="TF"/>
        <w:jc w:val="both"/>
        <w:rPr>
          <w:b w:val="0"/>
          <w:bCs/>
          <w:lang w:val="sv-SE"/>
        </w:rPr>
      </w:pPr>
      <w:r>
        <w:rPr>
          <w:b w:val="0"/>
          <w:bCs/>
          <w:lang w:val="sv-SE"/>
        </w:rPr>
        <w:t xml:space="preserve">Furthermore, it shoud also be noted that the current behaviour </w:t>
      </w:r>
      <w:r w:rsidR="008B558D">
        <w:rPr>
          <w:b w:val="0"/>
          <w:bCs/>
          <w:lang w:val="sv-SE"/>
        </w:rPr>
        <w:t>to omit PHR report for an activated SCell with dormant BWP active</w:t>
      </w:r>
      <w:r w:rsidR="004F18C0">
        <w:rPr>
          <w:b w:val="0"/>
          <w:bCs/>
          <w:lang w:val="sv-SE"/>
        </w:rPr>
        <w:t xml:space="preserve"> was proposed due to the introduction of </w:t>
      </w:r>
      <w:r w:rsidR="00791E99">
        <w:rPr>
          <w:b w:val="0"/>
          <w:bCs/>
          <w:lang w:val="sv-SE"/>
        </w:rPr>
        <w:t xml:space="preserve">similar </w:t>
      </w:r>
      <w:r w:rsidR="004F18C0">
        <w:rPr>
          <w:b w:val="0"/>
          <w:bCs/>
          <w:lang w:val="sv-SE"/>
        </w:rPr>
        <w:t>feature for dormant SCell in LTE</w:t>
      </w:r>
      <w:r w:rsidR="00C059B3">
        <w:rPr>
          <w:b w:val="0"/>
          <w:bCs/>
          <w:lang w:val="sv-SE"/>
        </w:rPr>
        <w:t xml:space="preserve"> </w:t>
      </w:r>
      <w:r w:rsidR="00C059B3">
        <w:rPr>
          <w:b w:val="0"/>
          <w:bCs/>
          <w:lang w:val="sv-SE"/>
        </w:rPr>
        <w:fldChar w:fldCharType="begin"/>
      </w:r>
      <w:r w:rsidR="00C059B3">
        <w:rPr>
          <w:b w:val="0"/>
          <w:bCs/>
          <w:lang w:val="sv-SE"/>
        </w:rPr>
        <w:instrText xml:space="preserve"> REF _Ref11660338 \r \h </w:instrText>
      </w:r>
      <w:r w:rsidR="00CD2EFD">
        <w:rPr>
          <w:b w:val="0"/>
          <w:bCs/>
          <w:lang w:val="sv-SE"/>
        </w:rPr>
        <w:instrText xml:space="preserve"> \* MERGEFORMAT </w:instrText>
      </w:r>
      <w:r w:rsidR="00C059B3">
        <w:rPr>
          <w:b w:val="0"/>
          <w:bCs/>
          <w:lang w:val="sv-SE"/>
        </w:rPr>
      </w:r>
      <w:r w:rsidR="00C059B3">
        <w:rPr>
          <w:b w:val="0"/>
          <w:bCs/>
          <w:lang w:val="sv-SE"/>
        </w:rPr>
        <w:fldChar w:fldCharType="separate"/>
      </w:r>
      <w:r w:rsidR="00C059B3">
        <w:rPr>
          <w:b w:val="0"/>
          <w:bCs/>
          <w:lang w:val="sv-SE"/>
        </w:rPr>
        <w:t>[1]</w:t>
      </w:r>
      <w:r w:rsidR="00C059B3">
        <w:rPr>
          <w:b w:val="0"/>
          <w:bCs/>
          <w:lang w:val="sv-SE"/>
        </w:rPr>
        <w:fldChar w:fldCharType="end"/>
      </w:r>
      <w:r w:rsidR="004F18C0">
        <w:rPr>
          <w:b w:val="0"/>
          <w:bCs/>
          <w:lang w:val="sv-SE"/>
        </w:rPr>
        <w:t xml:space="preserve">. </w:t>
      </w:r>
      <w:r w:rsidR="00A167C4">
        <w:rPr>
          <w:b w:val="0"/>
          <w:bCs/>
          <w:lang w:val="sv-SE"/>
        </w:rPr>
        <w:t xml:space="preserve">However, it was agreed in </w:t>
      </w:r>
      <w:r w:rsidR="00B67C41">
        <w:rPr>
          <w:b w:val="0"/>
          <w:bCs/>
          <w:lang w:val="sv-SE"/>
        </w:rPr>
        <w:t>RAN2#106 that no SCell dormant state would be introduced in NR, opposed to what was done in LTE.</w:t>
      </w:r>
    </w:p>
    <w:p w14:paraId="629E52EF" w14:textId="77777777" w:rsidR="000821C1" w:rsidRDefault="000821C1" w:rsidP="000821C1">
      <w:pPr>
        <w:pStyle w:val="Doc-text2"/>
        <w:pBdr>
          <w:top w:val="single" w:sz="4" w:space="1" w:color="auto"/>
          <w:left w:val="single" w:sz="4" w:space="4" w:color="auto"/>
          <w:bottom w:val="single" w:sz="4" w:space="1" w:color="auto"/>
          <w:right w:val="single" w:sz="4" w:space="4" w:color="auto"/>
        </w:pBdr>
      </w:pPr>
      <w:r>
        <w:t>Agreement</w:t>
      </w:r>
    </w:p>
    <w:p w14:paraId="6EE0860B" w14:textId="77777777" w:rsidR="000821C1" w:rsidRDefault="000821C1" w:rsidP="000821C1">
      <w:pPr>
        <w:pStyle w:val="Doc-text2"/>
        <w:pBdr>
          <w:top w:val="single" w:sz="4" w:space="1" w:color="auto"/>
          <w:left w:val="single" w:sz="4" w:space="4" w:color="auto"/>
          <w:bottom w:val="single" w:sz="4" w:space="1" w:color="auto"/>
          <w:right w:val="single" w:sz="4" w:space="4" w:color="auto"/>
        </w:pBdr>
      </w:pPr>
      <w:r>
        <w:t>1</w:t>
      </w:r>
      <w:r>
        <w:tab/>
      </w:r>
      <w:r w:rsidRPr="00CD2EFD">
        <w:rPr>
          <w:highlight w:val="yellow"/>
        </w:rPr>
        <w:t>SCell dormant state like LTE euCA will not be introduced in NR.</w:t>
      </w:r>
      <w:r>
        <w:t xml:space="preserve"> </w:t>
      </w:r>
    </w:p>
    <w:p w14:paraId="3683516D" w14:textId="77777777" w:rsidR="000821C1" w:rsidRDefault="000821C1" w:rsidP="000821C1">
      <w:pPr>
        <w:pStyle w:val="Doc-text2"/>
        <w:pBdr>
          <w:top w:val="single" w:sz="4" w:space="1" w:color="auto"/>
          <w:left w:val="single" w:sz="4" w:space="4" w:color="auto"/>
          <w:bottom w:val="single" w:sz="4" w:space="1" w:color="auto"/>
          <w:right w:val="single" w:sz="4" w:space="4" w:color="auto"/>
        </w:pBdr>
      </w:pPr>
      <w:r>
        <w:t>2</w:t>
      </w:r>
      <w:r>
        <w:tab/>
        <w:t>‘dormancy’ behaviour will be studied as a solution for fast return to SCell utilisation for data transfer. The 'dormancy' behaviour implies that the UE stops monitoring PDCCH but continues other activities such as CSI measurements, AGC and beam management. RAN1/4 input required on feasibility and benefit.</w:t>
      </w:r>
    </w:p>
    <w:p w14:paraId="650FDA9F" w14:textId="77777777" w:rsidR="006F6AB1" w:rsidRDefault="006F6AB1" w:rsidP="00605AA9">
      <w:pPr>
        <w:pStyle w:val="TF"/>
        <w:jc w:val="left"/>
        <w:rPr>
          <w:b w:val="0"/>
          <w:bCs/>
          <w:lang w:val="sv-SE"/>
        </w:rPr>
      </w:pPr>
    </w:p>
    <w:p w14:paraId="7D8E995C" w14:textId="2E3CEF36" w:rsidR="000821C1" w:rsidRDefault="006F6AB1" w:rsidP="00630898">
      <w:pPr>
        <w:pStyle w:val="TF"/>
        <w:jc w:val="both"/>
        <w:rPr>
          <w:b w:val="0"/>
          <w:bCs/>
          <w:lang w:val="sv-SE"/>
        </w:rPr>
      </w:pPr>
      <w:r>
        <w:rPr>
          <w:b w:val="0"/>
          <w:bCs/>
          <w:lang w:val="sv-SE"/>
        </w:rPr>
        <w:t xml:space="preserve">This implies that </w:t>
      </w:r>
      <w:r w:rsidR="007F54CA">
        <w:rPr>
          <w:b w:val="0"/>
          <w:bCs/>
          <w:lang w:val="sv-SE"/>
        </w:rPr>
        <w:t xml:space="preserve">there is no need to </w:t>
      </w:r>
      <w:r w:rsidR="000234B4">
        <w:rPr>
          <w:b w:val="0"/>
          <w:bCs/>
          <w:lang w:val="sv-SE"/>
        </w:rPr>
        <w:t xml:space="preserve">inherit </w:t>
      </w:r>
      <w:r w:rsidR="00182333">
        <w:rPr>
          <w:b w:val="0"/>
          <w:bCs/>
          <w:lang w:val="sv-SE"/>
        </w:rPr>
        <w:t xml:space="preserve">the behaviour of LTE dormant SCell state to BWP dormancy in NR. </w:t>
      </w:r>
    </w:p>
    <w:p w14:paraId="72B1B2EC" w14:textId="06A9DD97" w:rsidR="0000497B" w:rsidRDefault="0000497B" w:rsidP="00DF6E19">
      <w:pPr>
        <w:pStyle w:val="Observation"/>
        <w:rPr>
          <w:lang w:val="sv-SE"/>
        </w:rPr>
      </w:pPr>
      <w:bookmarkStart w:id="3" w:name="_Toc40962551"/>
      <w:r>
        <w:rPr>
          <w:lang w:val="sv-SE"/>
        </w:rPr>
        <w:t>NR BWP dormancy is not required to be aligned with the behaviour of LTE dormant SCell state.</w:t>
      </w:r>
      <w:bookmarkEnd w:id="3"/>
    </w:p>
    <w:p w14:paraId="3DA6A067" w14:textId="1E4583E5" w:rsidR="007E7315" w:rsidRDefault="007E7315" w:rsidP="00630898">
      <w:pPr>
        <w:pStyle w:val="TF"/>
        <w:jc w:val="both"/>
        <w:rPr>
          <w:b w:val="0"/>
          <w:bCs/>
          <w:lang w:val="sv-SE"/>
        </w:rPr>
      </w:pPr>
      <w:r>
        <w:rPr>
          <w:b w:val="0"/>
          <w:bCs/>
          <w:lang w:val="sv-SE"/>
        </w:rPr>
        <w:t xml:space="preserve">Therefore, </w:t>
      </w:r>
      <w:r w:rsidR="00711217">
        <w:rPr>
          <w:b w:val="0"/>
          <w:bCs/>
          <w:lang w:val="sv-SE"/>
        </w:rPr>
        <w:t xml:space="preserve">since NR behaviour is not required to be aligned with the LTE dormant SCell state behaviour, and it was already discussed previously that no </w:t>
      </w:r>
      <w:r w:rsidR="00E63ED1">
        <w:rPr>
          <w:b w:val="0"/>
          <w:bCs/>
          <w:lang w:val="sv-SE"/>
        </w:rPr>
        <w:t>new PHR triggering is needed for BWP switching, a new PHR triggering should not be introduced for the case of switching from dormant BWP to non-dormant BWP.</w:t>
      </w:r>
    </w:p>
    <w:p w14:paraId="6BE1AAA7" w14:textId="6CCA0FEF" w:rsidR="00901E14" w:rsidRPr="00092C8D" w:rsidRDefault="00901E14" w:rsidP="00DF6E19">
      <w:pPr>
        <w:pStyle w:val="Proposal"/>
        <w:rPr>
          <w:lang w:val="sv-SE"/>
        </w:rPr>
      </w:pPr>
      <w:bookmarkStart w:id="4" w:name="_Toc40962553"/>
      <w:r>
        <w:rPr>
          <w:lang w:val="sv-SE"/>
        </w:rPr>
        <w:t>No addition or modification is needed to PHR triggering due to switching from dormant BWP to non-dowmant BWP.</w:t>
      </w:r>
      <w:bookmarkEnd w:id="4"/>
    </w:p>
    <w:p w14:paraId="17591ED3" w14:textId="77777777" w:rsidR="00446214" w:rsidRPr="007E7315" w:rsidRDefault="00446214" w:rsidP="001C4690">
      <w:pPr>
        <w:pStyle w:val="TF"/>
        <w:jc w:val="left"/>
        <w:rPr>
          <w:b w:val="0"/>
          <w:bCs/>
          <w:lang w:val="sv-SE"/>
        </w:rPr>
      </w:pPr>
    </w:p>
    <w:p w14:paraId="570EB36B" w14:textId="77777777" w:rsidR="00446214" w:rsidRDefault="00446214" w:rsidP="007E7315">
      <w:pPr>
        <w:pStyle w:val="Heading1"/>
        <w:ind w:left="0" w:firstLine="0"/>
        <w:sectPr w:rsidR="00446214" w:rsidSect="00D75EE3">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33CA70C9" w14:textId="3EE8BABB" w:rsidR="00C01F33" w:rsidRPr="00CE0424" w:rsidRDefault="00605AA9" w:rsidP="004745E9">
      <w:pPr>
        <w:pStyle w:val="Heading1"/>
      </w:pPr>
      <w:r>
        <w:lastRenderedPageBreak/>
        <w:t>3</w:t>
      </w:r>
      <w:r w:rsidR="00EC4447">
        <w:tab/>
      </w:r>
      <w:r w:rsidR="00C01F33" w:rsidRPr="004745E9">
        <w:t>Conclusion</w:t>
      </w:r>
    </w:p>
    <w:p w14:paraId="78559227"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79DE1BA" w14:textId="0DBE2225" w:rsidR="003735ED"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Cs/>
        </w:rPr>
        <w:instrText xml:space="preserve"> TOC \f O \n \h \z \t "Observation" \c </w:instrText>
      </w:r>
      <w:r>
        <w:rPr>
          <w:b w:val="0"/>
          <w:bCs/>
        </w:rPr>
        <w:fldChar w:fldCharType="separate"/>
      </w:r>
      <w:hyperlink w:anchor="_Toc40962550" w:history="1">
        <w:r w:rsidR="003735ED" w:rsidRPr="002C5B1A">
          <w:rPr>
            <w:rStyle w:val="Hyperlink"/>
            <w:noProof/>
            <w:lang w:val="sv-SE"/>
          </w:rPr>
          <w:t>Observation 1</w:t>
        </w:r>
        <w:r w:rsidR="003735ED">
          <w:rPr>
            <w:rFonts w:asciiTheme="minorHAnsi" w:eastAsiaTheme="minorEastAsia" w:hAnsiTheme="minorHAnsi" w:cstheme="minorBidi"/>
            <w:b w:val="0"/>
            <w:noProof/>
            <w:sz w:val="22"/>
            <w:szCs w:val="22"/>
            <w:lang w:val="en-US" w:eastAsia="en-US"/>
          </w:rPr>
          <w:tab/>
        </w:r>
        <w:r w:rsidR="003735ED" w:rsidRPr="002C5B1A">
          <w:rPr>
            <w:rStyle w:val="Hyperlink"/>
            <w:noProof/>
            <w:lang w:val="sv-SE"/>
          </w:rPr>
          <w:t>It was agreed previously in RAN2 that BWP switching should not require any new PHR triggering.</w:t>
        </w:r>
      </w:hyperlink>
    </w:p>
    <w:p w14:paraId="6EE95477" w14:textId="2F194D84" w:rsidR="003735ED" w:rsidRDefault="00C966B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962551" w:history="1">
        <w:r w:rsidR="003735ED" w:rsidRPr="002C5B1A">
          <w:rPr>
            <w:rStyle w:val="Hyperlink"/>
            <w:noProof/>
            <w:lang w:val="sv-SE"/>
          </w:rPr>
          <w:t>Observation 2</w:t>
        </w:r>
        <w:r w:rsidR="003735ED">
          <w:rPr>
            <w:rFonts w:asciiTheme="minorHAnsi" w:eastAsiaTheme="minorEastAsia" w:hAnsiTheme="minorHAnsi" w:cstheme="minorBidi"/>
            <w:b w:val="0"/>
            <w:noProof/>
            <w:sz w:val="22"/>
            <w:szCs w:val="22"/>
            <w:lang w:val="en-US" w:eastAsia="en-US"/>
          </w:rPr>
          <w:tab/>
        </w:r>
        <w:r w:rsidR="003735ED" w:rsidRPr="002C5B1A">
          <w:rPr>
            <w:rStyle w:val="Hyperlink"/>
            <w:noProof/>
            <w:lang w:val="sv-SE"/>
          </w:rPr>
          <w:t>NR BWP dormancy is not required to be aligned with the behaviour of LTE dormant SCell state.</w:t>
        </w:r>
      </w:hyperlink>
    </w:p>
    <w:p w14:paraId="518D38D0" w14:textId="01C2C21F" w:rsidR="006E1C82" w:rsidRDefault="006F6582" w:rsidP="008E065E">
      <w:pPr>
        <w:pStyle w:val="BodyText"/>
        <w:rPr>
          <w:b/>
          <w:bCs/>
        </w:rPr>
      </w:pPr>
      <w:r>
        <w:rPr>
          <w:b/>
          <w:bCs/>
        </w:rPr>
        <w:fldChar w:fldCharType="end"/>
      </w:r>
    </w:p>
    <w:p w14:paraId="31C95A55" w14:textId="77777777" w:rsidR="006E1C82" w:rsidRDefault="006E1C82" w:rsidP="008E065E">
      <w:pPr>
        <w:pStyle w:val="BodyText"/>
        <w:rPr>
          <w:b/>
          <w:bCs/>
        </w:rPr>
      </w:pPr>
    </w:p>
    <w:p w14:paraId="149B2F6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7484412" w14:textId="77777777" w:rsidR="003735ED"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Cs/>
          <w:lang w:val="en-US"/>
        </w:rPr>
        <w:instrText xml:space="preserve"> TOC \n \h \z \t "Proposal" \c </w:instrText>
      </w:r>
      <w:r>
        <w:rPr>
          <w:b w:val="0"/>
          <w:bCs/>
          <w:lang w:val="en-US"/>
        </w:rPr>
        <w:fldChar w:fldCharType="separate"/>
      </w:r>
      <w:hyperlink w:anchor="_Toc40962553" w:history="1">
        <w:r w:rsidR="003735ED" w:rsidRPr="004673B3">
          <w:rPr>
            <w:rStyle w:val="Hyperlink"/>
            <w:noProof/>
            <w:lang w:val="sv-SE"/>
          </w:rPr>
          <w:t>Proposal 1</w:t>
        </w:r>
        <w:r w:rsidR="003735ED">
          <w:rPr>
            <w:rFonts w:asciiTheme="minorHAnsi" w:eastAsiaTheme="minorEastAsia" w:hAnsiTheme="minorHAnsi" w:cstheme="minorBidi"/>
            <w:b w:val="0"/>
            <w:noProof/>
            <w:sz w:val="22"/>
            <w:szCs w:val="22"/>
            <w:lang w:val="en-US" w:eastAsia="en-US"/>
          </w:rPr>
          <w:tab/>
        </w:r>
        <w:r w:rsidR="003735ED" w:rsidRPr="004673B3">
          <w:rPr>
            <w:rStyle w:val="Hyperlink"/>
            <w:noProof/>
            <w:lang w:val="sv-SE"/>
          </w:rPr>
          <w:t>No addition or modification is needed to PHR triggering due to switching from dormant BWP to non-dowmant BWP.</w:t>
        </w:r>
      </w:hyperlink>
    </w:p>
    <w:p w14:paraId="68C0AE4C" w14:textId="58A39998" w:rsidR="006E1C82" w:rsidRPr="00CE0424" w:rsidRDefault="006E1C82" w:rsidP="006E1C82">
      <w:pPr>
        <w:pStyle w:val="BodyText"/>
        <w:rPr>
          <w:b/>
          <w:bCs/>
        </w:rPr>
      </w:pPr>
      <w:r>
        <w:rPr>
          <w:b/>
          <w:bCs/>
          <w:lang w:val="en-US"/>
        </w:rPr>
        <w:fldChar w:fldCharType="end"/>
      </w:r>
      <w:r w:rsidRPr="00CE0424">
        <w:rPr>
          <w:b/>
          <w:bCs/>
        </w:rPr>
        <w:t xml:space="preserve"> </w:t>
      </w:r>
    </w:p>
    <w:p w14:paraId="42EB82A9" w14:textId="77777777" w:rsidR="008E065E" w:rsidRPr="00CE0424" w:rsidRDefault="008E065E" w:rsidP="008E065E">
      <w:pPr>
        <w:rPr>
          <w:b/>
          <w:bCs/>
        </w:rPr>
      </w:pPr>
    </w:p>
    <w:p w14:paraId="2F6B9C7E" w14:textId="77777777" w:rsidR="00C01F33" w:rsidRPr="00CE0424" w:rsidRDefault="00C01F33" w:rsidP="006E062C"/>
    <w:p w14:paraId="4E5F587A" w14:textId="63F056E8" w:rsidR="00F507D1" w:rsidRPr="00CE0424" w:rsidRDefault="004745E9" w:rsidP="00CE0424">
      <w:pPr>
        <w:pStyle w:val="Heading1"/>
      </w:pPr>
      <w:bookmarkStart w:id="5" w:name="_In-sequence_SDU_delivery"/>
      <w:bookmarkEnd w:id="5"/>
      <w:r>
        <w:t>4</w:t>
      </w:r>
      <w:r w:rsidR="00EC4447">
        <w:tab/>
      </w:r>
      <w:r w:rsidR="00F507D1" w:rsidRPr="00CE0424">
        <w:t>References</w:t>
      </w:r>
    </w:p>
    <w:p w14:paraId="6548B1A3" w14:textId="3736F13D" w:rsidR="00E10B03" w:rsidRPr="00CE0424" w:rsidRDefault="005D7D0B" w:rsidP="00A05F61">
      <w:pPr>
        <w:pStyle w:val="Reference"/>
      </w:pPr>
      <w:bookmarkStart w:id="6" w:name="_Ref11660338"/>
      <w:bookmarkStart w:id="7" w:name="_Ref174151459"/>
      <w:bookmarkStart w:id="8" w:name="_Ref189809556"/>
      <w:r w:rsidRPr="005D7D0B">
        <w:t>R2-2002674</w:t>
      </w:r>
      <w:r w:rsidR="00D304F7" w:rsidRPr="00CE0424">
        <w:t xml:space="preserve">, </w:t>
      </w:r>
      <w:r w:rsidR="00D304F7">
        <w:t>“</w:t>
      </w:r>
      <w:r w:rsidRPr="00A91FF5">
        <w:t>Corrections on PHR generation due to dormant BWP</w:t>
      </w:r>
      <w:r w:rsidR="00D304F7">
        <w:t>”</w:t>
      </w:r>
      <w:r w:rsidR="00D304F7" w:rsidRPr="00CE0424">
        <w:t xml:space="preserve">, </w:t>
      </w:r>
      <w:r>
        <w:t>OPPO</w:t>
      </w:r>
      <w:r w:rsidR="00D304F7" w:rsidRPr="00CE0424">
        <w:t xml:space="preserve">, </w:t>
      </w:r>
      <w:r w:rsidR="00271993">
        <w:t xml:space="preserve">RAN2#109bis-e, </w:t>
      </w:r>
      <w:r w:rsidR="00271993" w:rsidRPr="00271993">
        <w:t>Electronic meeting, April 20th - 30th, 2020.</w:t>
      </w:r>
      <w:bookmarkEnd w:id="6"/>
      <w:r w:rsidR="00A05F61" w:rsidRPr="00CE0424">
        <w:t xml:space="preserve"> </w:t>
      </w:r>
    </w:p>
    <w:bookmarkEnd w:id="7"/>
    <w:bookmarkEnd w:id="8"/>
    <w:p w14:paraId="0F2CA0B6"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106EA" w14:textId="77777777" w:rsidR="00C966B1" w:rsidRDefault="00C966B1">
      <w:r>
        <w:separator/>
      </w:r>
    </w:p>
  </w:endnote>
  <w:endnote w:type="continuationSeparator" w:id="0">
    <w:p w14:paraId="430A9A75" w14:textId="77777777" w:rsidR="00C966B1" w:rsidRDefault="00C96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A2552" w14:textId="77777777" w:rsidR="0004708D" w:rsidRDefault="0004708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9DD71" w14:textId="77777777" w:rsidR="00C966B1" w:rsidRDefault="00C966B1">
      <w:r>
        <w:separator/>
      </w:r>
    </w:p>
  </w:footnote>
  <w:footnote w:type="continuationSeparator" w:id="0">
    <w:p w14:paraId="33D833E7" w14:textId="77777777" w:rsidR="00C966B1" w:rsidRDefault="00C96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D0B84" w14:textId="77777777" w:rsidR="0004708D" w:rsidRDefault="0004708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2EAC7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A7F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A2C4499"/>
    <w:multiLevelType w:val="hybridMultilevel"/>
    <w:tmpl w:val="38E060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DCE27CA"/>
    <w:multiLevelType w:val="hybridMultilevel"/>
    <w:tmpl w:val="2C4832B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3"/>
  </w:num>
  <w:num w:numId="2">
    <w:abstractNumId w:val="19"/>
  </w:num>
  <w:num w:numId="3">
    <w:abstractNumId w:val="14"/>
  </w:num>
  <w:num w:numId="4">
    <w:abstractNumId w:val="15"/>
  </w:num>
  <w:num w:numId="5">
    <w:abstractNumId w:val="10"/>
  </w:num>
  <w:num w:numId="6">
    <w:abstractNumId w:val="17"/>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5"/>
  </w:num>
  <w:num w:numId="18">
    <w:abstractNumId w:val="8"/>
  </w:num>
  <w:num w:numId="19">
    <w:abstractNumId w:val="4"/>
  </w:num>
  <w:num w:numId="20">
    <w:abstractNumId w:val="26"/>
  </w:num>
  <w:num w:numId="21">
    <w:abstractNumId w:val="12"/>
  </w:num>
  <w:num w:numId="22">
    <w:abstractNumId w:val="24"/>
  </w:num>
  <w:num w:numId="23">
    <w:abstractNumId w:val="7"/>
  </w:num>
  <w:num w:numId="24">
    <w:abstractNumId w:val="13"/>
  </w:num>
  <w:num w:numId="25">
    <w:abstractNumId w:val="27"/>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8"/>
  </w:num>
  <w:num w:numId="2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177"/>
    <w:rsid w:val="000006E1"/>
    <w:rsid w:val="00002A37"/>
    <w:rsid w:val="0000497B"/>
    <w:rsid w:val="0000564C"/>
    <w:rsid w:val="00006446"/>
    <w:rsid w:val="00006896"/>
    <w:rsid w:val="00007CDC"/>
    <w:rsid w:val="00011B28"/>
    <w:rsid w:val="00015D15"/>
    <w:rsid w:val="000234B4"/>
    <w:rsid w:val="0002564D"/>
    <w:rsid w:val="00025ECA"/>
    <w:rsid w:val="000325B8"/>
    <w:rsid w:val="00034C15"/>
    <w:rsid w:val="00036BA1"/>
    <w:rsid w:val="000422E2"/>
    <w:rsid w:val="00042F22"/>
    <w:rsid w:val="000444EF"/>
    <w:rsid w:val="0004708D"/>
    <w:rsid w:val="000526B8"/>
    <w:rsid w:val="00052A07"/>
    <w:rsid w:val="000534E3"/>
    <w:rsid w:val="0005606A"/>
    <w:rsid w:val="00057117"/>
    <w:rsid w:val="00060783"/>
    <w:rsid w:val="000616E7"/>
    <w:rsid w:val="00061BA0"/>
    <w:rsid w:val="0006487E"/>
    <w:rsid w:val="00065E1A"/>
    <w:rsid w:val="000673CB"/>
    <w:rsid w:val="00077E5F"/>
    <w:rsid w:val="0008036A"/>
    <w:rsid w:val="00081AE6"/>
    <w:rsid w:val="000821C1"/>
    <w:rsid w:val="000847CD"/>
    <w:rsid w:val="000855EB"/>
    <w:rsid w:val="00085B52"/>
    <w:rsid w:val="000866F2"/>
    <w:rsid w:val="0009009F"/>
    <w:rsid w:val="00091557"/>
    <w:rsid w:val="000924C1"/>
    <w:rsid w:val="000924F0"/>
    <w:rsid w:val="00092C8D"/>
    <w:rsid w:val="00093474"/>
    <w:rsid w:val="0009510F"/>
    <w:rsid w:val="0009640A"/>
    <w:rsid w:val="000A1B7B"/>
    <w:rsid w:val="000A56F2"/>
    <w:rsid w:val="000B2719"/>
    <w:rsid w:val="000B3A8F"/>
    <w:rsid w:val="000B4AB9"/>
    <w:rsid w:val="000B58C3"/>
    <w:rsid w:val="000B61E9"/>
    <w:rsid w:val="000C165A"/>
    <w:rsid w:val="000C2622"/>
    <w:rsid w:val="000C2E19"/>
    <w:rsid w:val="000C6DD1"/>
    <w:rsid w:val="000D0D07"/>
    <w:rsid w:val="000D4797"/>
    <w:rsid w:val="000D5C76"/>
    <w:rsid w:val="000D7D6C"/>
    <w:rsid w:val="000E0527"/>
    <w:rsid w:val="000E1E92"/>
    <w:rsid w:val="000F06D6"/>
    <w:rsid w:val="000F0EB1"/>
    <w:rsid w:val="000F1106"/>
    <w:rsid w:val="000F3BE9"/>
    <w:rsid w:val="000F3F6C"/>
    <w:rsid w:val="000F6DF3"/>
    <w:rsid w:val="000F736F"/>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191D"/>
    <w:rsid w:val="001729BB"/>
    <w:rsid w:val="00173A8E"/>
    <w:rsid w:val="0017502C"/>
    <w:rsid w:val="00177B22"/>
    <w:rsid w:val="0018143F"/>
    <w:rsid w:val="00181FF8"/>
    <w:rsid w:val="00182333"/>
    <w:rsid w:val="00190AC1"/>
    <w:rsid w:val="0019341A"/>
    <w:rsid w:val="00197DF9"/>
    <w:rsid w:val="001A1987"/>
    <w:rsid w:val="001A2564"/>
    <w:rsid w:val="001A6173"/>
    <w:rsid w:val="001A6CBA"/>
    <w:rsid w:val="001B0D97"/>
    <w:rsid w:val="001B5A5D"/>
    <w:rsid w:val="001C1CE5"/>
    <w:rsid w:val="001C3D2A"/>
    <w:rsid w:val="001C4690"/>
    <w:rsid w:val="001D51BA"/>
    <w:rsid w:val="001D53E7"/>
    <w:rsid w:val="001D6342"/>
    <w:rsid w:val="001D6D53"/>
    <w:rsid w:val="001E1233"/>
    <w:rsid w:val="001E58E2"/>
    <w:rsid w:val="001E7AED"/>
    <w:rsid w:val="001F3916"/>
    <w:rsid w:val="001F54C5"/>
    <w:rsid w:val="001F662C"/>
    <w:rsid w:val="001F7074"/>
    <w:rsid w:val="001F745B"/>
    <w:rsid w:val="00200490"/>
    <w:rsid w:val="00201F3A"/>
    <w:rsid w:val="00203F96"/>
    <w:rsid w:val="002069B2"/>
    <w:rsid w:val="00207FA3"/>
    <w:rsid w:val="002124A7"/>
    <w:rsid w:val="00214DA8"/>
    <w:rsid w:val="00215423"/>
    <w:rsid w:val="002158FA"/>
    <w:rsid w:val="00216C0E"/>
    <w:rsid w:val="0021785C"/>
    <w:rsid w:val="00220600"/>
    <w:rsid w:val="00220F0A"/>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A83"/>
    <w:rsid w:val="00267C83"/>
    <w:rsid w:val="0027144F"/>
    <w:rsid w:val="00271813"/>
    <w:rsid w:val="00271993"/>
    <w:rsid w:val="00271F3A"/>
    <w:rsid w:val="00273278"/>
    <w:rsid w:val="002737F4"/>
    <w:rsid w:val="00274107"/>
    <w:rsid w:val="002805F5"/>
    <w:rsid w:val="00280751"/>
    <w:rsid w:val="0028280A"/>
    <w:rsid w:val="00286ACD"/>
    <w:rsid w:val="00287838"/>
    <w:rsid w:val="002907B5"/>
    <w:rsid w:val="00292EB7"/>
    <w:rsid w:val="00296227"/>
    <w:rsid w:val="00296F44"/>
    <w:rsid w:val="0029777D"/>
    <w:rsid w:val="002A055E"/>
    <w:rsid w:val="002A1D4E"/>
    <w:rsid w:val="002A2869"/>
    <w:rsid w:val="002A54BE"/>
    <w:rsid w:val="002B24D6"/>
    <w:rsid w:val="002C06AD"/>
    <w:rsid w:val="002C41E6"/>
    <w:rsid w:val="002D071A"/>
    <w:rsid w:val="002D15B4"/>
    <w:rsid w:val="002D34B2"/>
    <w:rsid w:val="002D48B0"/>
    <w:rsid w:val="002D5B37"/>
    <w:rsid w:val="002D7637"/>
    <w:rsid w:val="002E17F2"/>
    <w:rsid w:val="002E7CAE"/>
    <w:rsid w:val="002F2771"/>
    <w:rsid w:val="002F37A9"/>
    <w:rsid w:val="002F58FA"/>
    <w:rsid w:val="00301CE6"/>
    <w:rsid w:val="0030256B"/>
    <w:rsid w:val="0030501F"/>
    <w:rsid w:val="003059A8"/>
    <w:rsid w:val="00307BA1"/>
    <w:rsid w:val="00311702"/>
    <w:rsid w:val="00311E82"/>
    <w:rsid w:val="003133AA"/>
    <w:rsid w:val="00313FD6"/>
    <w:rsid w:val="003143BD"/>
    <w:rsid w:val="00315363"/>
    <w:rsid w:val="003203ED"/>
    <w:rsid w:val="00322C9F"/>
    <w:rsid w:val="00324D23"/>
    <w:rsid w:val="00331751"/>
    <w:rsid w:val="00334579"/>
    <w:rsid w:val="00335858"/>
    <w:rsid w:val="00335997"/>
    <w:rsid w:val="00336BDA"/>
    <w:rsid w:val="0034248A"/>
    <w:rsid w:val="00342BD7"/>
    <w:rsid w:val="00346DB5"/>
    <w:rsid w:val="003477B1"/>
    <w:rsid w:val="00350B3C"/>
    <w:rsid w:val="00357380"/>
    <w:rsid w:val="003602D9"/>
    <w:rsid w:val="003604CE"/>
    <w:rsid w:val="00370E47"/>
    <w:rsid w:val="003735ED"/>
    <w:rsid w:val="003742AC"/>
    <w:rsid w:val="00377CE1"/>
    <w:rsid w:val="00385BF0"/>
    <w:rsid w:val="00386569"/>
    <w:rsid w:val="003939FF"/>
    <w:rsid w:val="003A2223"/>
    <w:rsid w:val="003A2A0F"/>
    <w:rsid w:val="003A45A1"/>
    <w:rsid w:val="003A5B0A"/>
    <w:rsid w:val="003A6BAC"/>
    <w:rsid w:val="003A70A4"/>
    <w:rsid w:val="003A75BF"/>
    <w:rsid w:val="003A7EF3"/>
    <w:rsid w:val="003B159C"/>
    <w:rsid w:val="003B369F"/>
    <w:rsid w:val="003B36A3"/>
    <w:rsid w:val="003B64BB"/>
    <w:rsid w:val="003B7FE5"/>
    <w:rsid w:val="003C11C8"/>
    <w:rsid w:val="003C2702"/>
    <w:rsid w:val="003C7806"/>
    <w:rsid w:val="003D109F"/>
    <w:rsid w:val="003D2478"/>
    <w:rsid w:val="003D2872"/>
    <w:rsid w:val="003D3C45"/>
    <w:rsid w:val="003D5B1F"/>
    <w:rsid w:val="003E15FA"/>
    <w:rsid w:val="003E55E4"/>
    <w:rsid w:val="003E74E3"/>
    <w:rsid w:val="003F05C7"/>
    <w:rsid w:val="003F2A4D"/>
    <w:rsid w:val="003F2CD4"/>
    <w:rsid w:val="003F6BBE"/>
    <w:rsid w:val="004000E8"/>
    <w:rsid w:val="00402E2B"/>
    <w:rsid w:val="00404406"/>
    <w:rsid w:val="0040512B"/>
    <w:rsid w:val="00405CA5"/>
    <w:rsid w:val="00407CD3"/>
    <w:rsid w:val="00410134"/>
    <w:rsid w:val="00410B72"/>
    <w:rsid w:val="00410F18"/>
    <w:rsid w:val="0041263E"/>
    <w:rsid w:val="00413AAC"/>
    <w:rsid w:val="00413E92"/>
    <w:rsid w:val="00421105"/>
    <w:rsid w:val="00422AA4"/>
    <w:rsid w:val="004233D6"/>
    <w:rsid w:val="004242F4"/>
    <w:rsid w:val="00427248"/>
    <w:rsid w:val="00437447"/>
    <w:rsid w:val="00441A92"/>
    <w:rsid w:val="004431DC"/>
    <w:rsid w:val="00444F56"/>
    <w:rsid w:val="00446214"/>
    <w:rsid w:val="00446488"/>
    <w:rsid w:val="00446DEE"/>
    <w:rsid w:val="00451714"/>
    <w:rsid w:val="004517AA"/>
    <w:rsid w:val="00452CAC"/>
    <w:rsid w:val="00457565"/>
    <w:rsid w:val="00457B71"/>
    <w:rsid w:val="004669E2"/>
    <w:rsid w:val="00470C31"/>
    <w:rsid w:val="00471DE0"/>
    <w:rsid w:val="004734D0"/>
    <w:rsid w:val="004745E9"/>
    <w:rsid w:val="0047556B"/>
    <w:rsid w:val="00477768"/>
    <w:rsid w:val="00492BC5"/>
    <w:rsid w:val="004964F1"/>
    <w:rsid w:val="004A16BC"/>
    <w:rsid w:val="004A2B94"/>
    <w:rsid w:val="004A3E61"/>
    <w:rsid w:val="004B00B1"/>
    <w:rsid w:val="004B6F6A"/>
    <w:rsid w:val="004B7C0C"/>
    <w:rsid w:val="004C2F65"/>
    <w:rsid w:val="004C3898"/>
    <w:rsid w:val="004D36B1"/>
    <w:rsid w:val="004D7EBD"/>
    <w:rsid w:val="004E2680"/>
    <w:rsid w:val="004E28F9"/>
    <w:rsid w:val="004E4285"/>
    <w:rsid w:val="004E462E"/>
    <w:rsid w:val="004E56DC"/>
    <w:rsid w:val="004E76F4"/>
    <w:rsid w:val="004F0B4E"/>
    <w:rsid w:val="004F0B6C"/>
    <w:rsid w:val="004F18C0"/>
    <w:rsid w:val="004F2078"/>
    <w:rsid w:val="004F4DA3"/>
    <w:rsid w:val="00501D6A"/>
    <w:rsid w:val="00506557"/>
    <w:rsid w:val="0050677A"/>
    <w:rsid w:val="00506F8A"/>
    <w:rsid w:val="005108D8"/>
    <w:rsid w:val="005116F9"/>
    <w:rsid w:val="005153A7"/>
    <w:rsid w:val="005219CF"/>
    <w:rsid w:val="00527185"/>
    <w:rsid w:val="00534B59"/>
    <w:rsid w:val="00536759"/>
    <w:rsid w:val="00537C62"/>
    <w:rsid w:val="005417C5"/>
    <w:rsid w:val="00541978"/>
    <w:rsid w:val="005453C5"/>
    <w:rsid w:val="00546970"/>
    <w:rsid w:val="00554E19"/>
    <w:rsid w:val="0056121F"/>
    <w:rsid w:val="00572505"/>
    <w:rsid w:val="0057322D"/>
    <w:rsid w:val="005767C1"/>
    <w:rsid w:val="00582809"/>
    <w:rsid w:val="0058798C"/>
    <w:rsid w:val="005900FA"/>
    <w:rsid w:val="005935A4"/>
    <w:rsid w:val="005948C2"/>
    <w:rsid w:val="00595DCA"/>
    <w:rsid w:val="0059779B"/>
    <w:rsid w:val="005A209A"/>
    <w:rsid w:val="005A2D9A"/>
    <w:rsid w:val="005A662D"/>
    <w:rsid w:val="005B1409"/>
    <w:rsid w:val="005B35D7"/>
    <w:rsid w:val="005B392A"/>
    <w:rsid w:val="005B3AA3"/>
    <w:rsid w:val="005B6D57"/>
    <w:rsid w:val="005B6F83"/>
    <w:rsid w:val="005C171B"/>
    <w:rsid w:val="005C26B3"/>
    <w:rsid w:val="005C74FB"/>
    <w:rsid w:val="005D1602"/>
    <w:rsid w:val="005D21A5"/>
    <w:rsid w:val="005D7D0B"/>
    <w:rsid w:val="005E385F"/>
    <w:rsid w:val="005E5B81"/>
    <w:rsid w:val="005E6E17"/>
    <w:rsid w:val="005F2CB1"/>
    <w:rsid w:val="005F3025"/>
    <w:rsid w:val="005F618C"/>
    <w:rsid w:val="005F70BD"/>
    <w:rsid w:val="0060283C"/>
    <w:rsid w:val="00604F14"/>
    <w:rsid w:val="00605AA9"/>
    <w:rsid w:val="00611B83"/>
    <w:rsid w:val="00613257"/>
    <w:rsid w:val="00620A71"/>
    <w:rsid w:val="00620D80"/>
    <w:rsid w:val="00622D8E"/>
    <w:rsid w:val="006234A6"/>
    <w:rsid w:val="00630001"/>
    <w:rsid w:val="00630898"/>
    <w:rsid w:val="006311B3"/>
    <w:rsid w:val="006311F9"/>
    <w:rsid w:val="0063284C"/>
    <w:rsid w:val="00635B9A"/>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D58"/>
    <w:rsid w:val="00667EE7"/>
    <w:rsid w:val="00670922"/>
    <w:rsid w:val="00670BE1"/>
    <w:rsid w:val="0067145A"/>
    <w:rsid w:val="0067218F"/>
    <w:rsid w:val="006741F2"/>
    <w:rsid w:val="00674CC3"/>
    <w:rsid w:val="00675C72"/>
    <w:rsid w:val="006771F9"/>
    <w:rsid w:val="006776D7"/>
    <w:rsid w:val="00680B93"/>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2D4"/>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6AB1"/>
    <w:rsid w:val="0070346E"/>
    <w:rsid w:val="00704EDB"/>
    <w:rsid w:val="00706101"/>
    <w:rsid w:val="00707072"/>
    <w:rsid w:val="00707D61"/>
    <w:rsid w:val="00710005"/>
    <w:rsid w:val="00711217"/>
    <w:rsid w:val="00712287"/>
    <w:rsid w:val="00712772"/>
    <w:rsid w:val="007148D3"/>
    <w:rsid w:val="00715B9A"/>
    <w:rsid w:val="00723A8A"/>
    <w:rsid w:val="007257D0"/>
    <w:rsid w:val="00726EA6"/>
    <w:rsid w:val="00727208"/>
    <w:rsid w:val="00727680"/>
    <w:rsid w:val="007348B1"/>
    <w:rsid w:val="00734C82"/>
    <w:rsid w:val="007362A6"/>
    <w:rsid w:val="00736D7D"/>
    <w:rsid w:val="00740E58"/>
    <w:rsid w:val="007445A0"/>
    <w:rsid w:val="0074524B"/>
    <w:rsid w:val="00747D8B"/>
    <w:rsid w:val="00751228"/>
    <w:rsid w:val="00754CC8"/>
    <w:rsid w:val="007571E1"/>
    <w:rsid w:val="00757A16"/>
    <w:rsid w:val="007604B2"/>
    <w:rsid w:val="00765281"/>
    <w:rsid w:val="00766BAD"/>
    <w:rsid w:val="007729A2"/>
    <w:rsid w:val="007755F2"/>
    <w:rsid w:val="00776971"/>
    <w:rsid w:val="00780A80"/>
    <w:rsid w:val="0078177E"/>
    <w:rsid w:val="0078304C"/>
    <w:rsid w:val="00783673"/>
    <w:rsid w:val="00785490"/>
    <w:rsid w:val="00791E99"/>
    <w:rsid w:val="007925EA"/>
    <w:rsid w:val="00793CD8"/>
    <w:rsid w:val="00795C92"/>
    <w:rsid w:val="00796231"/>
    <w:rsid w:val="007A1CB3"/>
    <w:rsid w:val="007A306F"/>
    <w:rsid w:val="007A43A6"/>
    <w:rsid w:val="007A58A6"/>
    <w:rsid w:val="007A5F1D"/>
    <w:rsid w:val="007B3D2D"/>
    <w:rsid w:val="007B50AE"/>
    <w:rsid w:val="007B51DF"/>
    <w:rsid w:val="007C05DD"/>
    <w:rsid w:val="007C3D18"/>
    <w:rsid w:val="007C58B8"/>
    <w:rsid w:val="007C60BF"/>
    <w:rsid w:val="007C6A07"/>
    <w:rsid w:val="007C75A1"/>
    <w:rsid w:val="007C77A5"/>
    <w:rsid w:val="007D04E5"/>
    <w:rsid w:val="007D5901"/>
    <w:rsid w:val="007D7526"/>
    <w:rsid w:val="007E0EC8"/>
    <w:rsid w:val="007E4610"/>
    <w:rsid w:val="007E4715"/>
    <w:rsid w:val="007E505B"/>
    <w:rsid w:val="007E7091"/>
    <w:rsid w:val="007E7315"/>
    <w:rsid w:val="007F54CA"/>
    <w:rsid w:val="00803FAE"/>
    <w:rsid w:val="0080448D"/>
    <w:rsid w:val="0080605F"/>
    <w:rsid w:val="00807786"/>
    <w:rsid w:val="00811FCB"/>
    <w:rsid w:val="008158D6"/>
    <w:rsid w:val="00817196"/>
    <w:rsid w:val="008235DB"/>
    <w:rsid w:val="00824AB4"/>
    <w:rsid w:val="00825C42"/>
    <w:rsid w:val="00825D25"/>
    <w:rsid w:val="00827D6F"/>
    <w:rsid w:val="00831499"/>
    <w:rsid w:val="008376AC"/>
    <w:rsid w:val="008444E8"/>
    <w:rsid w:val="00844E80"/>
    <w:rsid w:val="00846FE7"/>
    <w:rsid w:val="00847B3B"/>
    <w:rsid w:val="00853C88"/>
    <w:rsid w:val="00856911"/>
    <w:rsid w:val="008677FD"/>
    <w:rsid w:val="008706D4"/>
    <w:rsid w:val="00870F8A"/>
    <w:rsid w:val="008719A4"/>
    <w:rsid w:val="00871D23"/>
    <w:rsid w:val="00874312"/>
    <w:rsid w:val="0087437C"/>
    <w:rsid w:val="00875CD7"/>
    <w:rsid w:val="00876B4D"/>
    <w:rsid w:val="00877F18"/>
    <w:rsid w:val="008936A6"/>
    <w:rsid w:val="008941E3"/>
    <w:rsid w:val="00894A88"/>
    <w:rsid w:val="00895386"/>
    <w:rsid w:val="008A21FF"/>
    <w:rsid w:val="008A26BA"/>
    <w:rsid w:val="008A2CE2"/>
    <w:rsid w:val="008A30AC"/>
    <w:rsid w:val="008A44B8"/>
    <w:rsid w:val="008A51A8"/>
    <w:rsid w:val="008A54C7"/>
    <w:rsid w:val="008A77D8"/>
    <w:rsid w:val="008B0483"/>
    <w:rsid w:val="008B120C"/>
    <w:rsid w:val="008B51A0"/>
    <w:rsid w:val="008B558D"/>
    <w:rsid w:val="008B592A"/>
    <w:rsid w:val="008B7B5C"/>
    <w:rsid w:val="008C0C99"/>
    <w:rsid w:val="008C2017"/>
    <w:rsid w:val="008C4958"/>
    <w:rsid w:val="008C4BAA"/>
    <w:rsid w:val="008C6AE8"/>
    <w:rsid w:val="008C7573"/>
    <w:rsid w:val="008D00A5"/>
    <w:rsid w:val="008D34F1"/>
    <w:rsid w:val="008D39D8"/>
    <w:rsid w:val="008D3B0D"/>
    <w:rsid w:val="008D6D1A"/>
    <w:rsid w:val="008E065E"/>
    <w:rsid w:val="008E0927"/>
    <w:rsid w:val="008E1909"/>
    <w:rsid w:val="008E5D92"/>
    <w:rsid w:val="008F1EAB"/>
    <w:rsid w:val="008F33DC"/>
    <w:rsid w:val="008F477F"/>
    <w:rsid w:val="00901E14"/>
    <w:rsid w:val="00902350"/>
    <w:rsid w:val="0090336B"/>
    <w:rsid w:val="009048B5"/>
    <w:rsid w:val="009053AA"/>
    <w:rsid w:val="00906939"/>
    <w:rsid w:val="00910B7D"/>
    <w:rsid w:val="00910EF9"/>
    <w:rsid w:val="00911DFB"/>
    <w:rsid w:val="009139D9"/>
    <w:rsid w:val="00914AD8"/>
    <w:rsid w:val="00916079"/>
    <w:rsid w:val="009160A2"/>
    <w:rsid w:val="00917CE9"/>
    <w:rsid w:val="009204A7"/>
    <w:rsid w:val="00920BF2"/>
    <w:rsid w:val="00922010"/>
    <w:rsid w:val="00923B33"/>
    <w:rsid w:val="00931BD9"/>
    <w:rsid w:val="00931C95"/>
    <w:rsid w:val="00934EB8"/>
    <w:rsid w:val="00936875"/>
    <w:rsid w:val="009368F3"/>
    <w:rsid w:val="00941636"/>
    <w:rsid w:val="00943742"/>
    <w:rsid w:val="00945C05"/>
    <w:rsid w:val="00946945"/>
    <w:rsid w:val="00947713"/>
    <w:rsid w:val="00950B8C"/>
    <w:rsid w:val="00950DE7"/>
    <w:rsid w:val="00953920"/>
    <w:rsid w:val="00953D47"/>
    <w:rsid w:val="0095681E"/>
    <w:rsid w:val="009572D4"/>
    <w:rsid w:val="00961921"/>
    <w:rsid w:val="0096430A"/>
    <w:rsid w:val="0096554B"/>
    <w:rsid w:val="0096584A"/>
    <w:rsid w:val="00967E2D"/>
    <w:rsid w:val="00971F08"/>
    <w:rsid w:val="0097603D"/>
    <w:rsid w:val="00976949"/>
    <w:rsid w:val="00980477"/>
    <w:rsid w:val="009837C9"/>
    <w:rsid w:val="00985253"/>
    <w:rsid w:val="009853B3"/>
    <w:rsid w:val="00990630"/>
    <w:rsid w:val="00991761"/>
    <w:rsid w:val="00994DCA"/>
    <w:rsid w:val="009960EC"/>
    <w:rsid w:val="009970DD"/>
    <w:rsid w:val="009A0FBA"/>
    <w:rsid w:val="009A1601"/>
    <w:rsid w:val="009A1EE3"/>
    <w:rsid w:val="009A3BB6"/>
    <w:rsid w:val="009A462D"/>
    <w:rsid w:val="009A5CBA"/>
    <w:rsid w:val="009B1F30"/>
    <w:rsid w:val="009B3AC2"/>
    <w:rsid w:val="009B4DF4"/>
    <w:rsid w:val="009B564E"/>
    <w:rsid w:val="009B7E87"/>
    <w:rsid w:val="009C0169"/>
    <w:rsid w:val="009C394E"/>
    <w:rsid w:val="009C403E"/>
    <w:rsid w:val="009C7E8F"/>
    <w:rsid w:val="009D0E1A"/>
    <w:rsid w:val="009D4FF0"/>
    <w:rsid w:val="009D703C"/>
    <w:rsid w:val="009D718F"/>
    <w:rsid w:val="009E068F"/>
    <w:rsid w:val="009E14E0"/>
    <w:rsid w:val="009E35DB"/>
    <w:rsid w:val="009E47A3"/>
    <w:rsid w:val="009F08F3"/>
    <w:rsid w:val="009F344F"/>
    <w:rsid w:val="009F7CF0"/>
    <w:rsid w:val="00A031D8"/>
    <w:rsid w:val="00A03D26"/>
    <w:rsid w:val="00A048A8"/>
    <w:rsid w:val="00A04F49"/>
    <w:rsid w:val="00A05265"/>
    <w:rsid w:val="00A05F61"/>
    <w:rsid w:val="00A06049"/>
    <w:rsid w:val="00A13E54"/>
    <w:rsid w:val="00A167C4"/>
    <w:rsid w:val="00A17F63"/>
    <w:rsid w:val="00A2193B"/>
    <w:rsid w:val="00A2351A"/>
    <w:rsid w:val="00A264A9"/>
    <w:rsid w:val="00A26DCF"/>
    <w:rsid w:val="00A27785"/>
    <w:rsid w:val="00A30187"/>
    <w:rsid w:val="00A33E9A"/>
    <w:rsid w:val="00A3448A"/>
    <w:rsid w:val="00A36297"/>
    <w:rsid w:val="00A41E2B"/>
    <w:rsid w:val="00A45B74"/>
    <w:rsid w:val="00A52E1D"/>
    <w:rsid w:val="00A61499"/>
    <w:rsid w:val="00A62A77"/>
    <w:rsid w:val="00A63483"/>
    <w:rsid w:val="00A657D7"/>
    <w:rsid w:val="00A660AC"/>
    <w:rsid w:val="00A668FC"/>
    <w:rsid w:val="00A67E6C"/>
    <w:rsid w:val="00A71B99"/>
    <w:rsid w:val="00A739D0"/>
    <w:rsid w:val="00A761D4"/>
    <w:rsid w:val="00A77EC4"/>
    <w:rsid w:val="00A92879"/>
    <w:rsid w:val="00A9442A"/>
    <w:rsid w:val="00A968F3"/>
    <w:rsid w:val="00AA016F"/>
    <w:rsid w:val="00AA1ED6"/>
    <w:rsid w:val="00AA51D6"/>
    <w:rsid w:val="00AB0BC8"/>
    <w:rsid w:val="00AB11CA"/>
    <w:rsid w:val="00AB14D9"/>
    <w:rsid w:val="00AB2DD1"/>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5830"/>
    <w:rsid w:val="00B20256"/>
    <w:rsid w:val="00B20D09"/>
    <w:rsid w:val="00B2763F"/>
    <w:rsid w:val="00B27AAC"/>
    <w:rsid w:val="00B30929"/>
    <w:rsid w:val="00B372AA"/>
    <w:rsid w:val="00B40445"/>
    <w:rsid w:val="00B409E0"/>
    <w:rsid w:val="00B41888"/>
    <w:rsid w:val="00B45A52"/>
    <w:rsid w:val="00B46175"/>
    <w:rsid w:val="00B548B7"/>
    <w:rsid w:val="00B664C7"/>
    <w:rsid w:val="00B67C41"/>
    <w:rsid w:val="00B739F6"/>
    <w:rsid w:val="00B81A6C"/>
    <w:rsid w:val="00B85DE5"/>
    <w:rsid w:val="00B90F73"/>
    <w:rsid w:val="00B93B59"/>
    <w:rsid w:val="00B9406A"/>
    <w:rsid w:val="00BA2280"/>
    <w:rsid w:val="00BA2A08"/>
    <w:rsid w:val="00BA3C2F"/>
    <w:rsid w:val="00BA56D2"/>
    <w:rsid w:val="00BA76E0"/>
    <w:rsid w:val="00BB2A25"/>
    <w:rsid w:val="00BB4F3F"/>
    <w:rsid w:val="00BB51E9"/>
    <w:rsid w:val="00BC0FDC"/>
    <w:rsid w:val="00BC3053"/>
    <w:rsid w:val="00BC4D2E"/>
    <w:rsid w:val="00BD2177"/>
    <w:rsid w:val="00BD48AC"/>
    <w:rsid w:val="00BD5F1A"/>
    <w:rsid w:val="00BE1234"/>
    <w:rsid w:val="00BE2FA6"/>
    <w:rsid w:val="00BE333F"/>
    <w:rsid w:val="00BE7406"/>
    <w:rsid w:val="00BE7603"/>
    <w:rsid w:val="00BF2677"/>
    <w:rsid w:val="00BF3279"/>
    <w:rsid w:val="00BF56C6"/>
    <w:rsid w:val="00BF74C7"/>
    <w:rsid w:val="00C015F1"/>
    <w:rsid w:val="00C01F33"/>
    <w:rsid w:val="00C02CC6"/>
    <w:rsid w:val="00C040F7"/>
    <w:rsid w:val="00C044AB"/>
    <w:rsid w:val="00C05706"/>
    <w:rsid w:val="00C059B3"/>
    <w:rsid w:val="00C063AC"/>
    <w:rsid w:val="00C07377"/>
    <w:rsid w:val="00C10478"/>
    <w:rsid w:val="00C12107"/>
    <w:rsid w:val="00C14D4B"/>
    <w:rsid w:val="00C154BB"/>
    <w:rsid w:val="00C2681B"/>
    <w:rsid w:val="00C26E5E"/>
    <w:rsid w:val="00C279B5"/>
    <w:rsid w:val="00C27C45"/>
    <w:rsid w:val="00C3719D"/>
    <w:rsid w:val="00C37CB2"/>
    <w:rsid w:val="00C473A5"/>
    <w:rsid w:val="00C54995"/>
    <w:rsid w:val="00C54D41"/>
    <w:rsid w:val="00C60783"/>
    <w:rsid w:val="00C64672"/>
    <w:rsid w:val="00C70697"/>
    <w:rsid w:val="00C72093"/>
    <w:rsid w:val="00C72503"/>
    <w:rsid w:val="00C72EF4"/>
    <w:rsid w:val="00C744FE"/>
    <w:rsid w:val="00C75D2F"/>
    <w:rsid w:val="00C767BE"/>
    <w:rsid w:val="00C76E3C"/>
    <w:rsid w:val="00C81568"/>
    <w:rsid w:val="00C9027A"/>
    <w:rsid w:val="00C9068E"/>
    <w:rsid w:val="00C93814"/>
    <w:rsid w:val="00C93C4B"/>
    <w:rsid w:val="00C944AB"/>
    <w:rsid w:val="00C95B40"/>
    <w:rsid w:val="00C966B1"/>
    <w:rsid w:val="00C97603"/>
    <w:rsid w:val="00CA1ED8"/>
    <w:rsid w:val="00CB1F63"/>
    <w:rsid w:val="00CB5EE4"/>
    <w:rsid w:val="00CB7170"/>
    <w:rsid w:val="00CC040E"/>
    <w:rsid w:val="00CC111F"/>
    <w:rsid w:val="00CC2011"/>
    <w:rsid w:val="00CC3EA0"/>
    <w:rsid w:val="00CC7B45"/>
    <w:rsid w:val="00CD1188"/>
    <w:rsid w:val="00CD2ED1"/>
    <w:rsid w:val="00CD2EFD"/>
    <w:rsid w:val="00CD337B"/>
    <w:rsid w:val="00CD55EC"/>
    <w:rsid w:val="00CE0424"/>
    <w:rsid w:val="00CE7561"/>
    <w:rsid w:val="00CE792D"/>
    <w:rsid w:val="00CF1354"/>
    <w:rsid w:val="00CF3B1F"/>
    <w:rsid w:val="00CF3BF6"/>
    <w:rsid w:val="00CF625B"/>
    <w:rsid w:val="00CF687E"/>
    <w:rsid w:val="00D0349B"/>
    <w:rsid w:val="00D10249"/>
    <w:rsid w:val="00D115C3"/>
    <w:rsid w:val="00D11897"/>
    <w:rsid w:val="00D13135"/>
    <w:rsid w:val="00D13E4E"/>
    <w:rsid w:val="00D208BC"/>
    <w:rsid w:val="00D239A7"/>
    <w:rsid w:val="00D23F47"/>
    <w:rsid w:val="00D304F7"/>
    <w:rsid w:val="00D36E71"/>
    <w:rsid w:val="00D37D87"/>
    <w:rsid w:val="00D40B33"/>
    <w:rsid w:val="00D4318F"/>
    <w:rsid w:val="00D438BF"/>
    <w:rsid w:val="00D440F8"/>
    <w:rsid w:val="00D475E2"/>
    <w:rsid w:val="00D546FF"/>
    <w:rsid w:val="00D55AD5"/>
    <w:rsid w:val="00D569E0"/>
    <w:rsid w:val="00D576CA"/>
    <w:rsid w:val="00D61AF5"/>
    <w:rsid w:val="00D652B5"/>
    <w:rsid w:val="00D66155"/>
    <w:rsid w:val="00D708B0"/>
    <w:rsid w:val="00D72365"/>
    <w:rsid w:val="00D75EE3"/>
    <w:rsid w:val="00D77B1D"/>
    <w:rsid w:val="00D8021F"/>
    <w:rsid w:val="00D80383"/>
    <w:rsid w:val="00D823C6"/>
    <w:rsid w:val="00D8327F"/>
    <w:rsid w:val="00D86CA3"/>
    <w:rsid w:val="00D871CE"/>
    <w:rsid w:val="00D87553"/>
    <w:rsid w:val="00D9196D"/>
    <w:rsid w:val="00D92982"/>
    <w:rsid w:val="00D94EEF"/>
    <w:rsid w:val="00DA1AA3"/>
    <w:rsid w:val="00DA305E"/>
    <w:rsid w:val="00DA5417"/>
    <w:rsid w:val="00DA56E8"/>
    <w:rsid w:val="00DA58E8"/>
    <w:rsid w:val="00DB0A9F"/>
    <w:rsid w:val="00DB377D"/>
    <w:rsid w:val="00DC2D36"/>
    <w:rsid w:val="00DC2DCB"/>
    <w:rsid w:val="00DC53EF"/>
    <w:rsid w:val="00DD24F8"/>
    <w:rsid w:val="00DD76F7"/>
    <w:rsid w:val="00DE5608"/>
    <w:rsid w:val="00DE58D0"/>
    <w:rsid w:val="00DE654F"/>
    <w:rsid w:val="00DF0B6E"/>
    <w:rsid w:val="00DF15E0"/>
    <w:rsid w:val="00DF1A85"/>
    <w:rsid w:val="00DF37A0"/>
    <w:rsid w:val="00DF6E19"/>
    <w:rsid w:val="00E10B03"/>
    <w:rsid w:val="00E110E7"/>
    <w:rsid w:val="00E11B20"/>
    <w:rsid w:val="00E17245"/>
    <w:rsid w:val="00E17FA2"/>
    <w:rsid w:val="00E22330"/>
    <w:rsid w:val="00E30B5A"/>
    <w:rsid w:val="00E3123D"/>
    <w:rsid w:val="00E31461"/>
    <w:rsid w:val="00E31D43"/>
    <w:rsid w:val="00E32608"/>
    <w:rsid w:val="00E34188"/>
    <w:rsid w:val="00E34B6E"/>
    <w:rsid w:val="00E35559"/>
    <w:rsid w:val="00E36F7E"/>
    <w:rsid w:val="00E3723A"/>
    <w:rsid w:val="00E37860"/>
    <w:rsid w:val="00E446F1"/>
    <w:rsid w:val="00E46886"/>
    <w:rsid w:val="00E47AEF"/>
    <w:rsid w:val="00E5077B"/>
    <w:rsid w:val="00E53B75"/>
    <w:rsid w:val="00E54E3B"/>
    <w:rsid w:val="00E57565"/>
    <w:rsid w:val="00E63838"/>
    <w:rsid w:val="00E63ED1"/>
    <w:rsid w:val="00E64434"/>
    <w:rsid w:val="00E67C51"/>
    <w:rsid w:val="00E708BE"/>
    <w:rsid w:val="00E72EFC"/>
    <w:rsid w:val="00E743C2"/>
    <w:rsid w:val="00E758EC"/>
    <w:rsid w:val="00E81FF5"/>
    <w:rsid w:val="00E8234C"/>
    <w:rsid w:val="00E83AA9"/>
    <w:rsid w:val="00E85928"/>
    <w:rsid w:val="00E87822"/>
    <w:rsid w:val="00E90395"/>
    <w:rsid w:val="00E90E49"/>
    <w:rsid w:val="00E917F9"/>
    <w:rsid w:val="00E91BAD"/>
    <w:rsid w:val="00E9291C"/>
    <w:rsid w:val="00E93FFE"/>
    <w:rsid w:val="00E94F8A"/>
    <w:rsid w:val="00EA7A41"/>
    <w:rsid w:val="00EB077B"/>
    <w:rsid w:val="00EB4EA2"/>
    <w:rsid w:val="00EB5D8C"/>
    <w:rsid w:val="00EC24D5"/>
    <w:rsid w:val="00EC27C6"/>
    <w:rsid w:val="00EC4207"/>
    <w:rsid w:val="00EC4447"/>
    <w:rsid w:val="00EC5653"/>
    <w:rsid w:val="00EC71CE"/>
    <w:rsid w:val="00ED1006"/>
    <w:rsid w:val="00ED18E8"/>
    <w:rsid w:val="00EE3625"/>
    <w:rsid w:val="00EE6290"/>
    <w:rsid w:val="00EF18FE"/>
    <w:rsid w:val="00EF54D1"/>
    <w:rsid w:val="00EF5787"/>
    <w:rsid w:val="00EF5F18"/>
    <w:rsid w:val="00EF60D0"/>
    <w:rsid w:val="00F0528D"/>
    <w:rsid w:val="00F06C67"/>
    <w:rsid w:val="00F06DFD"/>
    <w:rsid w:val="00F071D1"/>
    <w:rsid w:val="00F07533"/>
    <w:rsid w:val="00F10629"/>
    <w:rsid w:val="00F15FA5"/>
    <w:rsid w:val="00F209B7"/>
    <w:rsid w:val="00F2268A"/>
    <w:rsid w:val="00F2376F"/>
    <w:rsid w:val="00F243D8"/>
    <w:rsid w:val="00F30828"/>
    <w:rsid w:val="00F313D6"/>
    <w:rsid w:val="00F31C35"/>
    <w:rsid w:val="00F37835"/>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1EA"/>
    <w:rsid w:val="00F859D8"/>
    <w:rsid w:val="00F868F5"/>
    <w:rsid w:val="00F9056A"/>
    <w:rsid w:val="00F9068F"/>
    <w:rsid w:val="00F90F8D"/>
    <w:rsid w:val="00F92782"/>
    <w:rsid w:val="00F93AA9"/>
    <w:rsid w:val="00F96985"/>
    <w:rsid w:val="00F97838"/>
    <w:rsid w:val="00FA2BB3"/>
    <w:rsid w:val="00FB4C80"/>
    <w:rsid w:val="00FB6A6A"/>
    <w:rsid w:val="00FC2FD5"/>
    <w:rsid w:val="00FC7429"/>
    <w:rsid w:val="00FD07F6"/>
    <w:rsid w:val="00FD133A"/>
    <w:rsid w:val="00FD1EC8"/>
    <w:rsid w:val="00FD47ED"/>
    <w:rsid w:val="00FD74DB"/>
    <w:rsid w:val="00FD7660"/>
    <w:rsid w:val="00FE0655"/>
    <w:rsid w:val="00FE2365"/>
    <w:rsid w:val="00FE2FEC"/>
    <w:rsid w:val="00FE37D7"/>
    <w:rsid w:val="00FE4C7B"/>
    <w:rsid w:val="00FE5CB1"/>
    <w:rsid w:val="00FE7336"/>
    <w:rsid w:val="00FE787C"/>
    <w:rsid w:val="00FF1459"/>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AFFED9"/>
  <w15:chartTrackingRefBased/>
  <w15:docId w15:val="{48270A45-2715-4DBD-B91C-3E5226D04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C26B3"/>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5C26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5C26B3"/>
    <w:pPr>
      <w:pBdr>
        <w:top w:val="none" w:sz="0" w:space="0" w:color="auto"/>
      </w:pBdr>
      <w:spacing w:before="180"/>
      <w:outlineLvl w:val="1"/>
    </w:pPr>
    <w:rPr>
      <w:sz w:val="32"/>
    </w:rPr>
  </w:style>
  <w:style w:type="paragraph" w:styleId="Heading3">
    <w:name w:val="heading 3"/>
    <w:basedOn w:val="Heading2"/>
    <w:next w:val="Normal"/>
    <w:link w:val="Heading3Char"/>
    <w:qFormat/>
    <w:rsid w:val="005C26B3"/>
    <w:pPr>
      <w:spacing w:before="120"/>
      <w:outlineLvl w:val="2"/>
    </w:pPr>
    <w:rPr>
      <w:sz w:val="28"/>
    </w:rPr>
  </w:style>
  <w:style w:type="paragraph" w:styleId="Heading4">
    <w:name w:val="heading 4"/>
    <w:basedOn w:val="Heading3"/>
    <w:next w:val="Normal"/>
    <w:link w:val="Heading4Char"/>
    <w:qFormat/>
    <w:rsid w:val="005C26B3"/>
    <w:pPr>
      <w:ind w:left="1418" w:hanging="1418"/>
      <w:outlineLvl w:val="3"/>
    </w:pPr>
    <w:rPr>
      <w:sz w:val="24"/>
    </w:rPr>
  </w:style>
  <w:style w:type="paragraph" w:styleId="Heading5">
    <w:name w:val="heading 5"/>
    <w:basedOn w:val="Heading4"/>
    <w:next w:val="Normal"/>
    <w:link w:val="Heading5Char"/>
    <w:qFormat/>
    <w:rsid w:val="005C26B3"/>
    <w:pPr>
      <w:ind w:left="1701" w:hanging="1701"/>
      <w:outlineLvl w:val="4"/>
    </w:pPr>
    <w:rPr>
      <w:sz w:val="22"/>
    </w:rPr>
  </w:style>
  <w:style w:type="paragraph" w:styleId="Heading6">
    <w:name w:val="heading 6"/>
    <w:basedOn w:val="H6"/>
    <w:next w:val="Normal"/>
    <w:link w:val="Heading6Char"/>
    <w:qFormat/>
    <w:rsid w:val="005C26B3"/>
    <w:pPr>
      <w:outlineLvl w:val="5"/>
    </w:pPr>
  </w:style>
  <w:style w:type="paragraph" w:styleId="Heading7">
    <w:name w:val="heading 7"/>
    <w:basedOn w:val="H6"/>
    <w:next w:val="Normal"/>
    <w:link w:val="Heading7Char"/>
    <w:qFormat/>
    <w:rsid w:val="005C26B3"/>
    <w:pPr>
      <w:outlineLvl w:val="6"/>
    </w:pPr>
  </w:style>
  <w:style w:type="paragraph" w:styleId="Heading8">
    <w:name w:val="heading 8"/>
    <w:basedOn w:val="Heading1"/>
    <w:next w:val="Normal"/>
    <w:link w:val="Heading8Char"/>
    <w:qFormat/>
    <w:rsid w:val="005C26B3"/>
    <w:pPr>
      <w:ind w:left="0" w:firstLine="0"/>
      <w:outlineLvl w:val="7"/>
    </w:pPr>
  </w:style>
  <w:style w:type="paragraph" w:styleId="Heading9">
    <w:name w:val="heading 9"/>
    <w:basedOn w:val="Heading8"/>
    <w:next w:val="Normal"/>
    <w:link w:val="Heading9Char"/>
    <w:qFormat/>
    <w:rsid w:val="005C26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C26B3"/>
    <w:pPr>
      <w:spacing w:before="180"/>
      <w:ind w:left="2693" w:hanging="2693"/>
    </w:pPr>
    <w:rPr>
      <w:b/>
    </w:rPr>
  </w:style>
  <w:style w:type="paragraph" w:styleId="TOC1">
    <w:name w:val="toc 1"/>
    <w:uiPriority w:val="39"/>
    <w:rsid w:val="005C26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C26B3"/>
    <w:pPr>
      <w:keepNext/>
      <w:keepLines/>
      <w:spacing w:before="180"/>
      <w:jc w:val="center"/>
    </w:pPr>
  </w:style>
  <w:style w:type="paragraph" w:styleId="Caption">
    <w:name w:val="caption"/>
    <w:basedOn w:val="Normal"/>
    <w:next w:val="Normal"/>
    <w:qFormat/>
    <w:rsid w:val="005C26B3"/>
    <w:pPr>
      <w:spacing w:before="120" w:after="120"/>
    </w:pPr>
    <w:rPr>
      <w:b/>
      <w:lang w:eastAsia="en-GB"/>
    </w:rPr>
  </w:style>
  <w:style w:type="paragraph" w:styleId="TOC5">
    <w:name w:val="toc 5"/>
    <w:basedOn w:val="TOC4"/>
    <w:uiPriority w:val="39"/>
    <w:rsid w:val="005C26B3"/>
    <w:pPr>
      <w:ind w:left="1701" w:hanging="1701"/>
    </w:pPr>
  </w:style>
  <w:style w:type="paragraph" w:styleId="TOC4">
    <w:name w:val="toc 4"/>
    <w:basedOn w:val="TOC3"/>
    <w:uiPriority w:val="39"/>
    <w:rsid w:val="005C26B3"/>
    <w:pPr>
      <w:ind w:left="1418" w:hanging="1418"/>
    </w:pPr>
  </w:style>
  <w:style w:type="paragraph" w:styleId="TOC3">
    <w:name w:val="toc 3"/>
    <w:basedOn w:val="TOC2"/>
    <w:uiPriority w:val="39"/>
    <w:rsid w:val="005C26B3"/>
    <w:pPr>
      <w:ind w:left="1134" w:hanging="1134"/>
    </w:pPr>
  </w:style>
  <w:style w:type="paragraph" w:styleId="TOC2">
    <w:name w:val="toc 2"/>
    <w:basedOn w:val="TOC1"/>
    <w:uiPriority w:val="39"/>
    <w:rsid w:val="005C26B3"/>
    <w:pPr>
      <w:keepNext w:val="0"/>
      <w:spacing w:before="0"/>
      <w:ind w:left="851" w:hanging="851"/>
    </w:pPr>
    <w:rPr>
      <w:sz w:val="20"/>
    </w:rPr>
  </w:style>
  <w:style w:type="paragraph" w:styleId="Index2">
    <w:name w:val="index 2"/>
    <w:basedOn w:val="Index1"/>
    <w:rsid w:val="005C26B3"/>
    <w:pPr>
      <w:ind w:left="284"/>
    </w:pPr>
  </w:style>
  <w:style w:type="paragraph" w:styleId="Index1">
    <w:name w:val="index 1"/>
    <w:basedOn w:val="Normal"/>
    <w:rsid w:val="005C26B3"/>
    <w:pPr>
      <w:keepLines/>
      <w:spacing w:after="0"/>
    </w:pPr>
  </w:style>
  <w:style w:type="paragraph" w:styleId="DocumentMap">
    <w:name w:val="Document Map"/>
    <w:basedOn w:val="Normal"/>
    <w:link w:val="DocumentMapChar"/>
    <w:rsid w:val="005C26B3"/>
    <w:pPr>
      <w:shd w:val="clear" w:color="auto" w:fill="000080"/>
    </w:pPr>
    <w:rPr>
      <w:rFonts w:ascii="Tahoma" w:hAnsi="Tahoma" w:cs="Tahoma"/>
    </w:rPr>
  </w:style>
  <w:style w:type="paragraph" w:styleId="ListNumber2">
    <w:name w:val="List Number 2"/>
    <w:basedOn w:val="ListNumber"/>
    <w:rsid w:val="005C26B3"/>
    <w:pPr>
      <w:numPr>
        <w:numId w:val="22"/>
      </w:numPr>
    </w:pPr>
  </w:style>
  <w:style w:type="paragraph" w:styleId="ListNumber">
    <w:name w:val="List Number"/>
    <w:basedOn w:val="List"/>
    <w:rsid w:val="005C26B3"/>
    <w:pPr>
      <w:numPr>
        <w:numId w:val="21"/>
      </w:numPr>
    </w:pPr>
    <w:rPr>
      <w:lang w:eastAsia="ja-JP"/>
    </w:rPr>
  </w:style>
  <w:style w:type="paragraph" w:styleId="List">
    <w:name w:val="List"/>
    <w:basedOn w:val="BodyText"/>
    <w:rsid w:val="005C26B3"/>
    <w:pPr>
      <w:ind w:left="568" w:hanging="284"/>
    </w:pPr>
  </w:style>
  <w:style w:type="paragraph" w:styleId="Header">
    <w:name w:val="header"/>
    <w:link w:val="HeaderChar"/>
    <w:rsid w:val="005C26B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C26B3"/>
    <w:rPr>
      <w:b/>
      <w:position w:val="6"/>
      <w:sz w:val="16"/>
    </w:rPr>
  </w:style>
  <w:style w:type="paragraph" w:styleId="FootnoteText">
    <w:name w:val="footnote text"/>
    <w:basedOn w:val="Normal"/>
    <w:link w:val="FootnoteTextChar"/>
    <w:rsid w:val="005C26B3"/>
    <w:pPr>
      <w:keepLines/>
      <w:spacing w:after="0"/>
      <w:ind w:left="454" w:hanging="454"/>
    </w:pPr>
    <w:rPr>
      <w:sz w:val="16"/>
    </w:rPr>
  </w:style>
  <w:style w:type="paragraph" w:customStyle="1" w:styleId="3GPPHeader">
    <w:name w:val="3GPP_Header"/>
    <w:basedOn w:val="BodyText"/>
    <w:rsid w:val="005C26B3"/>
    <w:pPr>
      <w:tabs>
        <w:tab w:val="left" w:pos="1701"/>
        <w:tab w:val="right" w:pos="9639"/>
      </w:tabs>
      <w:spacing w:after="240"/>
    </w:pPr>
    <w:rPr>
      <w:b/>
      <w:sz w:val="24"/>
    </w:rPr>
  </w:style>
  <w:style w:type="paragraph" w:styleId="TOC9">
    <w:name w:val="toc 9"/>
    <w:basedOn w:val="TOC8"/>
    <w:uiPriority w:val="39"/>
    <w:rsid w:val="005C26B3"/>
    <w:pPr>
      <w:ind w:left="1418" w:hanging="1418"/>
    </w:pPr>
  </w:style>
  <w:style w:type="paragraph" w:styleId="TOC6">
    <w:name w:val="toc 6"/>
    <w:basedOn w:val="TOC5"/>
    <w:next w:val="Normal"/>
    <w:uiPriority w:val="39"/>
    <w:rsid w:val="005C26B3"/>
    <w:pPr>
      <w:ind w:left="1985" w:hanging="1985"/>
    </w:pPr>
  </w:style>
  <w:style w:type="paragraph" w:styleId="TOC7">
    <w:name w:val="toc 7"/>
    <w:basedOn w:val="TOC6"/>
    <w:next w:val="Normal"/>
    <w:uiPriority w:val="39"/>
    <w:rsid w:val="005C26B3"/>
    <w:pPr>
      <w:ind w:left="2268" w:hanging="2268"/>
    </w:pPr>
  </w:style>
  <w:style w:type="paragraph" w:styleId="ListBullet2">
    <w:name w:val="List Bullet 2"/>
    <w:basedOn w:val="ListBullet"/>
    <w:rsid w:val="005C26B3"/>
    <w:pPr>
      <w:numPr>
        <w:numId w:val="17"/>
      </w:numPr>
    </w:pPr>
  </w:style>
  <w:style w:type="paragraph" w:styleId="ListBullet">
    <w:name w:val="List Bullet"/>
    <w:basedOn w:val="List"/>
    <w:rsid w:val="005C26B3"/>
    <w:pPr>
      <w:numPr>
        <w:numId w:val="16"/>
      </w:numPr>
    </w:pPr>
    <w:rPr>
      <w:lang w:eastAsia="ja-JP"/>
    </w:rPr>
  </w:style>
  <w:style w:type="paragraph" w:styleId="ListBullet3">
    <w:name w:val="List Bullet 3"/>
    <w:basedOn w:val="ListBullet2"/>
    <w:rsid w:val="005C26B3"/>
    <w:pPr>
      <w:numPr>
        <w:numId w:val="18"/>
      </w:numPr>
    </w:pPr>
  </w:style>
  <w:style w:type="paragraph" w:customStyle="1" w:styleId="EQ">
    <w:name w:val="EQ"/>
    <w:basedOn w:val="Normal"/>
    <w:next w:val="Normal"/>
    <w:rsid w:val="005C26B3"/>
    <w:pPr>
      <w:keepLines/>
      <w:tabs>
        <w:tab w:val="center" w:pos="4536"/>
        <w:tab w:val="right" w:pos="9072"/>
      </w:tabs>
    </w:pPr>
    <w:rPr>
      <w:noProof/>
    </w:rPr>
  </w:style>
  <w:style w:type="paragraph" w:styleId="List2">
    <w:name w:val="List 2"/>
    <w:basedOn w:val="List"/>
    <w:rsid w:val="005C26B3"/>
    <w:pPr>
      <w:ind w:left="851"/>
    </w:pPr>
    <w:rPr>
      <w:lang w:eastAsia="ja-JP"/>
    </w:rPr>
  </w:style>
  <w:style w:type="paragraph" w:styleId="List3">
    <w:name w:val="List 3"/>
    <w:basedOn w:val="List2"/>
    <w:rsid w:val="005C26B3"/>
    <w:pPr>
      <w:ind w:left="1135"/>
    </w:pPr>
  </w:style>
  <w:style w:type="paragraph" w:styleId="List4">
    <w:name w:val="List 4"/>
    <w:basedOn w:val="List3"/>
    <w:rsid w:val="005C26B3"/>
    <w:pPr>
      <w:ind w:left="1418"/>
    </w:pPr>
  </w:style>
  <w:style w:type="paragraph" w:styleId="List5">
    <w:name w:val="List 5"/>
    <w:basedOn w:val="List4"/>
    <w:rsid w:val="005C26B3"/>
    <w:pPr>
      <w:ind w:left="1702"/>
    </w:pPr>
  </w:style>
  <w:style w:type="paragraph" w:customStyle="1" w:styleId="EditorsNote">
    <w:name w:val="Editor's Note"/>
    <w:basedOn w:val="NO"/>
    <w:link w:val="EditorsNoteChar"/>
    <w:rsid w:val="005C26B3"/>
    <w:rPr>
      <w:color w:val="FF0000"/>
      <w:lang w:val="x-none" w:eastAsia="x-none"/>
    </w:rPr>
  </w:style>
  <w:style w:type="paragraph" w:styleId="ListBullet4">
    <w:name w:val="List Bullet 4"/>
    <w:basedOn w:val="ListBullet3"/>
    <w:rsid w:val="005C26B3"/>
    <w:pPr>
      <w:numPr>
        <w:numId w:val="19"/>
      </w:numPr>
    </w:pPr>
  </w:style>
  <w:style w:type="paragraph" w:styleId="ListBullet5">
    <w:name w:val="List Bullet 5"/>
    <w:basedOn w:val="ListBullet4"/>
    <w:rsid w:val="005C26B3"/>
    <w:pPr>
      <w:numPr>
        <w:numId w:val="20"/>
      </w:numPr>
    </w:pPr>
  </w:style>
  <w:style w:type="paragraph" w:styleId="Footer">
    <w:name w:val="footer"/>
    <w:basedOn w:val="Header"/>
    <w:link w:val="FooterChar"/>
    <w:rsid w:val="005C26B3"/>
    <w:pPr>
      <w:jc w:val="center"/>
    </w:pPr>
    <w:rPr>
      <w:i/>
    </w:rPr>
  </w:style>
  <w:style w:type="paragraph" w:customStyle="1" w:styleId="Reference">
    <w:name w:val="Reference"/>
    <w:basedOn w:val="BodyText"/>
    <w:rsid w:val="005C26B3"/>
    <w:pPr>
      <w:numPr>
        <w:numId w:val="2"/>
      </w:numPr>
    </w:pPr>
  </w:style>
  <w:style w:type="paragraph" w:styleId="BalloonText">
    <w:name w:val="Balloon Text"/>
    <w:basedOn w:val="Normal"/>
    <w:link w:val="BalloonTextChar"/>
    <w:rsid w:val="005C26B3"/>
    <w:pPr>
      <w:spacing w:after="0"/>
    </w:pPr>
    <w:rPr>
      <w:rFonts w:ascii="Segoe UI" w:hAnsi="Segoe UI" w:cs="Segoe UI"/>
      <w:sz w:val="18"/>
      <w:szCs w:val="18"/>
    </w:rPr>
  </w:style>
  <w:style w:type="character" w:styleId="PageNumber">
    <w:name w:val="page number"/>
    <w:basedOn w:val="DefaultParagraphFont"/>
    <w:rsid w:val="005C26B3"/>
  </w:style>
  <w:style w:type="paragraph" w:styleId="BodyText">
    <w:name w:val="Body Text"/>
    <w:basedOn w:val="Normal"/>
    <w:link w:val="BodyTextChar"/>
    <w:rsid w:val="005C26B3"/>
    <w:pPr>
      <w:spacing w:after="120"/>
      <w:jc w:val="both"/>
    </w:pPr>
    <w:rPr>
      <w:rFonts w:ascii="Arial" w:hAnsi="Arial"/>
      <w:lang w:eastAsia="zh-CN"/>
    </w:rPr>
  </w:style>
  <w:style w:type="character" w:styleId="Hyperlink">
    <w:name w:val="Hyperlink"/>
    <w:uiPriority w:val="99"/>
    <w:rsid w:val="005C26B3"/>
    <w:rPr>
      <w:color w:val="0000FF"/>
      <w:u w:val="single"/>
    </w:rPr>
  </w:style>
  <w:style w:type="character" w:styleId="FollowedHyperlink">
    <w:name w:val="FollowedHyperlink"/>
    <w:unhideWhenUsed/>
    <w:rsid w:val="005C26B3"/>
    <w:rPr>
      <w:color w:val="800080"/>
      <w:u w:val="single"/>
    </w:rPr>
  </w:style>
  <w:style w:type="character" w:styleId="CommentReference">
    <w:name w:val="annotation reference"/>
    <w:uiPriority w:val="99"/>
    <w:qFormat/>
    <w:rsid w:val="005C26B3"/>
    <w:rPr>
      <w:sz w:val="16"/>
      <w:szCs w:val="16"/>
    </w:rPr>
  </w:style>
  <w:style w:type="paragraph" w:styleId="CommentText">
    <w:name w:val="annotation text"/>
    <w:basedOn w:val="Normal"/>
    <w:link w:val="CommentTextChar"/>
    <w:uiPriority w:val="99"/>
    <w:qFormat/>
    <w:rsid w:val="005C26B3"/>
  </w:style>
  <w:style w:type="paragraph" w:styleId="CommentSubject">
    <w:name w:val="annotation subject"/>
    <w:basedOn w:val="CommentText"/>
    <w:next w:val="CommentText"/>
    <w:link w:val="CommentSubjectChar"/>
    <w:rsid w:val="005C26B3"/>
    <w:rPr>
      <w:b/>
      <w:bCs/>
    </w:rPr>
  </w:style>
  <w:style w:type="character" w:customStyle="1" w:styleId="Heading1Char">
    <w:name w:val="Heading 1 Char"/>
    <w:link w:val="Heading1"/>
    <w:rsid w:val="005C26B3"/>
    <w:rPr>
      <w:rFonts w:ascii="Arial" w:hAnsi="Arial"/>
      <w:sz w:val="36"/>
      <w:lang w:eastAsia="ja-JP"/>
    </w:rPr>
  </w:style>
  <w:style w:type="paragraph" w:customStyle="1" w:styleId="B1">
    <w:name w:val="B1"/>
    <w:basedOn w:val="List"/>
    <w:link w:val="B1Char1"/>
    <w:rsid w:val="005C26B3"/>
    <w:rPr>
      <w:rFonts w:ascii="Times New Roman" w:hAnsi="Times New Roman"/>
    </w:rPr>
  </w:style>
  <w:style w:type="paragraph" w:customStyle="1" w:styleId="B2">
    <w:name w:val="B2"/>
    <w:basedOn w:val="List2"/>
    <w:link w:val="B2Char"/>
    <w:rsid w:val="005C26B3"/>
    <w:rPr>
      <w:rFonts w:ascii="Times New Roman" w:hAnsi="Times New Roman"/>
    </w:rPr>
  </w:style>
  <w:style w:type="paragraph" w:customStyle="1" w:styleId="B3">
    <w:name w:val="B3"/>
    <w:basedOn w:val="List3"/>
    <w:link w:val="B3Char2"/>
    <w:rsid w:val="005C26B3"/>
    <w:rPr>
      <w:rFonts w:ascii="Times New Roman" w:hAnsi="Times New Roman"/>
    </w:rPr>
  </w:style>
  <w:style w:type="paragraph" w:customStyle="1" w:styleId="B4">
    <w:name w:val="B4"/>
    <w:basedOn w:val="List4"/>
    <w:link w:val="B4Char"/>
    <w:rsid w:val="005C26B3"/>
    <w:rPr>
      <w:rFonts w:ascii="Times New Roman" w:hAnsi="Times New Roman"/>
    </w:rPr>
  </w:style>
  <w:style w:type="paragraph" w:customStyle="1" w:styleId="Proposal">
    <w:name w:val="Proposal"/>
    <w:basedOn w:val="BodyText"/>
    <w:rsid w:val="005C26B3"/>
    <w:pPr>
      <w:numPr>
        <w:numId w:val="3"/>
      </w:numPr>
      <w:tabs>
        <w:tab w:val="clear" w:pos="1304"/>
        <w:tab w:val="left" w:pos="1701"/>
      </w:tabs>
      <w:ind w:left="1701" w:hanging="1701"/>
    </w:pPr>
    <w:rPr>
      <w:b/>
      <w:bCs/>
    </w:rPr>
  </w:style>
  <w:style w:type="character" w:customStyle="1" w:styleId="BodyTextChar">
    <w:name w:val="Body Text Char"/>
    <w:link w:val="BodyText"/>
    <w:rsid w:val="005C26B3"/>
    <w:rPr>
      <w:rFonts w:ascii="Arial" w:hAnsi="Arial"/>
      <w:lang w:eastAsia="zh-CN"/>
    </w:rPr>
  </w:style>
  <w:style w:type="paragraph" w:customStyle="1" w:styleId="B5">
    <w:name w:val="B5"/>
    <w:basedOn w:val="List5"/>
    <w:link w:val="B5Char"/>
    <w:rsid w:val="005C26B3"/>
    <w:rPr>
      <w:rFonts w:ascii="Times New Roman" w:hAnsi="Times New Roman"/>
    </w:rPr>
  </w:style>
  <w:style w:type="paragraph" w:customStyle="1" w:styleId="EX">
    <w:name w:val="EX"/>
    <w:basedOn w:val="Normal"/>
    <w:rsid w:val="005C26B3"/>
    <w:pPr>
      <w:keepLines/>
      <w:ind w:left="1702" w:hanging="1418"/>
    </w:pPr>
  </w:style>
  <w:style w:type="paragraph" w:customStyle="1" w:styleId="EW">
    <w:name w:val="EW"/>
    <w:basedOn w:val="EX"/>
    <w:rsid w:val="005C26B3"/>
    <w:pPr>
      <w:spacing w:after="0"/>
    </w:pPr>
  </w:style>
  <w:style w:type="paragraph" w:customStyle="1" w:styleId="TAL">
    <w:name w:val="TAL"/>
    <w:basedOn w:val="Normal"/>
    <w:link w:val="TALCar"/>
    <w:rsid w:val="005C26B3"/>
    <w:pPr>
      <w:keepNext/>
      <w:keepLines/>
      <w:spacing w:after="0"/>
    </w:pPr>
    <w:rPr>
      <w:rFonts w:ascii="Arial" w:hAnsi="Arial"/>
      <w:sz w:val="18"/>
      <w:lang w:val="x-none" w:eastAsia="x-none"/>
    </w:rPr>
  </w:style>
  <w:style w:type="paragraph" w:customStyle="1" w:styleId="TAC">
    <w:name w:val="TAC"/>
    <w:basedOn w:val="TAL"/>
    <w:rsid w:val="005C26B3"/>
    <w:pPr>
      <w:jc w:val="center"/>
    </w:pPr>
  </w:style>
  <w:style w:type="paragraph" w:customStyle="1" w:styleId="TAH">
    <w:name w:val="TAH"/>
    <w:basedOn w:val="TAC"/>
    <w:link w:val="TAHCar"/>
    <w:rsid w:val="005C26B3"/>
    <w:rPr>
      <w:b/>
    </w:rPr>
  </w:style>
  <w:style w:type="paragraph" w:customStyle="1" w:styleId="TAN">
    <w:name w:val="TAN"/>
    <w:basedOn w:val="TAL"/>
    <w:rsid w:val="005C26B3"/>
    <w:pPr>
      <w:ind w:left="851" w:hanging="851"/>
    </w:pPr>
  </w:style>
  <w:style w:type="paragraph" w:customStyle="1" w:styleId="TAR">
    <w:name w:val="TAR"/>
    <w:basedOn w:val="TAL"/>
    <w:rsid w:val="005C26B3"/>
    <w:pPr>
      <w:jc w:val="right"/>
    </w:pPr>
  </w:style>
  <w:style w:type="paragraph" w:customStyle="1" w:styleId="TH">
    <w:name w:val="TH"/>
    <w:basedOn w:val="Normal"/>
    <w:link w:val="THChar"/>
    <w:rsid w:val="005C26B3"/>
    <w:pPr>
      <w:keepNext/>
      <w:keepLines/>
      <w:spacing w:before="60"/>
      <w:jc w:val="center"/>
    </w:pPr>
    <w:rPr>
      <w:rFonts w:ascii="Arial" w:hAnsi="Arial"/>
      <w:b/>
      <w:lang w:val="x-none" w:eastAsia="x-none"/>
    </w:rPr>
  </w:style>
  <w:style w:type="paragraph" w:customStyle="1" w:styleId="TF">
    <w:name w:val="TF"/>
    <w:basedOn w:val="TH"/>
    <w:link w:val="TFChar"/>
    <w:rsid w:val="005C26B3"/>
    <w:pPr>
      <w:keepNext w:val="0"/>
      <w:spacing w:before="0" w:after="240"/>
    </w:pPr>
  </w:style>
  <w:style w:type="paragraph" w:customStyle="1" w:styleId="TT">
    <w:name w:val="TT"/>
    <w:basedOn w:val="Heading1"/>
    <w:next w:val="Normal"/>
    <w:rsid w:val="005C26B3"/>
    <w:pPr>
      <w:outlineLvl w:val="9"/>
    </w:pPr>
  </w:style>
  <w:style w:type="paragraph" w:customStyle="1" w:styleId="ZA">
    <w:name w:val="ZA"/>
    <w:rsid w:val="005C26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C26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C26B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C26B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C26B3"/>
  </w:style>
  <w:style w:type="paragraph" w:customStyle="1" w:styleId="ZH">
    <w:name w:val="ZH"/>
    <w:rsid w:val="005C26B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C26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C26B3"/>
    <w:pPr>
      <w:framePr w:hRule="auto" w:wrap="notBeside" w:y="852"/>
    </w:pPr>
    <w:rPr>
      <w:i w:val="0"/>
      <w:sz w:val="40"/>
    </w:rPr>
  </w:style>
  <w:style w:type="paragraph" w:customStyle="1" w:styleId="ZU">
    <w:name w:val="ZU"/>
    <w:rsid w:val="005C26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C26B3"/>
    <w:pPr>
      <w:framePr w:wrap="notBeside" w:y="16161"/>
    </w:pPr>
  </w:style>
  <w:style w:type="paragraph" w:customStyle="1" w:styleId="FP">
    <w:name w:val="FP"/>
    <w:basedOn w:val="Normal"/>
    <w:rsid w:val="005C26B3"/>
    <w:pPr>
      <w:spacing w:after="0"/>
    </w:pPr>
  </w:style>
  <w:style w:type="paragraph" w:customStyle="1" w:styleId="Observation">
    <w:name w:val="Observation"/>
    <w:basedOn w:val="Proposal"/>
    <w:qFormat/>
    <w:rsid w:val="005C26B3"/>
    <w:pPr>
      <w:numPr>
        <w:numId w:val="13"/>
      </w:numPr>
      <w:ind w:left="1701" w:hanging="1701"/>
    </w:pPr>
    <w:rPr>
      <w:lang w:eastAsia="ja-JP"/>
    </w:rPr>
  </w:style>
  <w:style w:type="paragraph" w:styleId="TableofFigures">
    <w:name w:val="table of figures"/>
    <w:basedOn w:val="BodyText"/>
    <w:next w:val="Normal"/>
    <w:uiPriority w:val="99"/>
    <w:rsid w:val="005C26B3"/>
    <w:pPr>
      <w:ind w:left="1701" w:hanging="1701"/>
      <w:jc w:val="left"/>
    </w:pPr>
    <w:rPr>
      <w:b/>
    </w:rPr>
  </w:style>
  <w:style w:type="character" w:customStyle="1" w:styleId="B1Char1">
    <w:name w:val="B1 Char1"/>
    <w:link w:val="B1"/>
    <w:qFormat/>
    <w:rsid w:val="005C26B3"/>
    <w:rPr>
      <w:rFonts w:ascii="Times New Roman" w:hAnsi="Times New Roman"/>
      <w:lang w:eastAsia="zh-CN"/>
    </w:rPr>
  </w:style>
  <w:style w:type="character" w:customStyle="1" w:styleId="B2Char">
    <w:name w:val="B2 Char"/>
    <w:link w:val="B2"/>
    <w:qFormat/>
    <w:rsid w:val="005C26B3"/>
    <w:rPr>
      <w:rFonts w:ascii="Times New Roman" w:hAnsi="Times New Roman"/>
      <w:lang w:eastAsia="ja-JP"/>
    </w:rPr>
  </w:style>
  <w:style w:type="character" w:customStyle="1" w:styleId="B3Char2">
    <w:name w:val="B3 Char2"/>
    <w:link w:val="B3"/>
    <w:qFormat/>
    <w:rsid w:val="005C26B3"/>
    <w:rPr>
      <w:rFonts w:ascii="Times New Roman" w:hAnsi="Times New Roman"/>
      <w:lang w:eastAsia="ja-JP"/>
    </w:rPr>
  </w:style>
  <w:style w:type="character" w:customStyle="1" w:styleId="B4Char">
    <w:name w:val="B4 Char"/>
    <w:link w:val="B4"/>
    <w:rsid w:val="005C26B3"/>
    <w:rPr>
      <w:rFonts w:ascii="Times New Roman" w:hAnsi="Times New Roman"/>
      <w:lang w:eastAsia="ja-JP"/>
    </w:rPr>
  </w:style>
  <w:style w:type="character" w:customStyle="1" w:styleId="B5Char">
    <w:name w:val="B5 Char"/>
    <w:link w:val="B5"/>
    <w:rsid w:val="005C26B3"/>
    <w:rPr>
      <w:rFonts w:ascii="Times New Roman" w:hAnsi="Times New Roman"/>
      <w:lang w:eastAsia="ja-JP"/>
    </w:rPr>
  </w:style>
  <w:style w:type="paragraph" w:customStyle="1" w:styleId="B6">
    <w:name w:val="B6"/>
    <w:basedOn w:val="B5"/>
    <w:link w:val="B6Char"/>
    <w:rsid w:val="005C26B3"/>
    <w:pPr>
      <w:ind w:left="1985"/>
    </w:pPr>
  </w:style>
  <w:style w:type="character" w:customStyle="1" w:styleId="B6Char">
    <w:name w:val="B6 Char"/>
    <w:link w:val="B6"/>
    <w:rsid w:val="005C26B3"/>
    <w:rPr>
      <w:rFonts w:ascii="Times New Roman" w:hAnsi="Times New Roman"/>
      <w:lang w:eastAsia="ja-JP"/>
    </w:rPr>
  </w:style>
  <w:style w:type="paragraph" w:customStyle="1" w:styleId="B7">
    <w:name w:val="B7"/>
    <w:basedOn w:val="B6"/>
    <w:link w:val="B7Char"/>
    <w:rsid w:val="005C26B3"/>
    <w:pPr>
      <w:ind w:left="2269"/>
    </w:pPr>
  </w:style>
  <w:style w:type="character" w:customStyle="1" w:styleId="B7Char">
    <w:name w:val="B7 Char"/>
    <w:basedOn w:val="B6Char"/>
    <w:link w:val="B7"/>
    <w:rsid w:val="005C26B3"/>
    <w:rPr>
      <w:rFonts w:ascii="Times New Roman" w:hAnsi="Times New Roman"/>
      <w:lang w:eastAsia="ja-JP"/>
    </w:rPr>
  </w:style>
  <w:style w:type="paragraph" w:customStyle="1" w:styleId="B8">
    <w:name w:val="B8"/>
    <w:basedOn w:val="B7"/>
    <w:qFormat/>
    <w:rsid w:val="005C26B3"/>
    <w:pPr>
      <w:ind w:left="2552"/>
    </w:pPr>
  </w:style>
  <w:style w:type="character" w:customStyle="1" w:styleId="BalloonTextChar">
    <w:name w:val="Balloon Text Char"/>
    <w:link w:val="BalloonText"/>
    <w:rsid w:val="005C26B3"/>
    <w:rPr>
      <w:rFonts w:ascii="Segoe UI" w:hAnsi="Segoe UI" w:cs="Segoe UI"/>
      <w:sz w:val="18"/>
      <w:szCs w:val="18"/>
      <w:lang w:eastAsia="ja-JP"/>
    </w:rPr>
  </w:style>
  <w:style w:type="character" w:customStyle="1" w:styleId="CommentTextChar">
    <w:name w:val="Comment Text Char"/>
    <w:link w:val="CommentText"/>
    <w:uiPriority w:val="99"/>
    <w:qFormat/>
    <w:rsid w:val="005C26B3"/>
    <w:rPr>
      <w:rFonts w:ascii="Times New Roman" w:hAnsi="Times New Roman"/>
      <w:lang w:eastAsia="ja-JP"/>
    </w:rPr>
  </w:style>
  <w:style w:type="character" w:customStyle="1" w:styleId="CommentSubjectChar">
    <w:name w:val="Comment Subject Char"/>
    <w:link w:val="CommentSubject"/>
    <w:rsid w:val="005C26B3"/>
    <w:rPr>
      <w:rFonts w:ascii="Times New Roman" w:hAnsi="Times New Roman"/>
      <w:b/>
      <w:bCs/>
      <w:lang w:eastAsia="ja-JP"/>
    </w:rPr>
  </w:style>
  <w:style w:type="paragraph" w:customStyle="1" w:styleId="CRCoverPage">
    <w:name w:val="CR Cover Page"/>
    <w:link w:val="CRCoverPageZchn"/>
    <w:rsid w:val="005C26B3"/>
    <w:pPr>
      <w:spacing w:after="120"/>
    </w:pPr>
    <w:rPr>
      <w:rFonts w:ascii="Arial" w:hAnsi="Arial"/>
      <w:lang w:eastAsia="ko-KR"/>
    </w:rPr>
  </w:style>
  <w:style w:type="character" w:customStyle="1" w:styleId="CRCoverPageZchn">
    <w:name w:val="CR Cover Page Zchn"/>
    <w:link w:val="CRCoverPage"/>
    <w:rsid w:val="005C26B3"/>
    <w:rPr>
      <w:rFonts w:ascii="Arial" w:hAnsi="Arial"/>
      <w:lang w:eastAsia="ko-KR"/>
    </w:rPr>
  </w:style>
  <w:style w:type="paragraph" w:customStyle="1" w:styleId="Doc-text2">
    <w:name w:val="Doc-text2"/>
    <w:basedOn w:val="Normal"/>
    <w:link w:val="Doc-text2Char"/>
    <w:qFormat/>
    <w:rsid w:val="005C26B3"/>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5C26B3"/>
    <w:rPr>
      <w:rFonts w:ascii="Arial" w:eastAsia="MS Mincho" w:hAnsi="Arial"/>
      <w:szCs w:val="24"/>
      <w:lang w:val="x-none" w:eastAsia="x-none"/>
    </w:rPr>
  </w:style>
  <w:style w:type="character" w:customStyle="1" w:styleId="DocumentMapChar">
    <w:name w:val="Document Map Char"/>
    <w:link w:val="DocumentMap"/>
    <w:rsid w:val="005C26B3"/>
    <w:rPr>
      <w:rFonts w:ascii="Tahoma" w:hAnsi="Tahoma" w:cs="Tahoma"/>
      <w:shd w:val="clear" w:color="auto" w:fill="000080"/>
      <w:lang w:eastAsia="ja-JP"/>
    </w:rPr>
  </w:style>
  <w:style w:type="paragraph" w:customStyle="1" w:styleId="NO">
    <w:name w:val="NO"/>
    <w:basedOn w:val="Normal"/>
    <w:link w:val="NOChar"/>
    <w:rsid w:val="005C26B3"/>
    <w:pPr>
      <w:keepLines/>
      <w:ind w:left="1135" w:hanging="851"/>
    </w:pPr>
  </w:style>
  <w:style w:type="character" w:customStyle="1" w:styleId="NOChar">
    <w:name w:val="NO Char"/>
    <w:link w:val="NO"/>
    <w:qFormat/>
    <w:rsid w:val="005C26B3"/>
    <w:rPr>
      <w:rFonts w:ascii="Times New Roman" w:hAnsi="Times New Roman"/>
      <w:lang w:eastAsia="ja-JP"/>
    </w:rPr>
  </w:style>
  <w:style w:type="character" w:customStyle="1" w:styleId="EditorsNoteChar">
    <w:name w:val="Editor's Note Char"/>
    <w:link w:val="EditorsNote"/>
    <w:rsid w:val="005C26B3"/>
    <w:rPr>
      <w:rFonts w:ascii="Times New Roman" w:hAnsi="Times New Roman"/>
      <w:color w:val="FF0000"/>
      <w:lang w:val="x-none" w:eastAsia="x-none"/>
    </w:rPr>
  </w:style>
  <w:style w:type="paragraph" w:customStyle="1" w:styleId="EmailDiscussion">
    <w:name w:val="EmailDiscussion"/>
    <w:basedOn w:val="Normal"/>
    <w:next w:val="Normal"/>
    <w:rsid w:val="005C26B3"/>
    <w:pPr>
      <w:numPr>
        <w:numId w:val="14"/>
      </w:numPr>
      <w:spacing w:before="40" w:after="0"/>
    </w:pPr>
    <w:rPr>
      <w:rFonts w:ascii="Arial" w:eastAsia="MS Mincho" w:hAnsi="Arial"/>
      <w:b/>
      <w:szCs w:val="24"/>
      <w:lang w:eastAsia="en-GB"/>
    </w:rPr>
  </w:style>
  <w:style w:type="character" w:styleId="Emphasis">
    <w:name w:val="Emphasis"/>
    <w:qFormat/>
    <w:rsid w:val="005C26B3"/>
    <w:rPr>
      <w:i/>
      <w:iCs/>
    </w:rPr>
  </w:style>
  <w:style w:type="paragraph" w:customStyle="1" w:styleId="FigureTitle">
    <w:name w:val="Figure_Title"/>
    <w:basedOn w:val="Normal"/>
    <w:next w:val="Normal"/>
    <w:rsid w:val="005C26B3"/>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5C26B3"/>
    <w:rPr>
      <w:rFonts w:ascii="Arial" w:hAnsi="Arial"/>
      <w:b/>
      <w:noProof/>
      <w:sz w:val="18"/>
      <w:lang w:eastAsia="ja-JP"/>
    </w:rPr>
  </w:style>
  <w:style w:type="character" w:customStyle="1" w:styleId="FooterChar">
    <w:name w:val="Footer Char"/>
    <w:link w:val="Footer"/>
    <w:rsid w:val="005C26B3"/>
    <w:rPr>
      <w:rFonts w:ascii="Arial" w:hAnsi="Arial"/>
      <w:b/>
      <w:i/>
      <w:noProof/>
      <w:sz w:val="18"/>
      <w:lang w:eastAsia="ja-JP"/>
    </w:rPr>
  </w:style>
  <w:style w:type="character" w:customStyle="1" w:styleId="FootnoteTextChar">
    <w:name w:val="Footnote Text Char"/>
    <w:link w:val="FootnoteText"/>
    <w:rsid w:val="005C26B3"/>
    <w:rPr>
      <w:rFonts w:ascii="Times New Roman" w:hAnsi="Times New Roman"/>
      <w:sz w:val="16"/>
      <w:lang w:eastAsia="ja-JP"/>
    </w:rPr>
  </w:style>
  <w:style w:type="paragraph" w:customStyle="1" w:styleId="Guidance">
    <w:name w:val="Guidance"/>
    <w:basedOn w:val="Normal"/>
    <w:rsid w:val="005C26B3"/>
    <w:rPr>
      <w:i/>
      <w:color w:val="0000FF"/>
    </w:rPr>
  </w:style>
  <w:style w:type="character" w:customStyle="1" w:styleId="Heading2Char">
    <w:name w:val="Heading 2 Char"/>
    <w:link w:val="Heading2"/>
    <w:rsid w:val="005C26B3"/>
    <w:rPr>
      <w:rFonts w:ascii="Arial" w:hAnsi="Arial"/>
      <w:sz w:val="32"/>
      <w:lang w:eastAsia="ja-JP"/>
    </w:rPr>
  </w:style>
  <w:style w:type="character" w:customStyle="1" w:styleId="Heading3Char">
    <w:name w:val="Heading 3 Char"/>
    <w:link w:val="Heading3"/>
    <w:rsid w:val="005C26B3"/>
    <w:rPr>
      <w:rFonts w:ascii="Arial" w:hAnsi="Arial"/>
      <w:sz w:val="28"/>
      <w:lang w:eastAsia="ja-JP"/>
    </w:rPr>
  </w:style>
  <w:style w:type="character" w:customStyle="1" w:styleId="Heading4Char">
    <w:name w:val="Heading 4 Char"/>
    <w:link w:val="Heading4"/>
    <w:rsid w:val="005C26B3"/>
    <w:rPr>
      <w:rFonts w:ascii="Arial" w:hAnsi="Arial"/>
      <w:sz w:val="24"/>
      <w:lang w:eastAsia="ja-JP"/>
    </w:rPr>
  </w:style>
  <w:style w:type="character" w:customStyle="1" w:styleId="Heading5Char">
    <w:name w:val="Heading 5 Char"/>
    <w:link w:val="Heading5"/>
    <w:rsid w:val="005C26B3"/>
    <w:rPr>
      <w:rFonts w:ascii="Arial" w:hAnsi="Arial"/>
      <w:sz w:val="22"/>
      <w:lang w:eastAsia="ja-JP"/>
    </w:rPr>
  </w:style>
  <w:style w:type="paragraph" w:customStyle="1" w:styleId="H6">
    <w:name w:val="H6"/>
    <w:basedOn w:val="Heading5"/>
    <w:next w:val="Normal"/>
    <w:rsid w:val="005C26B3"/>
    <w:pPr>
      <w:ind w:left="1985" w:hanging="1985"/>
      <w:outlineLvl w:val="9"/>
    </w:pPr>
    <w:rPr>
      <w:sz w:val="20"/>
    </w:rPr>
  </w:style>
  <w:style w:type="character" w:customStyle="1" w:styleId="Heading6Char">
    <w:name w:val="Heading 6 Char"/>
    <w:link w:val="Heading6"/>
    <w:rsid w:val="005C26B3"/>
    <w:rPr>
      <w:rFonts w:ascii="Arial" w:hAnsi="Arial"/>
      <w:lang w:eastAsia="ja-JP"/>
    </w:rPr>
  </w:style>
  <w:style w:type="character" w:customStyle="1" w:styleId="Heading7Char">
    <w:name w:val="Heading 7 Char"/>
    <w:link w:val="Heading7"/>
    <w:rsid w:val="005C26B3"/>
    <w:rPr>
      <w:rFonts w:ascii="Arial" w:hAnsi="Arial"/>
      <w:lang w:eastAsia="ja-JP"/>
    </w:rPr>
  </w:style>
  <w:style w:type="character" w:customStyle="1" w:styleId="Heading8Char">
    <w:name w:val="Heading 8 Char"/>
    <w:link w:val="Heading8"/>
    <w:rsid w:val="005C26B3"/>
    <w:rPr>
      <w:rFonts w:ascii="Arial" w:hAnsi="Arial"/>
      <w:sz w:val="36"/>
      <w:lang w:eastAsia="ja-JP"/>
    </w:rPr>
  </w:style>
  <w:style w:type="character" w:customStyle="1" w:styleId="Heading9Char">
    <w:name w:val="Heading 9 Char"/>
    <w:link w:val="Heading9"/>
    <w:rsid w:val="005C26B3"/>
    <w:rPr>
      <w:rFonts w:ascii="Arial" w:hAnsi="Arial"/>
      <w:sz w:val="36"/>
      <w:lang w:eastAsia="ja-JP"/>
    </w:rPr>
  </w:style>
  <w:style w:type="character" w:styleId="HTMLCode">
    <w:name w:val="HTML Code"/>
    <w:uiPriority w:val="99"/>
    <w:unhideWhenUsed/>
    <w:rsid w:val="005C26B3"/>
    <w:rPr>
      <w:rFonts w:ascii="Courier New" w:eastAsia="Times New Roman" w:hAnsi="Courier New" w:cs="Courier New"/>
      <w:sz w:val="20"/>
      <w:szCs w:val="20"/>
    </w:rPr>
  </w:style>
  <w:style w:type="paragraph" w:styleId="IndexHeading">
    <w:name w:val="index heading"/>
    <w:basedOn w:val="Normal"/>
    <w:next w:val="Normal"/>
    <w:rsid w:val="005C26B3"/>
    <w:pPr>
      <w:pBdr>
        <w:top w:val="single" w:sz="12" w:space="0" w:color="auto"/>
      </w:pBdr>
      <w:spacing w:before="360" w:after="240"/>
    </w:pPr>
    <w:rPr>
      <w:b/>
      <w:i/>
      <w:sz w:val="26"/>
      <w:lang w:eastAsia="en-GB"/>
    </w:rPr>
  </w:style>
  <w:style w:type="paragraph" w:customStyle="1" w:styleId="LD">
    <w:name w:val="LD"/>
    <w:rsid w:val="005C26B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列出段落1,中等深浅网格 1 - 着色 21,リスト段落,列表段落,¥¡¡¡¡ì¬º¥¹¥È¶ÎÂä,ÁÐ³ö¶ÎÂä,列表段落1,—ño’i—Ž,¥ê¥¹¥È¶ÎÂä,1st level - Bullet List Paragraph,Lettre d'introduction,Paragrafo elenco,Normal bullet 2,Bullet list,목록단락"/>
    <w:basedOn w:val="Normal"/>
    <w:link w:val="ListParagraphChar"/>
    <w:uiPriority w:val="34"/>
    <w:qFormat/>
    <w:rsid w:val="005C26B3"/>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列出段落1 Char,中等深浅网格 1 - 着色 21 Char,リスト段落 Char,列表段落 Char,¥¡¡¡¡ì¬º¥¹¥È¶ÎÂä Char,ÁÐ³ö¶ÎÂä Char,列表段落1 Char,—ño’i—Ž Char,¥ê¥¹¥È¶ÎÂä Char,Paragrafo elenco Char"/>
    <w:link w:val="ListParagraph"/>
    <w:uiPriority w:val="34"/>
    <w:locked/>
    <w:rsid w:val="005C26B3"/>
    <w:rPr>
      <w:rFonts w:ascii="Calibri" w:eastAsia="Calibri" w:hAnsi="Calibri"/>
      <w:sz w:val="22"/>
      <w:szCs w:val="22"/>
      <w:lang w:val="x-none" w:eastAsia="en-US"/>
    </w:rPr>
  </w:style>
  <w:style w:type="paragraph" w:customStyle="1" w:styleId="NF">
    <w:name w:val="NF"/>
    <w:basedOn w:val="NO"/>
    <w:rsid w:val="005C26B3"/>
    <w:pPr>
      <w:keepNext/>
      <w:spacing w:after="0"/>
    </w:pPr>
    <w:rPr>
      <w:rFonts w:ascii="Arial" w:hAnsi="Arial"/>
      <w:sz w:val="18"/>
    </w:rPr>
  </w:style>
  <w:style w:type="paragraph" w:customStyle="1" w:styleId="NW">
    <w:name w:val="NW"/>
    <w:basedOn w:val="NO"/>
    <w:rsid w:val="005C26B3"/>
    <w:pPr>
      <w:spacing w:after="0"/>
    </w:pPr>
  </w:style>
  <w:style w:type="paragraph" w:customStyle="1" w:styleId="PL">
    <w:name w:val="PL"/>
    <w:link w:val="PLChar"/>
    <w:qFormat/>
    <w:rsid w:val="005C26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C26B3"/>
    <w:rPr>
      <w:rFonts w:ascii="Courier New" w:eastAsia="Batang" w:hAnsi="Courier New"/>
      <w:noProof/>
      <w:sz w:val="16"/>
      <w:shd w:val="clear" w:color="auto" w:fill="E6E6E6"/>
      <w:lang w:eastAsia="sv-SE"/>
    </w:rPr>
  </w:style>
  <w:style w:type="paragraph" w:styleId="PlainText">
    <w:name w:val="Plain Text"/>
    <w:basedOn w:val="Normal"/>
    <w:link w:val="PlainTextChar"/>
    <w:rsid w:val="005C26B3"/>
    <w:rPr>
      <w:rFonts w:ascii="Courier New" w:hAnsi="Courier New"/>
      <w:lang w:val="nb-NO"/>
    </w:rPr>
  </w:style>
  <w:style w:type="character" w:customStyle="1" w:styleId="PlainTextChar">
    <w:name w:val="Plain Text Char"/>
    <w:link w:val="PlainText"/>
    <w:rsid w:val="005C26B3"/>
    <w:rPr>
      <w:rFonts w:ascii="Courier New" w:hAnsi="Courier New"/>
      <w:lang w:val="nb-NO" w:eastAsia="ja-JP"/>
    </w:rPr>
  </w:style>
  <w:style w:type="character" w:styleId="Strong">
    <w:name w:val="Strong"/>
    <w:uiPriority w:val="22"/>
    <w:qFormat/>
    <w:rsid w:val="005C26B3"/>
    <w:rPr>
      <w:b/>
      <w:bCs/>
    </w:rPr>
  </w:style>
  <w:style w:type="table" w:styleId="TableGrid">
    <w:name w:val="Table Grid"/>
    <w:basedOn w:val="TableNormal"/>
    <w:uiPriority w:val="39"/>
    <w:rsid w:val="005C26B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C26B3"/>
    <w:rPr>
      <w:rFonts w:ascii="Arial" w:hAnsi="Arial"/>
      <w:sz w:val="18"/>
      <w:lang w:val="x-none" w:eastAsia="x-none"/>
    </w:rPr>
  </w:style>
  <w:style w:type="character" w:customStyle="1" w:styleId="TAHCar">
    <w:name w:val="TAH Car"/>
    <w:link w:val="TAH"/>
    <w:locked/>
    <w:rsid w:val="005C26B3"/>
    <w:rPr>
      <w:rFonts w:ascii="Arial" w:hAnsi="Arial"/>
      <w:b/>
      <w:sz w:val="18"/>
      <w:lang w:val="x-none" w:eastAsia="x-none"/>
    </w:rPr>
  </w:style>
  <w:style w:type="character" w:customStyle="1" w:styleId="THChar">
    <w:name w:val="TH Char"/>
    <w:link w:val="TH"/>
    <w:rsid w:val="005C26B3"/>
    <w:rPr>
      <w:rFonts w:ascii="Arial" w:hAnsi="Arial"/>
      <w:b/>
      <w:lang w:val="x-none" w:eastAsia="x-none"/>
    </w:rPr>
  </w:style>
  <w:style w:type="paragraph" w:customStyle="1" w:styleId="TAJ">
    <w:name w:val="TAJ"/>
    <w:basedOn w:val="TH"/>
    <w:rsid w:val="005C26B3"/>
  </w:style>
  <w:style w:type="paragraph" w:customStyle="1" w:styleId="TALCharChar">
    <w:name w:val="TAL Char Char"/>
    <w:basedOn w:val="Normal"/>
    <w:link w:val="TALCharCharChar"/>
    <w:rsid w:val="005C26B3"/>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5C26B3"/>
    <w:rPr>
      <w:rFonts w:ascii="Arial" w:eastAsia="Malgun Gothic" w:hAnsi="Arial"/>
      <w:sz w:val="18"/>
      <w:lang w:val="x-none" w:eastAsia="x-none"/>
    </w:rPr>
  </w:style>
  <w:style w:type="character" w:customStyle="1" w:styleId="TFChar">
    <w:name w:val="TF Char"/>
    <w:link w:val="TF"/>
    <w:rsid w:val="005C26B3"/>
    <w:rPr>
      <w:rFonts w:ascii="Arial" w:hAnsi="Arial"/>
      <w:b/>
      <w:lang w:val="x-none" w:eastAsia="x-none"/>
    </w:rPr>
  </w:style>
  <w:style w:type="paragraph" w:styleId="ListContinue">
    <w:name w:val="List Continue"/>
    <w:basedOn w:val="Normal"/>
    <w:rsid w:val="005C26B3"/>
    <w:pPr>
      <w:spacing w:after="120"/>
      <w:ind w:left="283"/>
      <w:contextualSpacing/>
    </w:pPr>
    <w:rPr>
      <w:rFonts w:ascii="Arial" w:hAnsi="Arial"/>
    </w:rPr>
  </w:style>
  <w:style w:type="paragraph" w:styleId="ListContinue2">
    <w:name w:val="List Continue 2"/>
    <w:basedOn w:val="Normal"/>
    <w:rsid w:val="005C26B3"/>
    <w:pPr>
      <w:spacing w:after="120"/>
      <w:ind w:left="566"/>
      <w:contextualSpacing/>
    </w:pPr>
    <w:rPr>
      <w:rFonts w:ascii="Arial" w:hAnsi="Arial"/>
    </w:rPr>
  </w:style>
  <w:style w:type="paragraph" w:styleId="ListNumber3">
    <w:name w:val="List Number 3"/>
    <w:basedOn w:val="ListNumber2"/>
    <w:rsid w:val="005C26B3"/>
    <w:pPr>
      <w:numPr>
        <w:numId w:val="10"/>
      </w:numPr>
      <w:contextualSpacing/>
    </w:pPr>
  </w:style>
  <w:style w:type="character" w:styleId="UnresolvedMention">
    <w:name w:val="Unresolved Mention"/>
    <w:basedOn w:val="DefaultParagraphFont"/>
    <w:uiPriority w:val="99"/>
    <w:semiHidden/>
    <w:unhideWhenUsed/>
    <w:rsid w:val="005C26B3"/>
    <w:rPr>
      <w:color w:val="808080"/>
      <w:shd w:val="clear" w:color="auto" w:fill="E6E6E6"/>
    </w:rPr>
  </w:style>
  <w:style w:type="paragraph" w:customStyle="1" w:styleId="Agreement">
    <w:name w:val="Agreement"/>
    <w:basedOn w:val="Normal"/>
    <w:next w:val="Doc-text2"/>
    <w:qFormat/>
    <w:rsid w:val="00451714"/>
    <w:pPr>
      <w:numPr>
        <w:numId w:val="27"/>
      </w:numPr>
      <w:tabs>
        <w:tab w:val="clear" w:pos="1619"/>
      </w:tabs>
      <w:spacing w:before="60" w:after="0"/>
      <w:ind w:left="1706" w:hanging="357"/>
    </w:pPr>
    <w:rPr>
      <w:rFonts w:ascii="Arial" w:hAnsi="Arial"/>
      <w:b/>
      <w:lang w:val="fr-FR"/>
    </w:rPr>
  </w:style>
  <w:style w:type="character" w:customStyle="1" w:styleId="B1Char">
    <w:name w:val="B1 Char"/>
    <w:locked/>
    <w:rsid w:val="00D72365"/>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508191">
      <w:bodyDiv w:val="1"/>
      <w:marLeft w:val="0"/>
      <w:marRight w:val="0"/>
      <w:marTop w:val="0"/>
      <w:marBottom w:val="0"/>
      <w:divBdr>
        <w:top w:val="none" w:sz="0" w:space="0" w:color="auto"/>
        <w:left w:val="none" w:sz="0" w:space="0" w:color="auto"/>
        <w:bottom w:val="none" w:sz="0" w:space="0" w:color="auto"/>
        <w:right w:val="none" w:sz="0" w:space="0" w:color="auto"/>
      </w:divBdr>
    </w:div>
    <w:div w:id="1438057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E6321ACE-68BA-4E0C-8844-050F7BC3D2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E50A37F-2491-4E9A-81B6-DF3F3D814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890</Words>
  <Characters>5077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5956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cp:revision>
  <cp:lastPrinted>2008-01-31T07:09:00Z</cp:lastPrinted>
  <dcterms:created xsi:type="dcterms:W3CDTF">2020-05-21T12:09:00Z</dcterms:created>
  <dcterms:modified xsi:type="dcterms:W3CDTF">2020-05-21T13:06:00Z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