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843B86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bookmarkStart w:id="0" w:name="_GoBack"/>
      <w:r w:rsidR="00D8484E">
        <w:fldChar w:fldCharType="begin"/>
      </w:r>
      <w:r w:rsidR="00D8484E">
        <w:instrText>HYPERLINK "https://www.3gpp.org/ftp/TSG_RAN/WG2_RL2/TSGR2_109bis-e/Docs/R2-2004189.zip"</w:instrText>
      </w:r>
      <w:r w:rsidR="00D8484E">
        <w:fldChar w:fldCharType="separate"/>
      </w:r>
      <w:r w:rsidR="00D8484E">
        <w:rPr>
          <w:rStyle w:val="Hyperlink"/>
          <w:bCs/>
          <w:noProof w:val="0"/>
          <w:sz w:val="24"/>
          <w:szCs w:val="24"/>
        </w:rPr>
        <w:t>R2-2004189</w:t>
      </w:r>
      <w:r w:rsidR="00D8484E">
        <w:rPr>
          <w:rStyle w:val="Hyperlink"/>
          <w:bCs/>
          <w:noProof w:val="0"/>
          <w:sz w:val="24"/>
          <w:szCs w:val="24"/>
        </w:rPr>
        <w:fldChar w:fldCharType="end"/>
      </w:r>
      <w:bookmarkEnd w:id="0"/>
    </w:p>
    <w:p w14:paraId="11776FA6" w14:textId="7CFDDB62"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6FBE20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06C7">
        <w:rPr>
          <w:rFonts w:cs="Arial"/>
          <w:b/>
          <w:bCs/>
          <w:sz w:val="24"/>
        </w:rPr>
        <w:t>6.10.3</w:t>
      </w:r>
    </w:p>
    <w:p w14:paraId="73188B46" w14:textId="532B87D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4306C7" w:rsidRPr="0086159C">
        <w:rPr>
          <w:rFonts w:ascii="Arial" w:hAnsi="Arial" w:cs="Arial"/>
          <w:b/>
          <w:bCs/>
          <w:sz w:val="24"/>
        </w:rPr>
        <w:t>, Ericsson, ZTE</w:t>
      </w:r>
      <w:r w:rsidR="0086159C" w:rsidRPr="002E3263">
        <w:rPr>
          <w:rFonts w:ascii="Arial" w:hAnsi="Arial" w:cs="Arial"/>
          <w:b/>
          <w:bCs/>
          <w:sz w:val="24"/>
        </w:rPr>
        <w:t xml:space="preserve">, CATT, </w:t>
      </w:r>
      <w:r w:rsidR="00D61FBA">
        <w:rPr>
          <w:rFonts w:ascii="Arial" w:hAnsi="Arial" w:cs="Arial"/>
          <w:b/>
          <w:bCs/>
          <w:sz w:val="24"/>
        </w:rPr>
        <w:t>NTT DOCOMO, Verizon, T-Mobile USA</w:t>
      </w:r>
    </w:p>
    <w:p w14:paraId="0FA3EF00" w14:textId="4FC3BEC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06C7">
        <w:rPr>
          <w:rFonts w:ascii="Arial" w:hAnsi="Arial" w:cs="Arial"/>
          <w:b/>
          <w:bCs/>
          <w:sz w:val="24"/>
        </w:rPr>
        <w:t>Further discussion on LS reply to RAN1 on NR-NR DC</w:t>
      </w:r>
    </w:p>
    <w:p w14:paraId="1F147C23" w14:textId="66838DD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306C7" w:rsidRPr="004306C7">
        <w:rPr>
          <w:rFonts w:ascii="Arial" w:hAnsi="Arial" w:cs="Arial"/>
          <w:b/>
          <w:bCs/>
          <w:sz w:val="24"/>
        </w:rPr>
        <w:t xml:space="preserve">LTE_NR_DC_CA_enh-Core </w:t>
      </w:r>
      <w:r>
        <w:rPr>
          <w:rFonts w:ascii="Arial" w:hAnsi="Arial" w:cs="Arial"/>
          <w:b/>
          <w:bCs/>
          <w:sz w:val="24"/>
        </w:rPr>
        <w:t xml:space="preserve">- Release </w:t>
      </w:r>
      <w:r w:rsidR="004306C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D67DEC7" w:rsidR="007F2E08" w:rsidRPr="006E13D1" w:rsidRDefault="004306C7" w:rsidP="00A209D6">
      <w:r>
        <w:t xml:space="preserve">The initial discussion on RAN1 LS on NR-NR UL power control in </w:t>
      </w:r>
      <w:hyperlink r:id="rId12" w:history="1">
        <w:r w:rsidR="0086159C">
          <w:rPr>
            <w:rStyle w:val="Hyperlink"/>
          </w:rPr>
          <w:t>R2-2002517</w:t>
        </w:r>
      </w:hyperlink>
      <w:r>
        <w:t xml:space="preserve"> (</w:t>
      </w:r>
      <w:hyperlink r:id="rId13" w:history="1">
        <w:r w:rsidRPr="00D8484E">
          <w:rPr>
            <w:rStyle w:val="Hyperlink"/>
          </w:rPr>
          <w:t>R1-2001421</w:t>
        </w:r>
      </w:hyperlink>
      <w:r>
        <w:t>) was help in the first week of RAN2#109bis-e, but with no decision. In this document, we would like to revisit the issue once more.</w:t>
      </w:r>
    </w:p>
    <w:p w14:paraId="2BBFF540" w14:textId="1DD0EDB3" w:rsidR="00A209D6" w:rsidRPr="006E13D1" w:rsidRDefault="00A209D6" w:rsidP="00A209D6">
      <w:pPr>
        <w:pStyle w:val="Heading1"/>
      </w:pPr>
      <w:r w:rsidRPr="006E13D1">
        <w:t>2</w:t>
      </w:r>
      <w:r w:rsidRPr="006E13D1">
        <w:tab/>
      </w:r>
      <w:r w:rsidR="004306C7">
        <w:t>NR-NR DC in Rel-15 and Rel-16</w:t>
      </w:r>
      <w:r w:rsidRPr="006E13D1">
        <w:t xml:space="preserve"> </w:t>
      </w:r>
    </w:p>
    <w:p w14:paraId="58FAE853" w14:textId="70C016C9" w:rsidR="004306C7" w:rsidRDefault="004306C7" w:rsidP="00A209D6">
      <w:r>
        <w:t>One of the fundamental design decisions for MR-DC (which includes NR-DC) during Rel-15 was on whether network nodes are required to comprehend each other’s configurations for capability coordination purposes. The decision was first done for EN-DC in RAN2</w:t>
      </w:r>
      <w:r w:rsidR="00AB360C">
        <w:t xml:space="preserve"> NR-AH#2 (July 2017)</w:t>
      </w:r>
      <w:r>
        <w:t>, and later for NR-DC in RAN2#103</w:t>
      </w:r>
      <w:r w:rsidR="00D32E2A">
        <w:t>bis</w:t>
      </w:r>
      <w:r>
        <w:t xml:space="preserve"> </w:t>
      </w:r>
      <w:r w:rsidR="00AB360C">
        <w:t xml:space="preserve">(October 2018) </w:t>
      </w:r>
      <w:r>
        <w:t>and RAN2#104</w:t>
      </w:r>
      <w:r w:rsidR="00D32E2A">
        <w:t xml:space="preserve"> </w:t>
      </w:r>
      <w:r w:rsidR="00AB360C">
        <w:t xml:space="preserve">(November 2018) </w:t>
      </w:r>
      <w:r w:rsidR="00D32E2A">
        <w:t>as shown below:</w:t>
      </w:r>
    </w:p>
    <w:p w14:paraId="4A568B07" w14:textId="77777777" w:rsidR="00D32E2A" w:rsidRDefault="00D32E2A" w:rsidP="00D32E2A">
      <w:pPr>
        <w:pStyle w:val="Comments"/>
        <w:rPr>
          <w:i w:val="0"/>
          <w:iCs w:val="0"/>
          <w:sz w:val="22"/>
          <w:szCs w:val="22"/>
          <w:lang w:val="en-US"/>
        </w:rPr>
      </w:pPr>
    </w:p>
    <w:p w14:paraId="77488D7C" w14:textId="230DD6FD" w:rsidR="00D32E2A" w:rsidRPr="00AB360C" w:rsidRDefault="00AB360C" w:rsidP="00AB360C">
      <w:pPr>
        <w:pStyle w:val="Comments"/>
        <w:rPr>
          <w:b/>
          <w:bCs/>
          <w:u w:val="single"/>
          <w:lang w:val="en-US"/>
        </w:rPr>
      </w:pPr>
      <w:r w:rsidRPr="00D32E2A">
        <w:rPr>
          <w:b/>
          <w:bCs/>
          <w:u w:val="single"/>
          <w:lang w:val="en-US"/>
        </w:rPr>
        <w:t>RAN2</w:t>
      </w:r>
      <w:r>
        <w:rPr>
          <w:b/>
          <w:bCs/>
          <w:u w:val="single"/>
          <w:lang w:val="en-US"/>
        </w:rPr>
        <w:t xml:space="preserve"> NR-AH#2</w:t>
      </w:r>
      <w:r w:rsidRPr="00D32E2A">
        <w:rPr>
          <w:b/>
          <w:bCs/>
          <w:u w:val="single"/>
          <w:lang w:val="en-US"/>
        </w:rPr>
        <w:t>:</w:t>
      </w:r>
    </w:p>
    <w:p w14:paraId="2A1402EC" w14:textId="77777777" w:rsidR="00AB360C" w:rsidRDefault="00AB360C" w:rsidP="00AB360C">
      <w:pPr>
        <w:pStyle w:val="Comments"/>
      </w:pPr>
      <w:r w:rsidRPr="00636674">
        <w:t>Including output from email discussion [98#29][NR] Capability coordination (DOCOMO)</w:t>
      </w:r>
    </w:p>
    <w:p w14:paraId="5CC0E655" w14:textId="77777777" w:rsidR="00AB360C" w:rsidRDefault="00AB360C" w:rsidP="00AB360C">
      <w:pPr>
        <w:pStyle w:val="Comments"/>
      </w:pPr>
      <w:r w:rsidRPr="00F30FBE">
        <w:t>Maximum 1 tdoc per company</w:t>
      </w:r>
    </w:p>
    <w:p w14:paraId="6F513978" w14:textId="70AD0905" w:rsidR="00AB360C" w:rsidRDefault="00D8484E" w:rsidP="00AB360C">
      <w:pPr>
        <w:pStyle w:val="Doc-title"/>
        <w:spacing w:before="40"/>
      </w:pPr>
      <w:hyperlink r:id="rId14" w:tooltip="C:Data3GPPExtractsR2-1706454_SummaryOfEmailDisc[98#29].docx" w:history="1">
        <w:r w:rsidR="00AB360C" w:rsidRPr="00610068">
          <w:rPr>
            <w:rStyle w:val="Hyperlink"/>
          </w:rPr>
          <w:t>R2-1706454</w:t>
        </w:r>
      </w:hyperlink>
      <w:r w:rsidR="00AB360C">
        <w:tab/>
        <w:t>Summary of email discussion [98#29][NR] Capability coordination</w:t>
      </w:r>
      <w:r w:rsidR="00AB360C">
        <w:tab/>
        <w:t>NTT DOCOMO, INC. (Email discussion rapporteur)</w:t>
      </w:r>
      <w:r w:rsidR="00AB360C">
        <w:tab/>
        <w:t>report</w:t>
      </w:r>
      <w:r w:rsidR="00AB360C">
        <w:tab/>
        <w:t>Rel-15</w:t>
      </w:r>
      <w:r w:rsidR="00AB360C">
        <w:tab/>
        <w:t>NR_newRAT-Core</w:t>
      </w:r>
    </w:p>
    <w:p w14:paraId="1A16B4B2" w14:textId="4A9E9BCD" w:rsidR="00AB360C" w:rsidRPr="00E54E57" w:rsidRDefault="00AB360C" w:rsidP="00AB360C">
      <w:pPr>
        <w:pStyle w:val="Doc-comment"/>
        <w:spacing w:before="40" w:after="0"/>
      </w:pPr>
      <w:r>
        <w:t>=&gt;</w:t>
      </w:r>
      <w:r>
        <w:tab/>
        <w:t xml:space="preserve">Revised to </w:t>
      </w:r>
      <w:hyperlink r:id="rId15" w:tooltip="C:Data3GPPExtractsR2-1707459_SummaryOfEmailDisc[98#29]Rev1.docx" w:history="1">
        <w:r w:rsidRPr="00610068">
          <w:rPr>
            <w:rStyle w:val="Hyperlink"/>
          </w:rPr>
          <w:t>R2-1707459</w:t>
        </w:r>
      </w:hyperlink>
    </w:p>
    <w:p w14:paraId="741ECD21" w14:textId="3712905A" w:rsidR="00AB360C" w:rsidRDefault="00D8484E" w:rsidP="00AB360C">
      <w:pPr>
        <w:pStyle w:val="Doc-title"/>
        <w:spacing w:before="40"/>
      </w:pPr>
      <w:hyperlink r:id="rId16" w:tooltip="C:Data3GPPExtractsR2-1707459_SummaryOfEmailDisc[98#29]Rev1.docx" w:history="1">
        <w:r w:rsidR="00AB360C" w:rsidRPr="00610068">
          <w:rPr>
            <w:rStyle w:val="Hyperlink"/>
          </w:rPr>
          <w:t>R2-1707459</w:t>
        </w:r>
      </w:hyperlink>
      <w:r w:rsidR="00AB360C">
        <w:tab/>
        <w:t>Summary of email discussion [98#29][NR] Capability coordination</w:t>
      </w:r>
      <w:r w:rsidR="00AB360C">
        <w:tab/>
        <w:t>NTT DOCOMO, INC. (Email discussion rapporteur)</w:t>
      </w:r>
      <w:r w:rsidR="00AB360C">
        <w:tab/>
        <w:t>report</w:t>
      </w:r>
      <w:r w:rsidR="00AB360C">
        <w:tab/>
        <w:t>Rel-15</w:t>
      </w:r>
      <w:r w:rsidR="00AB360C">
        <w:tab/>
        <w:t>NR_newRAT-Core</w:t>
      </w:r>
    </w:p>
    <w:p w14:paraId="5CB05B3B" w14:textId="77777777" w:rsidR="00AB360C" w:rsidRDefault="00AB360C" w:rsidP="00AB360C">
      <w:pPr>
        <w:pStyle w:val="Doc-text2"/>
        <w:spacing w:before="40"/>
      </w:pPr>
      <w:r>
        <w:t>P2</w:t>
      </w:r>
    </w:p>
    <w:p w14:paraId="74A8C42A" w14:textId="77777777" w:rsidR="00AB360C" w:rsidRDefault="00AB360C" w:rsidP="00AB360C">
      <w:pPr>
        <w:pStyle w:val="Doc-text2"/>
        <w:spacing w:before="40"/>
      </w:pPr>
      <w:r>
        <w:t>-</w:t>
      </w:r>
      <w:r>
        <w:tab/>
        <w:t>Intel think the open issues should first be resolved before agreeing to P2.</w:t>
      </w:r>
    </w:p>
    <w:p w14:paraId="097A8861" w14:textId="77777777" w:rsidR="00AB360C" w:rsidRDefault="00AB360C" w:rsidP="00AB360C">
      <w:pPr>
        <w:pStyle w:val="Doc-text2"/>
        <w:spacing w:before="40"/>
      </w:pPr>
      <w:r>
        <w:t>-</w:t>
      </w:r>
      <w:r>
        <w:tab/>
        <w:t>LG ask if the index refers to the band combination. DOCOMO explain that it at least refers to the BC and maybe some other information as well depending on the details.</w:t>
      </w:r>
    </w:p>
    <w:p w14:paraId="3CCEB44D" w14:textId="77777777" w:rsidR="00AB360C" w:rsidRDefault="00AB360C" w:rsidP="00AB360C">
      <w:pPr>
        <w:pStyle w:val="Doc-text2"/>
        <w:spacing w:before="40"/>
      </w:pPr>
      <w:r>
        <w:t>P2a</w:t>
      </w:r>
    </w:p>
    <w:p w14:paraId="60E7B740" w14:textId="77777777" w:rsidR="00AB360C" w:rsidRDefault="00AB360C" w:rsidP="00AB360C">
      <w:pPr>
        <w:pStyle w:val="Doc-text2"/>
        <w:spacing w:before="40"/>
      </w:pPr>
      <w:r>
        <w:t>-</w:t>
      </w:r>
      <w:r>
        <w:tab/>
        <w:t>Qualcomm think the intra-band case needs to be solved for all solutions as today we only consider bands but this would need some coordination based on carrier. DOCOMO explain this could be resolved in the legacy LTE approach as the MCG/SCG configuration would be visible in the other node.</w:t>
      </w:r>
    </w:p>
    <w:p w14:paraId="346E04D1" w14:textId="77777777" w:rsidR="00AB360C" w:rsidRDefault="00AB360C" w:rsidP="00AB360C">
      <w:pPr>
        <w:pStyle w:val="Doc-text2"/>
        <w:spacing w:before="40"/>
      </w:pPr>
      <w:r>
        <w:t>-</w:t>
      </w:r>
      <w:r>
        <w:tab/>
        <w:t>Intel think if the approach is extended to include various additional information then it looks similar to the current band combination.</w:t>
      </w:r>
    </w:p>
    <w:p w14:paraId="7BBB9559" w14:textId="77777777" w:rsidR="00AB360C" w:rsidRDefault="00AB360C" w:rsidP="00AB360C">
      <w:pPr>
        <w:pStyle w:val="Doc-text2"/>
        <w:spacing w:before="40"/>
      </w:pPr>
      <w:r>
        <w:t>-</w:t>
      </w:r>
      <w:r>
        <w:tab/>
        <w:t>Huawei think the index approach will end up similar to LTE baseline.</w:t>
      </w:r>
    </w:p>
    <w:p w14:paraId="665D65D9" w14:textId="77777777" w:rsidR="00AB360C" w:rsidRDefault="00AB360C" w:rsidP="00AB360C">
      <w:pPr>
        <w:pStyle w:val="Doc-text2"/>
        <w:spacing w:before="40"/>
      </w:pPr>
    </w:p>
    <w:p w14:paraId="2819330A"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Agreements:</w:t>
      </w:r>
    </w:p>
    <w:p w14:paraId="69C7CE1D"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1:</w:t>
      </w:r>
      <w:r>
        <w:tab/>
        <w:t>In case of NE-DC, for each NR BC in the UE capabilities at least the possible LTE frequency bands that can operate with this NR BC should be visible to the NR MN.</w:t>
      </w:r>
    </w:p>
    <w:p w14:paraId="313B1351"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2:</w:t>
      </w:r>
      <w:r>
        <w:tab/>
        <w:t>For MR-DC, capability signalling and coordination will support shared baseband capabilities between LTE and NR. The exact capabilities for coordination should FFS and dependent on RAN1/4 discussion.</w:t>
      </w:r>
    </w:p>
    <w:p w14:paraId="4260C9AA"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3:</w:t>
      </w:r>
      <w:r>
        <w:tab/>
        <w:t>RAN2 continues to work on capability coordination not requiring MN and SN comprehend each other’s UE configuration (e.g. the index based coordination).</w:t>
      </w:r>
    </w:p>
    <w:p w14:paraId="1625644A"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lastRenderedPageBreak/>
        <w:t>4:</w:t>
      </w:r>
      <w:r>
        <w:tab/>
        <w:t>For the index-based coordination, the following open issues need to be resolved:</w:t>
      </w:r>
    </w:p>
    <w:p w14:paraId="33852315"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w:t>
      </w:r>
      <w:r>
        <w:tab/>
        <w:t>How can the LTE/NR MN learn the possible NR/LTE frequency bands that can operate with LTE/NR BC? (e.g. For each index there is a frequency list of the NR/LTE frequency bands that can be understood by the MN, frequency part is visible to both MN and SN)</w:t>
      </w:r>
    </w:p>
    <w:p w14:paraId="159F98F3"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w:t>
      </w:r>
      <w:r>
        <w:tab/>
        <w:t>How to address baseband capability dependency between LTE and NR (Proposal 4)? (Depends on outcome of RAN1/4 discussion)</w:t>
      </w:r>
    </w:p>
    <w:p w14:paraId="26BB5E39"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w:t>
      </w:r>
      <w:r>
        <w:tab/>
        <w:t>How can the MN/SN decide MCG/SCG configuration if LTE-NR band combination is defined within the same frequency band?</w:t>
      </w:r>
    </w:p>
    <w:p w14:paraId="7D1A702B" w14:textId="77777777" w:rsidR="00AB360C" w:rsidRDefault="00AB360C" w:rsidP="00AB360C">
      <w:pPr>
        <w:pStyle w:val="Doc-text2"/>
        <w:pBdr>
          <w:top w:val="single" w:sz="4" w:space="1" w:color="auto"/>
          <w:left w:val="single" w:sz="4" w:space="4" w:color="auto"/>
          <w:bottom w:val="single" w:sz="4" w:space="1" w:color="auto"/>
          <w:right w:val="single" w:sz="4" w:space="4" w:color="auto"/>
        </w:pBdr>
        <w:spacing w:before="40"/>
      </w:pPr>
      <w:r>
        <w:t>-</w:t>
      </w:r>
      <w:r>
        <w:tab/>
        <w:t>If the above issues cannot be resolved then the fallback will be to use the LTE baseline.</w:t>
      </w:r>
    </w:p>
    <w:p w14:paraId="7A4E1C0D" w14:textId="77777777" w:rsidR="00AB360C" w:rsidRDefault="00AB360C" w:rsidP="00AB360C">
      <w:pPr>
        <w:pStyle w:val="Doc-text2"/>
        <w:spacing w:before="40"/>
      </w:pPr>
      <w:r>
        <w:t>=&gt;</w:t>
      </w:r>
      <w:r>
        <w:tab/>
        <w:t>Contributions on how to address the open issues listed in 4 can be submitted to next meeting (with sufficient detail that we can make a decision).</w:t>
      </w:r>
    </w:p>
    <w:p w14:paraId="2197176F" w14:textId="77777777" w:rsidR="00AB360C" w:rsidRDefault="00AB360C" w:rsidP="00AB360C">
      <w:pPr>
        <w:pStyle w:val="Doc-text2"/>
        <w:spacing w:before="40"/>
      </w:pPr>
      <w:r>
        <w:t>=&gt;</w:t>
      </w:r>
      <w:r>
        <w:tab/>
        <w:t xml:space="preserve">Ask RAN1/4 if there will be baseband capabilities that can be shared between LTE and NR (other than MIMO capability for which RAN4 has already responded). Draft LS in </w:t>
      </w:r>
      <w:r w:rsidRPr="00610068">
        <w:rPr>
          <w:highlight w:val="yellow"/>
        </w:rPr>
        <w:t>R2-1707475</w:t>
      </w:r>
      <w:r>
        <w:t xml:space="preserve"> (Nokia, offline discussion 15)</w:t>
      </w:r>
    </w:p>
    <w:p w14:paraId="124C52D2" w14:textId="77777777" w:rsidR="00D32E2A" w:rsidRDefault="00D32E2A" w:rsidP="00D32E2A">
      <w:pPr>
        <w:pStyle w:val="Comments"/>
        <w:rPr>
          <w:sz w:val="18"/>
          <w:szCs w:val="18"/>
          <w:lang w:val="en-US"/>
        </w:rPr>
      </w:pPr>
    </w:p>
    <w:p w14:paraId="1511F9AA" w14:textId="77777777" w:rsidR="00D32E2A" w:rsidRDefault="00D32E2A" w:rsidP="00D32E2A">
      <w:pPr>
        <w:pStyle w:val="Comments"/>
        <w:rPr>
          <w:lang w:val="en-US"/>
        </w:rPr>
      </w:pPr>
    </w:p>
    <w:p w14:paraId="6DA3AB26" w14:textId="3318E6A3" w:rsidR="00D32E2A" w:rsidRPr="00D32E2A" w:rsidRDefault="00D32E2A" w:rsidP="00D32E2A">
      <w:pPr>
        <w:pStyle w:val="Comments"/>
        <w:rPr>
          <w:b/>
          <w:bCs/>
          <w:u w:val="single"/>
          <w:lang w:val="en-US"/>
        </w:rPr>
      </w:pPr>
      <w:r w:rsidRPr="00D32E2A">
        <w:rPr>
          <w:b/>
          <w:bCs/>
          <w:u w:val="single"/>
          <w:lang w:val="en-US"/>
        </w:rPr>
        <w:t>RAN2#103</w:t>
      </w:r>
      <w:r>
        <w:rPr>
          <w:b/>
          <w:bCs/>
          <w:u w:val="single"/>
          <w:lang w:val="en-US"/>
        </w:rPr>
        <w:t>bis</w:t>
      </w:r>
      <w:r w:rsidRPr="00D32E2A">
        <w:rPr>
          <w:b/>
          <w:bCs/>
          <w:u w:val="single"/>
          <w:lang w:val="en-US"/>
        </w:rPr>
        <w:t>:</w:t>
      </w:r>
    </w:p>
    <w:p w14:paraId="37D67D6F" w14:textId="77777777" w:rsidR="00D32E2A" w:rsidRPr="00D32E2A" w:rsidRDefault="00D32E2A" w:rsidP="00D32E2A">
      <w:pPr>
        <w:spacing w:before="40" w:after="0"/>
        <w:rPr>
          <w:rFonts w:ascii="Arial" w:eastAsia="MS Mincho" w:hAnsi="Arial"/>
          <w:i/>
          <w:noProof/>
          <w:sz w:val="18"/>
          <w:szCs w:val="24"/>
          <w:lang w:eastAsia="en-GB"/>
        </w:rPr>
      </w:pPr>
      <w:r w:rsidRPr="00D32E2A">
        <w:rPr>
          <w:rFonts w:ascii="Arial" w:eastAsia="MS Mincho" w:hAnsi="Arial"/>
          <w:i/>
          <w:noProof/>
          <w:sz w:val="18"/>
          <w:szCs w:val="24"/>
          <w:lang w:eastAsia="en-GB"/>
        </w:rPr>
        <w:t>Email discussion #49 - Capability coordination</w:t>
      </w:r>
    </w:p>
    <w:p w14:paraId="3A96CD43" w14:textId="77777777" w:rsidR="00D32E2A" w:rsidRPr="00D32E2A" w:rsidRDefault="00D8484E" w:rsidP="00D32E2A">
      <w:pPr>
        <w:spacing w:before="60" w:after="0"/>
        <w:ind w:left="1259" w:hanging="1259"/>
        <w:rPr>
          <w:rFonts w:ascii="Arial" w:eastAsia="MS Mincho" w:hAnsi="Arial"/>
          <w:noProof/>
          <w:szCs w:val="24"/>
          <w:lang w:eastAsia="en-GB"/>
        </w:rPr>
      </w:pPr>
      <w:hyperlink r:id="rId17" w:history="1">
        <w:r w:rsidR="00D32E2A" w:rsidRPr="00D32E2A">
          <w:rPr>
            <w:rFonts w:ascii="Arial" w:eastAsia="MS Mincho" w:hAnsi="Arial"/>
            <w:noProof/>
            <w:color w:val="0000FF"/>
            <w:szCs w:val="24"/>
            <w:u w:val="single"/>
            <w:lang w:eastAsia="en-GB"/>
          </w:rPr>
          <w:t>R2-1814391</w:t>
        </w:r>
      </w:hyperlink>
      <w:r w:rsidR="00D32E2A" w:rsidRPr="00D32E2A">
        <w:rPr>
          <w:rFonts w:ascii="Arial" w:eastAsia="MS Mincho" w:hAnsi="Arial"/>
          <w:noProof/>
          <w:szCs w:val="24"/>
          <w:lang w:eastAsia="en-GB"/>
        </w:rPr>
        <w:tab/>
        <w:t>Output of email discussion [103#49] [NR late drop] Capability coordination for NR-DC</w:t>
      </w:r>
      <w:r w:rsidR="00D32E2A" w:rsidRPr="00D32E2A">
        <w:rPr>
          <w:rFonts w:ascii="Arial" w:eastAsia="MS Mincho" w:hAnsi="Arial"/>
          <w:noProof/>
          <w:szCs w:val="24"/>
          <w:lang w:eastAsia="en-GB"/>
        </w:rPr>
        <w:tab/>
        <w:t>Nokia, Nokia Shanghai Bell</w:t>
      </w:r>
      <w:r w:rsidR="00D32E2A" w:rsidRPr="00D32E2A">
        <w:rPr>
          <w:rFonts w:ascii="Arial" w:eastAsia="MS Mincho" w:hAnsi="Arial"/>
          <w:noProof/>
          <w:szCs w:val="24"/>
          <w:lang w:eastAsia="en-GB"/>
        </w:rPr>
        <w:tab/>
        <w:t>discussion</w:t>
      </w:r>
      <w:r w:rsidR="00D32E2A" w:rsidRPr="00D32E2A">
        <w:rPr>
          <w:rFonts w:ascii="Arial" w:eastAsia="MS Mincho" w:hAnsi="Arial"/>
          <w:noProof/>
          <w:szCs w:val="24"/>
          <w:lang w:eastAsia="en-GB"/>
        </w:rPr>
        <w:tab/>
        <w:t>Rel-15</w:t>
      </w:r>
      <w:r w:rsidR="00D32E2A" w:rsidRPr="00D32E2A">
        <w:rPr>
          <w:rFonts w:ascii="Arial" w:eastAsia="MS Mincho" w:hAnsi="Arial"/>
          <w:noProof/>
          <w:szCs w:val="24"/>
          <w:lang w:eastAsia="en-GB"/>
        </w:rPr>
        <w:tab/>
        <w:t>NR_newRAT-Core</w:t>
      </w:r>
    </w:p>
    <w:p w14:paraId="464D572F" w14:textId="77777777" w:rsidR="00D32E2A" w:rsidRPr="00D32E2A" w:rsidRDefault="00D32E2A" w:rsidP="00D32E2A">
      <w:pPr>
        <w:tabs>
          <w:tab w:val="left" w:pos="1622"/>
        </w:tabs>
        <w:spacing w:after="0"/>
        <w:ind w:left="1622" w:hanging="363"/>
        <w:rPr>
          <w:rFonts w:ascii="Arial" w:eastAsia="MS Mincho" w:hAnsi="Arial"/>
          <w:szCs w:val="24"/>
          <w:lang w:eastAsia="en-GB"/>
        </w:rPr>
      </w:pPr>
    </w:p>
    <w:p w14:paraId="201689BB" w14:textId="77777777" w:rsidR="00D32E2A" w:rsidRPr="00D32E2A" w:rsidRDefault="00D32E2A" w:rsidP="00D32E2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32E2A">
        <w:rPr>
          <w:rFonts w:ascii="Arial" w:eastAsia="MS Mincho" w:hAnsi="Arial"/>
          <w:szCs w:val="24"/>
          <w:lang w:eastAsia="en-GB"/>
        </w:rPr>
        <w:t>Agreements</w:t>
      </w:r>
    </w:p>
    <w:p w14:paraId="1BAE94BE" w14:textId="77777777" w:rsidR="00D32E2A" w:rsidRPr="00D32E2A" w:rsidRDefault="00D32E2A" w:rsidP="00D32E2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32E2A">
        <w:rPr>
          <w:rFonts w:ascii="Arial" w:eastAsia="MS Mincho" w:hAnsi="Arial"/>
          <w:szCs w:val="24"/>
          <w:lang w:eastAsia="en-GB"/>
        </w:rPr>
        <w:t>1:</w:t>
      </w:r>
      <w:r w:rsidRPr="00D32E2A">
        <w:rPr>
          <w:rFonts w:ascii="Arial" w:eastAsia="MS Mincho" w:hAnsi="Arial"/>
          <w:szCs w:val="24"/>
          <w:lang w:eastAsia="en-GB"/>
        </w:rPr>
        <w:tab/>
        <w:t>For NGEN-DC and NE-DC, capability coordination does not require MN and SN to comprehend each other’s UE configuration.</w:t>
      </w:r>
    </w:p>
    <w:p w14:paraId="138CED48" w14:textId="77777777" w:rsidR="00D32E2A" w:rsidRPr="00D32E2A" w:rsidRDefault="00D32E2A" w:rsidP="00D32E2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32E2A">
        <w:rPr>
          <w:rFonts w:ascii="Arial" w:eastAsia="MS Mincho" w:hAnsi="Arial"/>
          <w:szCs w:val="24"/>
          <w:highlight w:val="green"/>
          <w:lang w:eastAsia="en-GB"/>
        </w:rPr>
        <w:t>2a: For NR-DC, as a baseline is that capability coordination uses the same INMs as for EN-DC and can work without the MN and SN having to comprehend each other’s UE configuration</w:t>
      </w:r>
      <w:r w:rsidRPr="00D32E2A">
        <w:rPr>
          <w:rFonts w:ascii="Arial" w:eastAsia="MS Mincho" w:hAnsi="Arial"/>
          <w:szCs w:val="24"/>
          <w:lang w:eastAsia="en-GB"/>
        </w:rPr>
        <w:t xml:space="preserve"> </w:t>
      </w:r>
      <w:r w:rsidRPr="00D32E2A">
        <w:rPr>
          <w:rFonts w:ascii="Arial" w:eastAsia="MS Mincho" w:hAnsi="Arial"/>
          <w:color w:val="FF0000"/>
          <w:szCs w:val="24"/>
          <w:lang w:eastAsia="en-GB"/>
        </w:rPr>
        <w:t>but not excluding that they can comprehend the others configuration</w:t>
      </w:r>
      <w:r w:rsidRPr="00D32E2A">
        <w:rPr>
          <w:rFonts w:ascii="Arial" w:eastAsia="MS Mincho" w:hAnsi="Arial"/>
          <w:szCs w:val="24"/>
          <w:lang w:eastAsia="en-GB"/>
        </w:rPr>
        <w:t>.</w:t>
      </w:r>
    </w:p>
    <w:p w14:paraId="207795BC" w14:textId="77777777" w:rsidR="00D32E2A" w:rsidRPr="00D32E2A" w:rsidRDefault="00D32E2A" w:rsidP="00D32E2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32E2A">
        <w:rPr>
          <w:rFonts w:ascii="Arial" w:eastAsia="MS Mincho" w:hAnsi="Arial"/>
          <w:szCs w:val="24"/>
          <w:lang w:eastAsia="en-GB"/>
        </w:rPr>
        <w:t>FFS for NR-DC, that for capability coordination the MN may in addition include MCG configuration in the INM to the SN (but priority is to ensure that 2a mechanism is working)</w:t>
      </w:r>
    </w:p>
    <w:p w14:paraId="26B81814" w14:textId="77777777" w:rsidR="00D32E2A" w:rsidRPr="00D32E2A" w:rsidRDefault="00D32E2A" w:rsidP="00D32E2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32E2A">
        <w:rPr>
          <w:rFonts w:ascii="Arial" w:eastAsia="MS Mincho" w:hAnsi="Arial"/>
          <w:szCs w:val="24"/>
          <w:lang w:eastAsia="en-GB"/>
        </w:rPr>
        <w:t xml:space="preserve">3: </w:t>
      </w:r>
      <w:r w:rsidRPr="00D32E2A">
        <w:rPr>
          <w:rFonts w:ascii="Arial" w:eastAsia="MS Mincho" w:hAnsi="Arial"/>
          <w:szCs w:val="24"/>
          <w:lang w:eastAsia="en-GB"/>
        </w:rPr>
        <w:tab/>
        <w:t>For NGEN-DC and NE-DC, reuse the UE-MRDC-Capability.</w:t>
      </w:r>
    </w:p>
    <w:p w14:paraId="7F807561" w14:textId="77777777" w:rsidR="00D32E2A" w:rsidRPr="00D32E2A" w:rsidRDefault="00D32E2A" w:rsidP="00D32E2A">
      <w:pPr>
        <w:tabs>
          <w:tab w:val="left" w:pos="1622"/>
        </w:tabs>
        <w:spacing w:after="0"/>
        <w:ind w:left="1622" w:hanging="363"/>
        <w:rPr>
          <w:rFonts w:ascii="Arial" w:eastAsia="MS Mincho" w:hAnsi="Arial"/>
          <w:szCs w:val="24"/>
          <w:lang w:eastAsia="en-GB"/>
        </w:rPr>
      </w:pPr>
    </w:p>
    <w:p w14:paraId="76C740AB" w14:textId="0EC71450" w:rsidR="00D32E2A" w:rsidRDefault="00D32E2A" w:rsidP="00D32E2A">
      <w:pPr>
        <w:rPr>
          <w:rFonts w:ascii="Arial" w:hAnsi="Arial" w:cs="Arial"/>
        </w:rPr>
      </w:pPr>
    </w:p>
    <w:p w14:paraId="0662F225" w14:textId="70171F74" w:rsidR="00D32E2A" w:rsidRPr="00D32E2A" w:rsidRDefault="00D32E2A" w:rsidP="00D32E2A">
      <w:pPr>
        <w:pStyle w:val="Comments"/>
        <w:rPr>
          <w:b/>
          <w:bCs/>
          <w:u w:val="single"/>
          <w:lang w:val="en-US"/>
        </w:rPr>
      </w:pPr>
      <w:r w:rsidRPr="00D32E2A">
        <w:rPr>
          <w:b/>
          <w:bCs/>
          <w:u w:val="single"/>
          <w:lang w:val="en-US"/>
        </w:rPr>
        <w:t>RAN2#10</w:t>
      </w:r>
      <w:r w:rsidR="00AB360C">
        <w:rPr>
          <w:b/>
          <w:bCs/>
          <w:u w:val="single"/>
          <w:lang w:val="en-US"/>
        </w:rPr>
        <w:t>4</w:t>
      </w:r>
      <w:r w:rsidRPr="00D32E2A">
        <w:rPr>
          <w:b/>
          <w:bCs/>
          <w:u w:val="single"/>
          <w:lang w:val="en-US"/>
        </w:rPr>
        <w:t>:</w:t>
      </w:r>
    </w:p>
    <w:p w14:paraId="76E29259" w14:textId="17B2309D" w:rsidR="00AB360C" w:rsidRDefault="00D8484E" w:rsidP="00AB360C">
      <w:pPr>
        <w:pStyle w:val="Doc-title"/>
      </w:pPr>
      <w:hyperlink r:id="rId18" w:history="1">
        <w:r w:rsidR="00AB360C">
          <w:rPr>
            <w:rStyle w:val="Hyperlink"/>
          </w:rPr>
          <w:t>R2-1817369</w:t>
        </w:r>
      </w:hyperlink>
      <w:r w:rsidR="00AB360C" w:rsidRPr="00286C17">
        <w:tab/>
        <w:t>Discussion on UE capability coordination in NR-DC</w:t>
      </w:r>
      <w:r w:rsidR="00AB360C" w:rsidRPr="00286C17">
        <w:tab/>
        <w:t>Huawei, HiSilicon</w:t>
      </w:r>
      <w:r w:rsidR="00AB360C" w:rsidRPr="00286C17">
        <w:tab/>
        <w:t>discussion</w:t>
      </w:r>
      <w:r w:rsidR="00AB360C" w:rsidRPr="00286C17">
        <w:tab/>
        <w:t>Rel-15</w:t>
      </w:r>
      <w:r w:rsidR="00AB360C" w:rsidRPr="00286C17">
        <w:tab/>
        <w:t>NR_newRAT-Core</w:t>
      </w:r>
    </w:p>
    <w:p w14:paraId="6D156614" w14:textId="77777777" w:rsidR="00AB360C" w:rsidRPr="00286C17" w:rsidRDefault="00AB360C" w:rsidP="00AB360C">
      <w:pPr>
        <w:pStyle w:val="Doc-text2"/>
      </w:pPr>
      <w:r w:rsidRPr="00286C17">
        <w:t>-</w:t>
      </w:r>
      <w:r w:rsidRPr="00286C17">
        <w:tab/>
        <w:t>Nokia prefer to avoid 2 parallel capability mechanisms. Samsung have the same view.</w:t>
      </w:r>
    </w:p>
    <w:p w14:paraId="68F9EFF2" w14:textId="77777777" w:rsidR="00AB360C" w:rsidRPr="00286C17" w:rsidRDefault="00AB360C" w:rsidP="00AB360C">
      <w:pPr>
        <w:pStyle w:val="Doc-text2"/>
      </w:pPr>
      <w:r w:rsidRPr="00286C17">
        <w:t>-</w:t>
      </w:r>
      <w:r w:rsidRPr="00286C17">
        <w:tab/>
        <w:t>Ericsson agree to add the MCG config to provide additional information but not an alternative to the existing mechanism.</w:t>
      </w:r>
    </w:p>
    <w:p w14:paraId="389A1711" w14:textId="4362EAA0" w:rsidR="00D32E2A" w:rsidRDefault="00D32E2A" w:rsidP="00D32E2A">
      <w:pPr>
        <w:pStyle w:val="Doc-text2"/>
      </w:pPr>
      <w:r w:rsidRPr="00D32E2A">
        <w:rPr>
          <w:highlight w:val="green"/>
        </w:rPr>
        <w:t>=&gt;  Noted</w:t>
      </w:r>
    </w:p>
    <w:p w14:paraId="44CFD7C3" w14:textId="68D40F70" w:rsidR="00AB360C" w:rsidRDefault="00AB360C" w:rsidP="00AB360C">
      <w:pPr>
        <w:pStyle w:val="Doc-text2"/>
        <w:ind w:left="0" w:firstLine="0"/>
      </w:pPr>
      <w:r>
        <w:t>For reference, the proposals in the last document were:</w:t>
      </w:r>
    </w:p>
    <w:p w14:paraId="79EACE74" w14:textId="77777777" w:rsidR="00AB360C" w:rsidRPr="00AB360C" w:rsidRDefault="00AB360C" w:rsidP="00AB360C">
      <w:pPr>
        <w:ind w:left="284"/>
        <w:rPr>
          <w:b/>
          <w:i/>
          <w:iCs/>
        </w:rPr>
      </w:pPr>
      <w:r w:rsidRPr="00AB360C">
        <w:rPr>
          <w:b/>
          <w:i/>
          <w:iCs/>
        </w:rPr>
        <w:t>Proposal 1: For NR-DC, the capability coordination that MN and SN share each other’s UE configuration is supported</w:t>
      </w:r>
    </w:p>
    <w:p w14:paraId="560C3713" w14:textId="6AD6C797" w:rsidR="00D32E2A" w:rsidRPr="00AB360C" w:rsidRDefault="00AB360C" w:rsidP="00AB360C">
      <w:pPr>
        <w:ind w:left="284"/>
        <w:rPr>
          <w:b/>
          <w:i/>
          <w:iCs/>
        </w:rPr>
      </w:pPr>
      <w:r w:rsidRPr="00AB360C">
        <w:rPr>
          <w:b/>
          <w:i/>
          <w:iCs/>
        </w:rPr>
        <w:t>Proposal 2: For NR-DC, It is MN to decide which UE capability coordination method is used. SN knows the decision of MN according to the presence of CG-ConfigMN.</w:t>
      </w:r>
    </w:p>
    <w:p w14:paraId="7A5834C3" w14:textId="52B452BC" w:rsidR="00AB360C" w:rsidRPr="00AB360C" w:rsidRDefault="00AB360C" w:rsidP="00A209D6">
      <w:pPr>
        <w:rPr>
          <w:b/>
          <w:bCs/>
        </w:rPr>
      </w:pPr>
      <w:r w:rsidRPr="00AB360C">
        <w:rPr>
          <w:b/>
          <w:bCs/>
        </w:rPr>
        <w:t>Observation 1: Rel-15 NR-DC assumes that MN and SN only coordinate capabilities via INMs</w:t>
      </w:r>
      <w:r>
        <w:rPr>
          <w:b/>
          <w:bCs/>
        </w:rPr>
        <w:t>, without requirements on c</w:t>
      </w:r>
      <w:r w:rsidRPr="00AB360C">
        <w:rPr>
          <w:b/>
          <w:bCs/>
        </w:rPr>
        <w:t>omprehension of each other</w:t>
      </w:r>
      <w:r>
        <w:rPr>
          <w:b/>
          <w:bCs/>
        </w:rPr>
        <w:t>’</w:t>
      </w:r>
      <w:r w:rsidRPr="00AB360C">
        <w:rPr>
          <w:b/>
          <w:bCs/>
        </w:rPr>
        <w:t>s UE configuration (even if it is allowed).</w:t>
      </w:r>
    </w:p>
    <w:p w14:paraId="3E94BB60" w14:textId="76014F2F" w:rsidR="00F5258B" w:rsidRDefault="004306C7" w:rsidP="00A209D6">
      <w:r>
        <w:t xml:space="preserve">However, during the RAN2#109bis-e session, some companies claimed that it would be possible to revert this Rel-15 assumption for this particular purpose. However, in practice this would mean </w:t>
      </w:r>
      <w:r w:rsidR="00AB360C">
        <w:t xml:space="preserve">reverting the </w:t>
      </w:r>
      <w:r>
        <w:t>Rel-15 principle</w:t>
      </w:r>
      <w:r w:rsidR="00AB360C">
        <w:t>, which may have large consequences. Given that RAN2 spent considerable amount of time discussing this topic during Rel-15, and consciously decided to go this way, we think such reversion is simply not feasible within this timeframe.</w:t>
      </w:r>
      <w:r w:rsidR="00F5258B">
        <w:t xml:space="preserve"> </w:t>
      </w:r>
    </w:p>
    <w:p w14:paraId="2B47A6E7" w14:textId="3CCE2F9B" w:rsidR="00F5258B" w:rsidRPr="00F5258B" w:rsidRDefault="00F5258B" w:rsidP="00A209D6">
      <w:pPr>
        <w:rPr>
          <w:b/>
          <w:bCs/>
        </w:rPr>
      </w:pPr>
      <w:r w:rsidRPr="00F5258B">
        <w:rPr>
          <w:b/>
          <w:bCs/>
        </w:rPr>
        <w:t>Observation 2: Reverting a fundamental Rel-15 RAN2 decision during Rel-16 is not feasible during Stage-3 completion phase without any technical discussion on the topic.</w:t>
      </w:r>
    </w:p>
    <w:p w14:paraId="413101DE" w14:textId="666239BF" w:rsidR="004306C7" w:rsidRDefault="00F5258B" w:rsidP="00A209D6">
      <w:r>
        <w:t xml:space="preserve">Since there was also almost no time to discuss the technical aspects (and no contributions were treated apart from the LS itself), we think RAN2 should send a short LS to RAN1 indicating that the assumption </w:t>
      </w:r>
      <w:r w:rsidR="0086159C">
        <w:t>made</w:t>
      </w:r>
      <w:r>
        <w:t xml:space="preserve"> by RAN1 according to this sentence is invalid:</w:t>
      </w:r>
    </w:p>
    <w:p w14:paraId="7CE123DD" w14:textId="4433340B" w:rsidR="00F5258B" w:rsidRPr="00F5258B" w:rsidRDefault="00F5258B" w:rsidP="00F5258B">
      <w:pPr>
        <w:spacing w:after="120"/>
        <w:rPr>
          <w:rFonts w:ascii="Arial" w:hAnsi="Arial" w:cs="Arial"/>
          <w:i/>
          <w:iCs/>
        </w:rPr>
      </w:pPr>
      <w:r w:rsidRPr="00F5258B">
        <w:rPr>
          <w:rFonts w:ascii="Arial" w:hAnsi="Arial" w:cs="Arial"/>
          <w:i/>
          <w:iCs/>
        </w:rPr>
        <w:t xml:space="preserve">According to above agreement, </w:t>
      </w:r>
      <w:r w:rsidRPr="00F5258B">
        <w:rPr>
          <w:rFonts w:ascii="Arial" w:hAnsi="Arial" w:cs="Arial"/>
          <w:i/>
          <w:iCs/>
          <w:highlight w:val="yellow"/>
        </w:rPr>
        <w:t>it is RAN1 understanding that MN is required to process the SCG configuration</w:t>
      </w:r>
      <w:r w:rsidRPr="00F5258B">
        <w:rPr>
          <w:rFonts w:ascii="Arial" w:hAnsi="Arial" w:cs="Arial"/>
          <w:i/>
          <w:iCs/>
        </w:rPr>
        <w:t xml:space="preserve"> (i.e., RRC parameters impacting </w:t>
      </w:r>
      <m:oMath>
        <m:sSub>
          <m:sSubPr>
            <m:ctrlPr>
              <w:rPr>
                <w:rFonts w:ascii="Cambria Math" w:eastAsia="MS Mincho" w:hAnsi="Cambria Math"/>
                <w:b/>
                <w:bCs/>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Sub>
      </m:oMath>
      <w:r w:rsidRPr="00F5258B">
        <w:rPr>
          <w:rFonts w:eastAsia="MS Mincho"/>
          <w:b/>
          <w:bCs/>
          <w:i/>
          <w:iCs/>
          <w:lang w:eastAsia="ja-JP"/>
        </w:rPr>
        <w:t xml:space="preserve">, </w:t>
      </w:r>
      <m:oMath>
        <m:sSub>
          <m:sSubPr>
            <m:ctrlPr>
              <w:rPr>
                <w:rFonts w:ascii="Cambria Math" w:eastAsia="MS Mincho" w:hAnsi="Cambria Math"/>
                <w:b/>
                <w:bCs/>
                <w:i/>
                <w:iCs/>
                <w:lang w:eastAsia="ja-JP"/>
              </w:rPr>
            </m:ctrlPr>
          </m:sSub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Sub>
      </m:oMath>
      <w:r w:rsidRPr="00F5258B">
        <w:rPr>
          <w:rFonts w:eastAsia="MS Mincho"/>
          <w:b/>
          <w:bCs/>
          <w:i/>
          <w:iCs/>
          <w:lang w:eastAsia="ja-JP"/>
        </w:rPr>
        <w:t xml:space="preserve">, </w:t>
      </w:r>
      <m:oMath>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proc,release</m:t>
            </m:r>
          </m:sub>
          <m:sup>
            <m:r>
              <m:rPr>
                <m:sty m:val="bi"/>
              </m:rPr>
              <w:rPr>
                <w:rFonts w:ascii="Cambria Math" w:eastAsia="MS Mincho" w:hAnsi="Cambria Math"/>
                <w:lang w:eastAsia="ja-JP"/>
              </w:rPr>
              <m:t>mux</m:t>
            </m:r>
          </m:sup>
        </m:sSubSup>
      </m:oMath>
      <w:r w:rsidRPr="00F5258B">
        <w:rPr>
          <w:rFonts w:eastAsia="MS Mincho"/>
          <w:b/>
          <w:bCs/>
          <w:i/>
          <w:iCs/>
          <w:lang w:eastAsia="ja-JP"/>
        </w:rPr>
        <w:t xml:space="preserve">, </w:t>
      </w:r>
      <m:oMath>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proc,2</m:t>
            </m:r>
          </m:sub>
          <m:sup>
            <m:r>
              <m:rPr>
                <m:sty m:val="bi"/>
              </m:rPr>
              <w:rPr>
                <w:rFonts w:ascii="Cambria Math" w:eastAsia="MS Mincho" w:hAnsi="Cambria Math"/>
                <w:lang w:eastAsia="ja-JP"/>
              </w:rPr>
              <m:t>mux</m:t>
            </m:r>
          </m:sup>
        </m:sSubSup>
      </m:oMath>
      <w:r w:rsidRPr="00F5258B">
        <w:rPr>
          <w:rFonts w:eastAsia="MS Mincho"/>
          <w:b/>
          <w:bCs/>
          <w:i/>
          <w:iCs/>
          <w:lang w:eastAsia="ja-JP"/>
        </w:rPr>
        <w:t xml:space="preserve">, </w:t>
      </w:r>
      <w:r w:rsidRPr="00F5258B">
        <w:rPr>
          <w:rFonts w:ascii="Arial" w:hAnsi="Arial" w:cs="Arial"/>
          <w:i/>
          <w:iCs/>
        </w:rPr>
        <w:t>and/or</w:t>
      </w:r>
      <w:r w:rsidRPr="00F5258B">
        <w:rPr>
          <w:rFonts w:eastAsia="MS Mincho"/>
          <w:b/>
          <w:bCs/>
          <w:i/>
          <w:iCs/>
          <w:lang w:eastAsia="ja-JP"/>
        </w:rPr>
        <w:t xml:space="preserve"> </w:t>
      </w:r>
      <m:oMath>
        <m:sSubSup>
          <m:sSubSupPr>
            <m:ctrlPr>
              <w:rPr>
                <w:rFonts w:ascii="Cambria Math" w:eastAsia="MS Mincho" w:hAnsi="Cambria Math"/>
                <w:b/>
                <w:bCs/>
                <w:i/>
                <w:iCs/>
                <w:lang w:eastAsia="ja-JP"/>
              </w:rPr>
            </m:ctrlPr>
          </m:sSubSupPr>
          <m:e>
            <m:r>
              <m:rPr>
                <m:sty m:val="bi"/>
              </m:rPr>
              <w:rPr>
                <w:rFonts w:ascii="Cambria Math" w:eastAsia="MS Mincho" w:hAnsi="Cambria Math"/>
                <w:lang w:eastAsia="ja-JP"/>
              </w:rPr>
              <m:t>T</m:t>
            </m:r>
          </m:e>
          <m:sub>
            <m:r>
              <m:rPr>
                <m:sty m:val="bi"/>
              </m:rPr>
              <w:rPr>
                <w:rFonts w:ascii="Cambria Math" w:eastAsia="MS Mincho" w:hAnsi="Cambria Math"/>
                <w:lang w:eastAsia="ja-JP"/>
              </w:rPr>
              <m:t>proc,CSI</m:t>
            </m:r>
          </m:sub>
          <m:sup>
            <m:r>
              <m:rPr>
                <m:sty m:val="bi"/>
              </m:rPr>
              <w:rPr>
                <w:rFonts w:ascii="Cambria Math" w:eastAsia="MS Mincho" w:hAnsi="Cambria Math"/>
                <w:lang w:eastAsia="ja-JP"/>
              </w:rPr>
              <m:t>mux</m:t>
            </m:r>
          </m:sup>
        </m:sSubSup>
      </m:oMath>
      <w:r w:rsidRPr="00F5258B">
        <w:rPr>
          <w:rFonts w:eastAsia="MS Mincho"/>
          <w:b/>
          <w:bCs/>
          <w:i/>
          <w:iCs/>
          <w:lang w:eastAsia="ja-JP"/>
        </w:rPr>
        <w:t xml:space="preserve"> </w:t>
      </w:r>
      <w:r w:rsidRPr="00F5258B">
        <w:rPr>
          <w:rFonts w:ascii="Arial" w:hAnsi="Arial" w:cs="Arial"/>
          <w:i/>
          <w:iCs/>
        </w:rPr>
        <w:t xml:space="preserve">as specified in TS38.213 and TS38.214) to identify the T_offset used by the UE. Otherwise the MN needs to assume the possible largest value of T_offset. </w:t>
      </w:r>
    </w:p>
    <w:p w14:paraId="6A7FE0E7" w14:textId="1394879A" w:rsidR="004306C7" w:rsidRPr="00F5258B" w:rsidRDefault="00F5258B" w:rsidP="00A209D6">
      <w:pPr>
        <w:rPr>
          <w:b/>
          <w:bCs/>
        </w:rPr>
      </w:pPr>
      <w:r w:rsidRPr="00F5258B">
        <w:rPr>
          <w:b/>
          <w:bCs/>
        </w:rPr>
        <w:t xml:space="preserve">Proposal 1: RAN2 shall indicate to RAN1 </w:t>
      </w:r>
      <w:r w:rsidR="0086159C" w:rsidRPr="00F5258B">
        <w:rPr>
          <w:b/>
          <w:bCs/>
        </w:rPr>
        <w:t>that</w:t>
      </w:r>
      <w:r w:rsidRPr="00F5258B">
        <w:rPr>
          <w:b/>
          <w:bCs/>
        </w:rPr>
        <w:t xml:space="preserve"> the assumption they have made is against RAN2 decisions made during Rel-15.</w:t>
      </w:r>
    </w:p>
    <w:p w14:paraId="2C70CF14" w14:textId="07E67FCA" w:rsidR="00F5258B" w:rsidRDefault="00F5258B" w:rsidP="00F5258B">
      <w:r>
        <w:t xml:space="preserve">Finally, we understand that the aspects related to the exact T_offset calculation are still ongoing in RAN1 and </w:t>
      </w:r>
      <w:r w:rsidR="0086159C">
        <w:t>it</w:t>
      </w:r>
      <w:r>
        <w:t xml:space="preserve"> may not be possible to reach consensus on the RAN2 matters for that at such short notice either, so it is also fair to note that for the particular question they asked, there is no consensus on the matter. ¨</w:t>
      </w:r>
    </w:p>
    <w:p w14:paraId="77CF2AF1" w14:textId="79E6A925" w:rsidR="00F5258B" w:rsidRPr="00F5258B" w:rsidRDefault="00F5258B" w:rsidP="00A209D6">
      <w:pPr>
        <w:rPr>
          <w:b/>
          <w:bCs/>
        </w:rPr>
      </w:pPr>
      <w:r w:rsidRPr="00F5258B">
        <w:rPr>
          <w:b/>
          <w:bCs/>
        </w:rPr>
        <w:t xml:space="preserve">Proposal 2: When sending an LS to RAN1 as per proposal 1, RAN2 can also indicate that there is no consensus on answer to </w:t>
      </w:r>
      <w:r w:rsidR="0086159C" w:rsidRPr="00F5258B">
        <w:rPr>
          <w:b/>
          <w:bCs/>
        </w:rPr>
        <w:t>the</w:t>
      </w:r>
      <w:r w:rsidRPr="00F5258B">
        <w:rPr>
          <w:b/>
          <w:bCs/>
        </w:rPr>
        <w:t xml:space="preserve"> question requested by RAN1.</w:t>
      </w:r>
    </w:p>
    <w:p w14:paraId="5BB33B6C" w14:textId="47E28D05" w:rsidR="00F5258B" w:rsidRDefault="00F5258B" w:rsidP="00A209D6">
      <w:r>
        <w:t xml:space="preserve">Finally, to progress on the matter, we think RAN2 should continue to discuss the technical aspects of coordination for the T_offset to understand if there are concerns on that (since RAN2 also </w:t>
      </w:r>
      <w:r w:rsidR="0086159C">
        <w:t>didn’t</w:t>
      </w:r>
      <w:r>
        <w:t xml:space="preserve"> have consensus on that). That can be done via email discussion until the next RAN2 meeting.</w:t>
      </w:r>
    </w:p>
    <w:p w14:paraId="2D318619" w14:textId="062A37A6" w:rsidR="00A209D6" w:rsidRPr="00F5258B" w:rsidRDefault="00F5258B" w:rsidP="00F5258B">
      <w:pPr>
        <w:rPr>
          <w:b/>
          <w:bCs/>
        </w:rPr>
      </w:pPr>
      <w:r w:rsidRPr="00F5258B">
        <w:rPr>
          <w:b/>
          <w:bCs/>
        </w:rPr>
        <w:t xml:space="preserve">Proposal </w:t>
      </w:r>
      <w:r w:rsidR="00D61FBA">
        <w:rPr>
          <w:b/>
          <w:bCs/>
        </w:rPr>
        <w:t>3</w:t>
      </w:r>
      <w:r w:rsidRPr="00F5258B">
        <w:rPr>
          <w:b/>
          <w:bCs/>
        </w:rPr>
        <w:t>: Discuss via RAN2 email discussion (until RAN2#110e) how to handle the coordination aspects for the T_offset.</w:t>
      </w:r>
    </w:p>
    <w:p w14:paraId="5FF2457F" w14:textId="41FFE8A1" w:rsidR="00A209D6" w:rsidRPr="006E13D1" w:rsidRDefault="00F5258B" w:rsidP="00A209D6">
      <w:pPr>
        <w:pStyle w:val="Heading1"/>
      </w:pPr>
      <w:r>
        <w:t>3</w:t>
      </w:r>
      <w:r w:rsidR="00A209D6" w:rsidRPr="006E13D1">
        <w:tab/>
      </w:r>
      <w:r w:rsidR="008C3057">
        <w:t>Conclusion</w:t>
      </w:r>
    </w:p>
    <w:p w14:paraId="6C60FFDC" w14:textId="5745458B" w:rsidR="00A209D6" w:rsidRPr="006E13D1" w:rsidRDefault="00F5258B" w:rsidP="00A209D6">
      <w:r>
        <w:t xml:space="preserve">We have discussed the matter of T_offset </w:t>
      </w:r>
      <w:r w:rsidR="0086159C">
        <w:t>based</w:t>
      </w:r>
      <w:r>
        <w:t xml:space="preserve"> on the RAN2 session and RAN1 LS, with the following </w:t>
      </w:r>
      <w:r w:rsidR="008C3057">
        <w:t>observations</w:t>
      </w:r>
      <w:r w:rsidR="00016557">
        <w:t xml:space="preserve"> and proposals</w:t>
      </w:r>
      <w:r>
        <w:t>:</w:t>
      </w:r>
    </w:p>
    <w:p w14:paraId="21E2998D" w14:textId="77777777" w:rsidR="00F5258B" w:rsidRPr="00AB360C" w:rsidRDefault="00F5258B" w:rsidP="00F5258B">
      <w:pPr>
        <w:rPr>
          <w:b/>
          <w:bCs/>
        </w:rPr>
      </w:pPr>
      <w:r w:rsidRPr="00AB360C">
        <w:rPr>
          <w:b/>
          <w:bCs/>
        </w:rPr>
        <w:t>Observation 1: Rel-15 NR-DC assumes that MN and SN only coordinate capabilities via INMs</w:t>
      </w:r>
      <w:r>
        <w:rPr>
          <w:b/>
          <w:bCs/>
        </w:rPr>
        <w:t>, without requirements on c</w:t>
      </w:r>
      <w:r w:rsidRPr="00AB360C">
        <w:rPr>
          <w:b/>
          <w:bCs/>
        </w:rPr>
        <w:t>omprehension of each other</w:t>
      </w:r>
      <w:r>
        <w:rPr>
          <w:b/>
          <w:bCs/>
        </w:rPr>
        <w:t>’</w:t>
      </w:r>
      <w:r w:rsidRPr="00AB360C">
        <w:rPr>
          <w:b/>
          <w:bCs/>
        </w:rPr>
        <w:t>s UE configuration (even if it is allowed).</w:t>
      </w:r>
    </w:p>
    <w:p w14:paraId="0D298367" w14:textId="77777777" w:rsidR="00F5258B" w:rsidRPr="00F5258B" w:rsidRDefault="00F5258B" w:rsidP="00F5258B">
      <w:pPr>
        <w:rPr>
          <w:b/>
          <w:bCs/>
        </w:rPr>
      </w:pPr>
      <w:r w:rsidRPr="00F5258B">
        <w:rPr>
          <w:b/>
          <w:bCs/>
        </w:rPr>
        <w:t>Observation 2: Reverting a fundamental Rel-15 RAN2 decision during Rel-16 is not feasible during Stage-3 completion phase without any technical discussion on the topic.</w:t>
      </w:r>
    </w:p>
    <w:p w14:paraId="0CA2BD58" w14:textId="1A2ABBAB" w:rsidR="00F5258B" w:rsidRPr="00F5258B" w:rsidRDefault="00F5258B" w:rsidP="00F5258B">
      <w:pPr>
        <w:rPr>
          <w:b/>
          <w:bCs/>
        </w:rPr>
      </w:pPr>
      <w:r w:rsidRPr="00F5258B">
        <w:rPr>
          <w:b/>
          <w:bCs/>
        </w:rPr>
        <w:t xml:space="preserve">Proposal 1: RAN2 shall indicate to RAN1 </w:t>
      </w:r>
      <w:r w:rsidR="0086159C" w:rsidRPr="00F5258B">
        <w:rPr>
          <w:b/>
          <w:bCs/>
        </w:rPr>
        <w:t>that</w:t>
      </w:r>
      <w:r w:rsidRPr="00F5258B">
        <w:rPr>
          <w:b/>
          <w:bCs/>
        </w:rPr>
        <w:t xml:space="preserve"> the assumption they have made is against RAN2 decisions made during Rel-15.</w:t>
      </w:r>
    </w:p>
    <w:p w14:paraId="5A4691EA" w14:textId="45961266" w:rsidR="00F5258B" w:rsidRPr="00F5258B" w:rsidRDefault="00F5258B" w:rsidP="00F5258B">
      <w:pPr>
        <w:rPr>
          <w:b/>
          <w:bCs/>
        </w:rPr>
      </w:pPr>
      <w:r w:rsidRPr="00F5258B">
        <w:rPr>
          <w:b/>
          <w:bCs/>
        </w:rPr>
        <w:t xml:space="preserve">Proposal 2: When sending an LS to RAN1 as per proposal 1, RAN2 can also indicate that there is no consensus on answer to </w:t>
      </w:r>
      <w:r w:rsidR="0086159C" w:rsidRPr="00F5258B">
        <w:rPr>
          <w:b/>
          <w:bCs/>
        </w:rPr>
        <w:t>the</w:t>
      </w:r>
      <w:r w:rsidRPr="00F5258B">
        <w:rPr>
          <w:b/>
          <w:bCs/>
        </w:rPr>
        <w:t xml:space="preserve"> question requested by RAN1.</w:t>
      </w:r>
    </w:p>
    <w:p w14:paraId="605899A5" w14:textId="12DE04B2" w:rsidR="00F5258B" w:rsidRPr="00F5258B" w:rsidRDefault="00F5258B" w:rsidP="00F5258B">
      <w:pPr>
        <w:rPr>
          <w:b/>
          <w:bCs/>
        </w:rPr>
      </w:pPr>
      <w:r w:rsidRPr="00F5258B">
        <w:rPr>
          <w:b/>
          <w:bCs/>
        </w:rPr>
        <w:t xml:space="preserve">Proposal </w:t>
      </w:r>
      <w:r w:rsidR="00D61FBA">
        <w:rPr>
          <w:b/>
          <w:bCs/>
        </w:rPr>
        <w:t>3</w:t>
      </w:r>
      <w:r w:rsidRPr="00F5258B">
        <w:rPr>
          <w:b/>
          <w:bCs/>
        </w:rPr>
        <w:t>: Discuss via RAN2 email discussion (until RAN2#110e) how to handle the coordination aspects for the T_offset.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9F03B" w14:textId="77777777" w:rsidR="005E2682" w:rsidRDefault="005E2682">
      <w:r>
        <w:separator/>
      </w:r>
    </w:p>
  </w:endnote>
  <w:endnote w:type="continuationSeparator" w:id="0">
    <w:p w14:paraId="20DA4A5A" w14:textId="77777777" w:rsidR="005E2682" w:rsidRDefault="005E2682">
      <w:r>
        <w:continuationSeparator/>
      </w:r>
    </w:p>
  </w:endnote>
  <w:endnote w:type="continuationNotice" w:id="1">
    <w:p w14:paraId="0077F6C4" w14:textId="77777777" w:rsidR="005E2682" w:rsidRDefault="005E2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A394F" w14:textId="77777777" w:rsidR="005E2682" w:rsidRDefault="005E2682">
      <w:r>
        <w:separator/>
      </w:r>
    </w:p>
  </w:footnote>
  <w:footnote w:type="continuationSeparator" w:id="0">
    <w:p w14:paraId="6789D6C1" w14:textId="77777777" w:rsidR="005E2682" w:rsidRDefault="005E2682">
      <w:r>
        <w:continuationSeparator/>
      </w:r>
    </w:p>
  </w:footnote>
  <w:footnote w:type="continuationNotice" w:id="1">
    <w:p w14:paraId="6787BA25" w14:textId="77777777" w:rsidR="005E2682" w:rsidRDefault="005E2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E280FCF"/>
    <w:multiLevelType w:val="hybridMultilevel"/>
    <w:tmpl w:val="8F5415B6"/>
    <w:lvl w:ilvl="0" w:tplc="D7068C52">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A4E79"/>
    <w:rsid w:val="000B7BCF"/>
    <w:rsid w:val="000C522B"/>
    <w:rsid w:val="000D58AB"/>
    <w:rsid w:val="0010173A"/>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3652"/>
    <w:rsid w:val="002855BF"/>
    <w:rsid w:val="002E3263"/>
    <w:rsid w:val="002F0D22"/>
    <w:rsid w:val="00311B17"/>
    <w:rsid w:val="003172DC"/>
    <w:rsid w:val="00325AE3"/>
    <w:rsid w:val="00326069"/>
    <w:rsid w:val="0035462D"/>
    <w:rsid w:val="00364B41"/>
    <w:rsid w:val="00383096"/>
    <w:rsid w:val="0039346C"/>
    <w:rsid w:val="003A41EF"/>
    <w:rsid w:val="003B40AD"/>
    <w:rsid w:val="003C4E37"/>
    <w:rsid w:val="003E16BE"/>
    <w:rsid w:val="003F4E28"/>
    <w:rsid w:val="004006E8"/>
    <w:rsid w:val="00401855"/>
    <w:rsid w:val="004306C7"/>
    <w:rsid w:val="00465587"/>
    <w:rsid w:val="00477455"/>
    <w:rsid w:val="004A1F7B"/>
    <w:rsid w:val="004C44D2"/>
    <w:rsid w:val="004D3578"/>
    <w:rsid w:val="004D380D"/>
    <w:rsid w:val="004E213A"/>
    <w:rsid w:val="00503171"/>
    <w:rsid w:val="00506C28"/>
    <w:rsid w:val="00534DA0"/>
    <w:rsid w:val="00543E6C"/>
    <w:rsid w:val="00565087"/>
    <w:rsid w:val="0056573F"/>
    <w:rsid w:val="005A49C6"/>
    <w:rsid w:val="005E2682"/>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43CDE"/>
    <w:rsid w:val="0086159C"/>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56C60"/>
    <w:rsid w:val="00A82346"/>
    <w:rsid w:val="00A9671C"/>
    <w:rsid w:val="00AA1553"/>
    <w:rsid w:val="00AB360C"/>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2E2A"/>
    <w:rsid w:val="00D33BE3"/>
    <w:rsid w:val="00D3792D"/>
    <w:rsid w:val="00D55E47"/>
    <w:rsid w:val="00D61FBA"/>
    <w:rsid w:val="00D62E19"/>
    <w:rsid w:val="00D67CD1"/>
    <w:rsid w:val="00D738D6"/>
    <w:rsid w:val="00D80795"/>
    <w:rsid w:val="00D8484E"/>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258B"/>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basedOn w:val="DefaultParagraphFont"/>
    <w:link w:val="Doc-text2"/>
    <w:locked/>
    <w:rsid w:val="00D32E2A"/>
    <w:rPr>
      <w:rFonts w:ascii="Arial" w:hAnsi="Arial" w:cs="Arial"/>
    </w:rPr>
  </w:style>
  <w:style w:type="paragraph" w:customStyle="1" w:styleId="Doc-text2">
    <w:name w:val="Doc-text2"/>
    <w:basedOn w:val="Normal"/>
    <w:link w:val="Doc-text2Char"/>
    <w:qFormat/>
    <w:rsid w:val="00D32E2A"/>
    <w:pPr>
      <w:spacing w:after="0"/>
      <w:ind w:left="1622" w:hanging="363"/>
    </w:pPr>
    <w:rPr>
      <w:rFonts w:ascii="Arial" w:hAnsi="Arial" w:cs="Arial"/>
      <w:lang w:eastAsia="en-GB"/>
    </w:rPr>
  </w:style>
  <w:style w:type="character" w:customStyle="1" w:styleId="Doc-titleChar">
    <w:name w:val="Doc-title Char"/>
    <w:basedOn w:val="DefaultParagraphFont"/>
    <w:link w:val="Doc-title"/>
    <w:locked/>
    <w:rsid w:val="00D32E2A"/>
    <w:rPr>
      <w:rFonts w:ascii="Arial" w:hAnsi="Arial" w:cs="Arial"/>
    </w:rPr>
  </w:style>
  <w:style w:type="paragraph" w:customStyle="1" w:styleId="Doc-title">
    <w:name w:val="Doc-title"/>
    <w:basedOn w:val="Normal"/>
    <w:link w:val="Doc-titleChar"/>
    <w:qFormat/>
    <w:rsid w:val="00D32E2A"/>
    <w:pPr>
      <w:spacing w:before="60" w:after="0"/>
      <w:ind w:left="1259" w:hanging="1259"/>
    </w:pPr>
    <w:rPr>
      <w:rFonts w:ascii="Arial" w:hAnsi="Arial" w:cs="Arial"/>
      <w:lang w:eastAsia="en-GB"/>
    </w:rPr>
  </w:style>
  <w:style w:type="character" w:customStyle="1" w:styleId="CommentsChar">
    <w:name w:val="Comments Char"/>
    <w:basedOn w:val="DefaultParagraphFont"/>
    <w:link w:val="Comments"/>
    <w:locked/>
    <w:rsid w:val="00D32E2A"/>
    <w:rPr>
      <w:rFonts w:ascii="Arial" w:hAnsi="Arial" w:cs="Arial"/>
      <w:i/>
      <w:iCs/>
    </w:rPr>
  </w:style>
  <w:style w:type="paragraph" w:customStyle="1" w:styleId="Comments">
    <w:name w:val="Comments"/>
    <w:basedOn w:val="Normal"/>
    <w:link w:val="CommentsChar"/>
    <w:qFormat/>
    <w:rsid w:val="00D32E2A"/>
    <w:pPr>
      <w:spacing w:before="40" w:after="0"/>
    </w:pPr>
    <w:rPr>
      <w:rFonts w:ascii="Arial" w:hAnsi="Arial" w:cs="Arial"/>
      <w:i/>
      <w:iCs/>
      <w:lang w:eastAsia="en-GB"/>
    </w:rPr>
  </w:style>
  <w:style w:type="paragraph" w:customStyle="1" w:styleId="EmailDiscussion2">
    <w:name w:val="EmailDiscussion2"/>
    <w:basedOn w:val="Normal"/>
    <w:rsid w:val="00D32E2A"/>
    <w:pPr>
      <w:spacing w:after="0"/>
      <w:ind w:left="1622" w:hanging="363"/>
    </w:pPr>
    <w:rPr>
      <w:rFonts w:ascii="Arial" w:eastAsiaTheme="minorEastAsia" w:hAnsi="Arial" w:cs="Arial"/>
      <w:lang w:eastAsia="en-GB"/>
    </w:rPr>
  </w:style>
  <w:style w:type="character" w:customStyle="1" w:styleId="EmailDiscussionChar">
    <w:name w:val="EmailDiscussion Char"/>
    <w:basedOn w:val="DefaultParagraphFont"/>
    <w:link w:val="EmailDiscussion"/>
    <w:locked/>
    <w:rsid w:val="00D32E2A"/>
    <w:rPr>
      <w:rFonts w:ascii="Arial" w:hAnsi="Arial" w:cs="Arial"/>
      <w:b/>
      <w:bCs/>
    </w:rPr>
  </w:style>
  <w:style w:type="paragraph" w:customStyle="1" w:styleId="EmailDiscussion">
    <w:name w:val="EmailDiscussion"/>
    <w:basedOn w:val="Normal"/>
    <w:link w:val="EmailDiscussionChar"/>
    <w:rsid w:val="00D32E2A"/>
    <w:pPr>
      <w:numPr>
        <w:numId w:val="8"/>
      </w:numPr>
      <w:spacing w:before="40" w:after="0"/>
    </w:pPr>
    <w:rPr>
      <w:rFonts w:ascii="Arial" w:hAnsi="Arial" w:cs="Arial"/>
      <w:b/>
      <w:bCs/>
      <w:lang w:eastAsia="en-GB"/>
    </w:rPr>
  </w:style>
  <w:style w:type="character" w:styleId="FollowedHyperlink">
    <w:name w:val="FollowedHyperlink"/>
    <w:basedOn w:val="DefaultParagraphFont"/>
    <w:rsid w:val="00AB360C"/>
    <w:rPr>
      <w:color w:val="954F72" w:themeColor="followedHyperlink"/>
      <w:u w:val="single"/>
    </w:rPr>
  </w:style>
  <w:style w:type="paragraph" w:customStyle="1" w:styleId="Doc-comment">
    <w:name w:val="Doc-comment"/>
    <w:basedOn w:val="Normal"/>
    <w:next w:val="Normal"/>
    <w:qFormat/>
    <w:rsid w:val="00AB360C"/>
    <w:pPr>
      <w:tabs>
        <w:tab w:val="left" w:pos="1622"/>
      </w:tabs>
      <w:overflowPunct w:val="0"/>
      <w:autoSpaceDE w:val="0"/>
      <w:autoSpaceDN w:val="0"/>
      <w:adjustRightInd w:val="0"/>
      <w:ind w:left="1622" w:hanging="363"/>
      <w:textAlignment w:val="baseline"/>
    </w:pPr>
    <w:rPr>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1986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1_RL1/TSGR1_100_e/Docs/R1-2001421.zip" TargetMode="External"/><Relationship Id="rId18" Type="http://schemas.openxmlformats.org/officeDocument/2006/relationships/hyperlink" Target="http://www.3gpp.org/ftp/tsg_ran/WG2_RL2/TSGR2_104/Docs/R2-181736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9bis-e/Docs/R2-2002517.zip" TargetMode="External"/><Relationship Id="rId17" Type="http://schemas.openxmlformats.org/officeDocument/2006/relationships/hyperlink" Target="http://www.3gpp.org/ftp/tsg_ran/WG2_RL2/TSGR2_103bis/Docs/R2-1814391.zip" TargetMode="External"/><Relationship Id="rId2" Type="http://schemas.openxmlformats.org/officeDocument/2006/relationships/customXml" Target="../customXml/item2.xml"/><Relationship Id="rId16" Type="http://schemas.openxmlformats.org/officeDocument/2006/relationships/hyperlink" Target="file:///C:\Users\terhentt\Documents\3GPP\RAN2\Data\3GPP\Extracts\R2-1707459_SummaryOfEmailDisc%5b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terhentt\Documents\3GPP\RAN2\Data\3GPP\Extracts\R2-1707459_SummaryOfEmailDisc%5b98"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terhentt\Documents\3GPP\RAN2\Data\3GPP\Extracts\R2-1706454_SummaryOfEmailDisc%5b9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5AIRPNAIUNRU-859666464-6258</_dlc_DocId>
    <_dlc_DocIdUrl xmlns="71c5aaf6-e6ce-465b-b873-5148d2a4c105">
      <Url>https://nokia.sharepoint.com/sites/c5g/e2earch/_layouts/15/DocIdRedir.aspx?ID=5AIRPNAIUNRU-859666464-6258</Url>
      <Description>5AIRPNAIUNRU-859666464-6258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1371</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(Tero)</cp:lastModifiedBy>
  <cp:revision>2</cp:revision>
  <dcterms:created xsi:type="dcterms:W3CDTF">2020-04-28T08:49:00Z</dcterms:created>
  <dcterms:modified xsi:type="dcterms:W3CDTF">2020-04-28T08:49:00Z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90e817c0-e63a-44ae-952c-aa9d6e774a4e</vt:lpwstr>
  </property>
</Properties>
</file>