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F98" w:rsidRDefault="00ED36F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#109</w:t>
      </w:r>
      <w:r>
        <w:rPr>
          <w:rFonts w:eastAsia="宋体" w:hint="eastAsia"/>
          <w:b/>
          <w:sz w:val="24"/>
          <w:lang w:val="en-US" w:eastAsia="zh-CN"/>
        </w:rPr>
        <w:t>bis-e</w:t>
      </w:r>
      <w:r>
        <w:rPr>
          <w:b/>
          <w:sz w:val="24"/>
        </w:rPr>
        <w:tab/>
      </w:r>
      <w:r>
        <w:rPr>
          <w:b/>
          <w:i/>
          <w:sz w:val="28"/>
        </w:rPr>
        <w:t>R2-</w:t>
      </w:r>
      <w:r>
        <w:rPr>
          <w:rFonts w:eastAsia="宋体" w:hint="eastAsia"/>
          <w:b/>
          <w:i/>
          <w:sz w:val="28"/>
          <w:lang w:val="en-US" w:eastAsia="zh-CN"/>
        </w:rPr>
        <w:t>2002695</w:t>
      </w:r>
    </w:p>
    <w:p w:rsidR="003A3F98" w:rsidRDefault="00ED36FB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w:t>E</w:t>
      </w:r>
      <w:r>
        <w:rPr>
          <w:rFonts w:hint="eastAsia"/>
          <w:b/>
          <w:sz w:val="24"/>
          <w:szCs w:val="24"/>
          <w:lang w:val="en-US" w:eastAsia="zh-CN"/>
        </w:rPr>
        <w:t>lectronic</w:t>
      </w:r>
      <w:r>
        <w:rPr>
          <w:b/>
          <w:sz w:val="24"/>
          <w:szCs w:val="24"/>
          <w:lang w:eastAsia="zh-CN"/>
        </w:rPr>
        <w:t>, 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</w:t>
      </w:r>
      <w:r>
        <w:rPr>
          <w:b/>
          <w:sz w:val="24"/>
          <w:szCs w:val="24"/>
          <w:lang w:eastAsia="zh-CN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30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</w:t>
      </w:r>
      <w:r>
        <w:rPr>
          <w:b/>
          <w:sz w:val="24"/>
          <w:szCs w:val="24"/>
          <w:lang w:eastAsia="zh-CN"/>
        </w:rPr>
        <w:t xml:space="preserve">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3F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F98" w:rsidRDefault="00ED36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3A3F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3F98" w:rsidRDefault="00ED36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3F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c>
          <w:tcPr>
            <w:tcW w:w="142" w:type="dxa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3A3F98" w:rsidRDefault="00ED36FB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3A3F98" w:rsidRDefault="00ED36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3F98" w:rsidRDefault="00ED36FB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1517</w:t>
            </w:r>
          </w:p>
        </w:tc>
        <w:tc>
          <w:tcPr>
            <w:tcW w:w="709" w:type="dxa"/>
          </w:tcPr>
          <w:p w:rsidR="003A3F98" w:rsidRDefault="00ED36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A3F98" w:rsidRDefault="00ED36F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3A3F98" w:rsidRDefault="00ED36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A3F98" w:rsidRDefault="00ED36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</w:pPr>
          </w:p>
        </w:tc>
      </w:tr>
      <w:tr w:rsidR="003A3F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</w:pPr>
          </w:p>
        </w:tc>
      </w:tr>
      <w:tr w:rsidR="003A3F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3F98" w:rsidRDefault="00ED36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3F98">
        <w:tc>
          <w:tcPr>
            <w:tcW w:w="9641" w:type="dxa"/>
            <w:gridSpan w:val="9"/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3F98" w:rsidRDefault="003A3F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3F98">
        <w:tc>
          <w:tcPr>
            <w:tcW w:w="2835" w:type="dxa"/>
          </w:tcPr>
          <w:p w:rsidR="003A3F98" w:rsidRDefault="00ED36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3F98" w:rsidRDefault="00ED36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3F98" w:rsidRDefault="003A3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3F98" w:rsidRDefault="00ED36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A3F98" w:rsidRDefault="00ED36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3F98" w:rsidRDefault="00ED36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3F98" w:rsidRDefault="00ED36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3F98" w:rsidRDefault="003A3F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3F98" w:rsidRDefault="003A3F98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A3F98">
        <w:tc>
          <w:tcPr>
            <w:tcW w:w="9641" w:type="dxa"/>
            <w:gridSpan w:val="11"/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3F98" w:rsidRDefault="00ED36FB" w:rsidP="005825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C</w:t>
            </w:r>
            <w:r w:rsidR="005825A1">
              <w:rPr>
                <w:rFonts w:eastAsia="宋体"/>
                <w:sz w:val="21"/>
                <w:szCs w:val="22"/>
                <w:lang w:val="en-US" w:eastAsia="zh-CN"/>
              </w:rPr>
              <w:t>orrection</w:t>
            </w:r>
            <w:bookmarkStart w:id="2" w:name="_GoBack"/>
            <w:bookmarkEnd w:id="2"/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s on the BandList of the BandCombination</w:t>
            </w:r>
          </w:p>
        </w:tc>
      </w:tr>
      <w:tr w:rsidR="003A3F98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c>
          <w:tcPr>
            <w:tcW w:w="1843" w:type="dxa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100"/>
            </w:pPr>
            <w:r>
              <w:t>ZTE Corporation, Sanechips, OPPO</w:t>
            </w:r>
          </w:p>
        </w:tc>
      </w:tr>
      <w:tr w:rsidR="003A3F98">
        <w:tc>
          <w:tcPr>
            <w:tcW w:w="1843" w:type="dxa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A3F98">
        <w:tc>
          <w:tcPr>
            <w:tcW w:w="1843" w:type="dxa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c>
          <w:tcPr>
            <w:tcW w:w="1843" w:type="dxa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A3F98" w:rsidRDefault="003A3F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A3F98" w:rsidRDefault="00ED36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25</w:t>
            </w:r>
          </w:p>
        </w:tc>
      </w:tr>
      <w:tr w:rsidR="003A3F98">
        <w:tc>
          <w:tcPr>
            <w:tcW w:w="1843" w:type="dxa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A3F98" w:rsidRDefault="003A3F9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A3F98" w:rsidRDefault="00ED36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3A3F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A3F98" w:rsidRDefault="00ED36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3F98" w:rsidRDefault="00ED36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3F98">
        <w:tc>
          <w:tcPr>
            <w:tcW w:w="1843" w:type="dxa"/>
          </w:tcPr>
          <w:p w:rsidR="003A3F98" w:rsidRDefault="003A3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3F98" w:rsidRDefault="00ED36FB" w:rsidP="008526FB">
            <w:pPr>
              <w:jc w:val="both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latest specification of release 15, there were 2 kinds of band list: the original bandList and the bandList-v1540. The band Info was included in the original band list, and the srs-TxSwitch was included in the bandList-v1540.</w:t>
            </w:r>
            <w:r w:rsidR="008526FB">
              <w:rPr>
                <w:rFonts w:ascii="Courier New" w:hAnsi="Courier New" w:cs="Courier New"/>
                <w:sz w:val="16"/>
                <w:lang w:eastAsia="en-GB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However, in the current spec, there is no description on the relationship between the elements in the original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bandList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b/>
                <w:bCs/>
                <w:i/>
                <w:iCs/>
                <w:lang w:val="en-US" w:eastAsia="zh-CN"/>
              </w:rPr>
              <w:t>bandList-v1540</w:t>
            </w:r>
            <w:r>
              <w:rPr>
                <w:rFonts w:hint="eastAsia"/>
                <w:lang w:val="en-US" w:eastAsia="zh-CN"/>
              </w:rPr>
              <w:t>, 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hard for the network to determine which band the </w:t>
            </w:r>
            <w:r>
              <w:rPr>
                <w:rFonts w:hint="eastAsia"/>
                <w:lang w:val="en-US" w:eastAsia="en-GB"/>
              </w:rPr>
              <w:t>BandParameters-v1540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r>
              <w:rPr>
                <w:b/>
                <w:bCs/>
                <w:i/>
                <w:iCs/>
                <w:lang w:val="en-US" w:eastAsia="zh-CN"/>
              </w:rPr>
              <w:t>bandList-v1540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related to especially when the number of entries in the </w:t>
            </w:r>
            <w:r>
              <w:rPr>
                <w:b/>
                <w:bCs/>
                <w:i/>
                <w:iCs/>
                <w:lang w:val="en-US" w:eastAsia="zh-CN"/>
              </w:rPr>
              <w:t>bandList-v1540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D23E51">
              <w:rPr>
                <w:lang w:val="en-US" w:eastAsia="zh-CN"/>
              </w:rPr>
              <w:t>is</w:t>
            </w:r>
            <w:r>
              <w:rPr>
                <w:rFonts w:hint="eastAsia"/>
                <w:lang w:val="en-US" w:eastAsia="zh-CN"/>
              </w:rPr>
              <w:t xml:space="preserve"> less than that in the original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bandList.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  <w:p w:rsidR="003A3F98" w:rsidRDefault="003A3F98">
            <w:pPr>
              <w:pStyle w:val="CRCoverPage"/>
              <w:spacing w:before="120"/>
              <w:jc w:val="both"/>
              <w:rPr>
                <w:lang w:eastAsia="zh-CN"/>
              </w:rPr>
            </w:pP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D23E51">
              <w:rPr>
                <w:lang w:val="en-US" w:eastAsia="zh-CN"/>
              </w:rPr>
              <w:t xml:space="preserve">a </w:t>
            </w:r>
            <w:r w:rsidR="008526FB">
              <w:rPr>
                <w:rFonts w:hint="eastAsia"/>
                <w:lang w:val="en-US" w:eastAsia="zh-CN"/>
              </w:rPr>
              <w:t xml:space="preserve">field description to clarify </w:t>
            </w:r>
            <w:r>
              <w:rPr>
                <w:rFonts w:hint="eastAsia"/>
                <w:lang w:val="en-US" w:eastAsia="zh-CN"/>
              </w:rPr>
              <w:t xml:space="preserve">the mapping relationship between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bandList </w:t>
            </w:r>
            <w:r>
              <w:rPr>
                <w:rFonts w:hint="eastAsia"/>
                <w:lang w:val="en-US" w:eastAsia="zh-CN"/>
              </w:rPr>
              <w:t>and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bandList-v1540</w:t>
            </w:r>
            <w:r>
              <w:rPr>
                <w:rFonts w:hint="eastAsia"/>
                <w:i/>
                <w:iCs/>
                <w:lang w:val="en-US" w:eastAsia="zh-CN"/>
              </w:rPr>
              <w:t>.</w:t>
            </w:r>
          </w:p>
          <w:p w:rsidR="003A3F98" w:rsidRPr="008526FB" w:rsidRDefault="003A3F98">
            <w:pPr>
              <w:pStyle w:val="CRCoverPage"/>
              <w:spacing w:after="0"/>
              <w:rPr>
                <w:b/>
                <w:bCs/>
                <w:i/>
                <w:iCs/>
                <w:lang w:val="en-US" w:eastAsia="zh-CN"/>
              </w:rPr>
            </w:pPr>
          </w:p>
          <w:p w:rsidR="003A3F98" w:rsidRDefault="00ED36FB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3A3F98" w:rsidRDefault="00ED36FB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3A3F98" w:rsidRDefault="00ED36F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(NG)</w:t>
            </w:r>
            <w:r>
              <w:rPr>
                <w:rFonts w:hint="eastAsia"/>
                <w:lang w:val="en-US" w:eastAsia="zh-CN"/>
              </w:rPr>
              <w:t xml:space="preserve">EN-DC, </w:t>
            </w:r>
            <w:r>
              <w:rPr>
                <w:lang w:eastAsia="zh-CN"/>
              </w:rPr>
              <w:t>NE-DC</w:t>
            </w:r>
            <w:r>
              <w:rPr>
                <w:rFonts w:hint="eastAsia"/>
                <w:lang w:val="en-US" w:eastAsia="zh-CN"/>
              </w:rPr>
              <w:t>, NR-DC, NR SA</w:t>
            </w:r>
          </w:p>
          <w:p w:rsidR="003A3F98" w:rsidRDefault="003A3F98">
            <w:pPr>
              <w:pStyle w:val="CRCoverPage"/>
              <w:spacing w:after="0"/>
              <w:rPr>
                <w:u w:val="single"/>
              </w:rPr>
            </w:pPr>
          </w:p>
          <w:p w:rsidR="003A3F98" w:rsidRDefault="00ED36FB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3A3F98" w:rsidRDefault="00ED36FB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3A3F98" w:rsidRDefault="003A3F98">
            <w:pPr>
              <w:pStyle w:val="CRCoverPage"/>
              <w:spacing w:after="0"/>
              <w:rPr>
                <w:rFonts w:eastAsia="Malgun Gothic"/>
              </w:rPr>
            </w:pPr>
          </w:p>
          <w:p w:rsidR="003A3F98" w:rsidRDefault="00ED36F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3A3F98" w:rsidRDefault="003A3F98">
            <w:pPr>
              <w:pStyle w:val="CRCoverPage"/>
              <w:spacing w:after="0"/>
              <w:rPr>
                <w:u w:val="single"/>
              </w:rPr>
            </w:pPr>
          </w:p>
          <w:p w:rsidR="003A3F98" w:rsidRDefault="00D23E51">
            <w:pPr>
              <w:pStyle w:val="CRCoverPage"/>
              <w:spacing w:after="0"/>
              <w:ind w:left="24"/>
              <w:rPr>
                <w:rFonts w:eastAsia="Malgun Gothic"/>
                <w:sz w:val="21"/>
                <w:szCs w:val="22"/>
                <w:lang w:val="en-US" w:eastAsia="zh-CN"/>
              </w:rPr>
            </w:pPr>
            <w:r>
              <w:rPr>
                <w:rFonts w:eastAsia="Malgun Gothic"/>
                <w:sz w:val="21"/>
                <w:szCs w:val="22"/>
                <w:lang w:val="en-US" w:eastAsia="zh-CN"/>
              </w:rPr>
              <w:t>I</w:t>
            </w:r>
            <w:r w:rsidR="00ED36FB">
              <w:rPr>
                <w:rFonts w:eastAsia="Malgun Gothic" w:hint="eastAsia"/>
                <w:sz w:val="21"/>
                <w:szCs w:val="22"/>
                <w:lang w:val="en-US" w:eastAsia="zh-CN"/>
              </w:rPr>
              <w:t xml:space="preserve">f the network implements </w:t>
            </w:r>
            <w:r w:rsidR="008526FB">
              <w:rPr>
                <w:rFonts w:eastAsia="Malgun Gothic" w:hint="eastAsia"/>
                <w:sz w:val="21"/>
                <w:szCs w:val="22"/>
                <w:lang w:val="en-US" w:eastAsia="zh-CN"/>
              </w:rPr>
              <w:t>according to this CR</w:t>
            </w:r>
            <w:r w:rsidR="00ED36FB">
              <w:rPr>
                <w:rFonts w:eastAsia="Malgun Gothic" w:hint="eastAsia"/>
                <w:sz w:val="21"/>
                <w:szCs w:val="22"/>
                <w:lang w:val="en-US" w:eastAsia="zh-CN"/>
              </w:rPr>
              <w:t xml:space="preserve"> but the UE does not, the network may misunderstand the UE srs-Txswich capability and configure unacceptable SRS-Config parameters to the UE.</w:t>
            </w:r>
          </w:p>
          <w:p w:rsidR="003A3F98" w:rsidRDefault="00ED36FB">
            <w:pPr>
              <w:pStyle w:val="CRCoverPage"/>
              <w:spacing w:after="0"/>
              <w:ind w:left="24"/>
              <w:rPr>
                <w:rFonts w:eastAsia="Malgun Gothic"/>
                <w:sz w:val="21"/>
                <w:szCs w:val="22"/>
                <w:lang w:val="en-US" w:eastAsia="zh-CN"/>
              </w:rPr>
            </w:pPr>
            <w:r>
              <w:rPr>
                <w:rFonts w:eastAsia="Malgun Gothic" w:hint="eastAsia"/>
                <w:sz w:val="21"/>
                <w:szCs w:val="22"/>
                <w:lang w:val="en-US" w:eastAsia="zh-CN"/>
              </w:rPr>
              <w:t>If UE implements this CR but network does not, there is no inter-operability issue.</w:t>
            </w:r>
          </w:p>
          <w:p w:rsidR="003A3F98" w:rsidRDefault="003A3F98">
            <w:pPr>
              <w:pStyle w:val="CRCoverPage"/>
              <w:spacing w:after="0"/>
              <w:ind w:left="24"/>
              <w:rPr>
                <w:rFonts w:eastAsia="Malgun Gothic"/>
              </w:rPr>
            </w:pP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 xml:space="preserve">The network may misunderstand the UE srs-Txswich capability and configure unacceptable </w:t>
            </w:r>
            <w:r>
              <w:rPr>
                <w:i/>
              </w:rPr>
              <w:t>SRS-Config</w:t>
            </w:r>
            <w:r>
              <w:rPr>
                <w:rFonts w:eastAsia="宋体" w:hint="eastAsia"/>
                <w:i/>
                <w:lang w:val="en-US" w:eastAsia="zh-CN"/>
              </w:rPr>
              <w:t xml:space="preserve"> parameters to the UE.</w:t>
            </w:r>
          </w:p>
        </w:tc>
      </w:tr>
      <w:tr w:rsidR="003A3F98">
        <w:tc>
          <w:tcPr>
            <w:tcW w:w="2268" w:type="dxa"/>
            <w:gridSpan w:val="2"/>
          </w:tcPr>
          <w:p w:rsidR="003A3F98" w:rsidRDefault="003A3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F98" w:rsidRDefault="00ED36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3F98" w:rsidRDefault="00ED36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3A3F98" w:rsidRDefault="003A3F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3F98" w:rsidRDefault="003A3F98">
            <w:pPr>
              <w:pStyle w:val="CRCoverPage"/>
              <w:spacing w:after="0"/>
              <w:ind w:left="99"/>
            </w:pP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3F98" w:rsidRDefault="003A3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3A3F98" w:rsidRDefault="00ED36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3F98" w:rsidRDefault="003A3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3A3F98" w:rsidRDefault="00ED36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ED36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3F98" w:rsidRDefault="003A3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3A3F98" w:rsidRDefault="00ED36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3F98" w:rsidRDefault="00ED36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3F98" w:rsidRDefault="003A3F98">
            <w:pPr>
              <w:pStyle w:val="CRCoverPage"/>
              <w:spacing w:after="0"/>
            </w:pPr>
          </w:p>
        </w:tc>
      </w:tr>
      <w:tr w:rsidR="003A3F9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3F98" w:rsidRDefault="00ED3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3F98" w:rsidRDefault="003A3F98">
            <w:pPr>
              <w:pStyle w:val="CRCoverPage"/>
              <w:spacing w:after="0"/>
              <w:ind w:left="100"/>
            </w:pPr>
          </w:p>
        </w:tc>
      </w:tr>
    </w:tbl>
    <w:p w:rsidR="003A3F98" w:rsidRDefault="003A3F98"/>
    <w:p w:rsidR="003A3F98" w:rsidRDefault="003A3F98">
      <w:pPr>
        <w:sectPr w:rsidR="003A3F98"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3A3F98" w:rsidRDefault="00ED36FB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3A3F98" w:rsidRDefault="00ED36F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3A3F98" w:rsidRDefault="00ED36FB">
      <w:pPr>
        <w:pStyle w:val="3"/>
      </w:pPr>
      <w:bookmarkStart w:id="3" w:name="_Toc29321541"/>
      <w:bookmarkStart w:id="4" w:name="_Toc20426144"/>
      <w:bookmarkStart w:id="5" w:name="_Toc29321583"/>
      <w:bookmarkStart w:id="6" w:name="_Toc20426186"/>
      <w:bookmarkStart w:id="7" w:name="_Toc12718435"/>
      <w:bookmarkStart w:id="8" w:name="_Toc12718085"/>
      <w:bookmarkStart w:id="9" w:name="_Toc535261633"/>
      <w:bookmarkStart w:id="10" w:name="_Toc12718472"/>
      <w:bookmarkStart w:id="11" w:name="_Toc12718083"/>
      <w:bookmarkStart w:id="12" w:name="_Toc535261536"/>
      <w:bookmarkStart w:id="13" w:name="_Toc510018651"/>
      <w:bookmarkStart w:id="14" w:name="_Toc5285381"/>
      <w:bookmarkStart w:id="15" w:name="_Toc12750885"/>
      <w:bookmarkStart w:id="16" w:name="_Toc510018698"/>
      <w:bookmarkStart w:id="17" w:name="_Hlk726506"/>
      <w:bookmarkEnd w:id="0"/>
      <w:bookmarkEnd w:id="1"/>
      <w:r>
        <w:t>6.3.3</w:t>
      </w:r>
      <w:r>
        <w:tab/>
        <w:t>UE capability information elements</w:t>
      </w:r>
      <w:bookmarkEnd w:id="3"/>
      <w:bookmarkEnd w:id="4"/>
    </w:p>
    <w:p w:rsidR="003A3F98" w:rsidRDefault="00ED36FB">
      <w:pPr>
        <w:pStyle w:val="4"/>
      </w:pPr>
      <w:bookmarkStart w:id="18" w:name="_Toc36513822"/>
      <w:bookmarkStart w:id="19" w:name="_Toc20426146"/>
      <w:bookmarkStart w:id="20" w:name="_Toc36219726"/>
      <w:bookmarkStart w:id="21" w:name="_Toc29321543"/>
      <w:bookmarkStart w:id="22" w:name="_Toc36220402"/>
      <w:r>
        <w:t>–</w:t>
      </w:r>
      <w:r>
        <w:tab/>
      </w:r>
      <w:r>
        <w:rPr>
          <w:i/>
        </w:rPr>
        <w:t>BandCombinationList</w:t>
      </w:r>
      <w:bookmarkEnd w:id="18"/>
      <w:bookmarkEnd w:id="19"/>
      <w:bookmarkEnd w:id="20"/>
      <w:bookmarkEnd w:id="21"/>
      <w:bookmarkEnd w:id="22"/>
    </w:p>
    <w:p w:rsidR="003A3F98" w:rsidRDefault="00ED36FB">
      <w:r>
        <w:t xml:space="preserve">The IE </w:t>
      </w:r>
      <w:r>
        <w:rPr>
          <w:i/>
        </w:rPr>
        <w:t>BandCombinationList</w:t>
      </w:r>
      <w:r>
        <w:t xml:space="preserve"> contains a list of NR CA and/or MR-DC band combinations (also including DL only or UL only band).</w:t>
      </w:r>
    </w:p>
    <w:p w:rsidR="003A3F98" w:rsidRDefault="00ED36FB">
      <w:pPr>
        <w:pStyle w:val="TH"/>
        <w:rPr>
          <w:lang w:val="en-GB"/>
        </w:rPr>
      </w:pPr>
      <w:r>
        <w:rPr>
          <w:i/>
          <w:lang w:val="en-GB"/>
        </w:rPr>
        <w:t>BandCombinationList</w:t>
      </w:r>
      <w:r>
        <w:rPr>
          <w:lang w:val="en-GB"/>
        </w:rPr>
        <w:t xml:space="preserve"> information element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ASN1START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TAG-BANDCOMBINATIONLIST-START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 ::=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BandCombinationList-v1540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BandCombination-v1540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BandCombinationList-v1550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BandCombination-v1550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BandCombinationList-v1560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BandCombination-v1560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BandCombinationList-v1570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BandCombination-v1570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BandCombinationList-v1580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BandCombination-v1580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BandCombinationList-v1590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BandCombination-v1590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 ::=     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bandList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featureSetCombination               FeatureSetCombinationId,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ca-ParametersEUTRA                  CA-ParametersEUTRA         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                     CA-ParametersNR            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mrdc-Parameters                     MRDC-Parameters            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bookmarkStart w:id="23" w:name="_Hlk535846965"/>
      <w:r>
        <w:t>supportedBandwidthCombinationSet</w:t>
      </w:r>
      <w:bookmarkEnd w:id="23"/>
      <w:r>
        <w:t xml:space="preserve">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powerClass-v1530                    </w:t>
      </w:r>
      <w:r>
        <w:rPr>
          <w:color w:val="993366"/>
        </w:rPr>
        <w:t>ENUMERATED</w:t>
      </w:r>
      <w:r>
        <w:t xml:space="preserve"> {pc2}                            </w:t>
      </w:r>
      <w:r>
        <w:rPr>
          <w:color w:val="993366"/>
        </w:rPr>
        <w:t>OPTIONAL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BandCombination-v1540::=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bandList-v1540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BandParameters-v1540,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ca-ParametersNR-v1540               CA-ParametersNR-v1540                       </w:t>
      </w:r>
      <w:r>
        <w:rPr>
          <w:color w:val="993366"/>
        </w:rPr>
        <w:t>OPTIONAL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bookmarkStart w:id="24" w:name="_Hlk2994722"/>
      <w:r>
        <w:t xml:space="preserve">BandCombination-v1550 ::=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ca-ParametersNR-v1550               CA-ParametersNR-v1550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bookmarkEnd w:id="24"/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BandCombination-v1560::=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ne-DC-BC    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ca-ParametersNRDC                       CA-ParametersNRDC     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ca-ParametersEUTRA-v1560                CA-ParametersEUTRA-v1560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ca-ParametersNR-v1560                   CA-ParametersNR-v1560                  </w:t>
      </w:r>
      <w:r>
        <w:rPr>
          <w:color w:val="993366"/>
        </w:rPr>
        <w:t>OPTIONAL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BandCombination-v1570 ::=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ca-ParametersEUTRA-v1570            CA-ParametersEUTRA-v1570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BandCombination-v1580 ::=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mrdc-Parameters-v1580               MRDC-Parameters-v1580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BandCombination-v1590::=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supportedBandwidthCombinationSetIntraENDC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mrdc-Parameters-v1590                      MRDC-Parameters-v1590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BandParameters ::=                      </w:t>
      </w:r>
      <w:r>
        <w:rPr>
          <w:color w:val="993366"/>
        </w:rPr>
        <w:t>CHOICE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eutra                   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bandEUTRA                           FreqBandIndicatorEUTRA,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ca-BandwidthClassDL-EUTRA           CA-BandwidthClassEUTRA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ca-BandwidthClassUL-EUTRA           CA-BandwidthClassEUTRA                 </w:t>
      </w:r>
      <w:r>
        <w:rPr>
          <w:color w:val="993366"/>
        </w:rPr>
        <w:t>OPTIONAL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lastRenderedPageBreak/>
        <w:t xml:space="preserve">    },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nr                      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bandNR                              FreqBandIndicatorNR,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ca-BandwidthClassDL-NR              CA-BandwidthClassNR   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ca-BandwidthClassUL-NR              CA-BandwidthClassNR                    </w:t>
      </w:r>
      <w:r>
        <w:rPr>
          <w:color w:val="993366"/>
        </w:rPr>
        <w:t>OPTIONAL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}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BandParameters-v1540 ::=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srs-CarrierSwitch                   </w:t>
      </w:r>
      <w:r>
        <w:rPr>
          <w:color w:val="993366"/>
        </w:rPr>
        <w:t>CHOICE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nr                      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    srs-SwitchingTimesListNR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SRS-SwitchingTimeNR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},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eutra                   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    srs-SwitchingTimesListEUTRA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SRS-SwitchingTimeEUTRA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}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srs-TxSwitch                    </w:t>
      </w:r>
      <w:r>
        <w:rPr>
          <w:color w:val="993366"/>
        </w:rPr>
        <w:t>SEQUENCE</w:t>
      </w:r>
      <w:r>
        <w:t xml:space="preserve"> {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supportedSRS-TxPortSwitch       </w:t>
      </w:r>
      <w:r>
        <w:rPr>
          <w:color w:val="993366"/>
        </w:rPr>
        <w:t>ENUMERATED</w:t>
      </w:r>
      <w:r>
        <w:t xml:space="preserve"> {t1r2, t1r4, t2r4, t1r4-t2r4, t1r1, t2r2, t4r4, notSupported},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txSwitchImpactToRx              </w:t>
      </w:r>
      <w:r>
        <w:rPr>
          <w:color w:val="993366"/>
        </w:rPr>
        <w:t>INTEGER</w:t>
      </w:r>
      <w:r>
        <w:t xml:space="preserve"> (1..32)                            </w:t>
      </w:r>
      <w:r>
        <w:rPr>
          <w:color w:val="993366"/>
        </w:rPr>
        <w:t>OPTIONAL</w:t>
      </w:r>
      <w:r>
        <w:t>,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txSwitchWithAnotherBand         </w:t>
      </w:r>
      <w:r>
        <w:rPr>
          <w:color w:val="993366"/>
        </w:rPr>
        <w:t>INTEGER</w:t>
      </w:r>
      <w:r>
        <w:t xml:space="preserve"> (1..32)                            </w:t>
      </w:r>
      <w:r>
        <w:rPr>
          <w:color w:val="993366"/>
        </w:rPr>
        <w:t>OPTIONAL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3A3F98" w:rsidRDefault="003A3F9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TAG-BANDCOMBINATIONLIST-STOP</w:t>
      </w:r>
    </w:p>
    <w:p w:rsidR="003A3F98" w:rsidRDefault="00ED36FB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ASN1STOP</w:t>
      </w:r>
    </w:p>
    <w:p w:rsidR="003A3F98" w:rsidRDefault="003A3F98">
      <w:pPr>
        <w:shd w:val="pct10" w:color="auto" w:fill="auto"/>
      </w:pPr>
    </w:p>
    <w:tbl>
      <w:tblPr>
        <w:tblpPr w:leftFromText="180" w:rightFromText="180" w:vertAnchor="text" w:horzAnchor="page" w:tblpX="1288" w:tblpY="332"/>
        <w:tblOverlap w:val="never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3"/>
      </w:tblGrid>
      <w:tr w:rsidR="003A3F98">
        <w:tc>
          <w:tcPr>
            <w:tcW w:w="9933" w:type="dxa"/>
          </w:tcPr>
          <w:p w:rsidR="003A3F98" w:rsidRDefault="00ED36FB">
            <w:pPr>
              <w:pStyle w:val="TAH"/>
              <w:rPr>
                <w:szCs w:val="22"/>
                <w:lang w:val="en-GB" w:eastAsia="ja-JP"/>
              </w:rPr>
            </w:pPr>
            <w:r>
              <w:rPr>
                <w:i/>
                <w:szCs w:val="22"/>
                <w:lang w:val="en-GB" w:eastAsia="ja-JP"/>
              </w:rPr>
              <w:t xml:space="preserve">BandCombination </w:t>
            </w:r>
            <w:r>
              <w:rPr>
                <w:szCs w:val="22"/>
                <w:lang w:val="en-GB" w:eastAsia="ja-JP"/>
              </w:rPr>
              <w:t>field descriptions</w:t>
            </w:r>
          </w:p>
        </w:tc>
      </w:tr>
      <w:tr w:rsidR="003A3F98">
        <w:tc>
          <w:tcPr>
            <w:tcW w:w="9933" w:type="dxa"/>
          </w:tcPr>
          <w:p w:rsidR="003A3F98" w:rsidRDefault="00ED36FB">
            <w:pPr>
              <w:pStyle w:val="TAL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BandCombinationList-v1540, BandCombinationList-v1550, BandCombinationList-v1560</w:t>
            </w:r>
            <w:r>
              <w:rPr>
                <w:rFonts w:cs="Arial"/>
                <w:b/>
                <w:i/>
                <w:lang w:val="en-GB"/>
              </w:rPr>
              <w:t>, BandCombinationList-v1570, BandCombinationList-v1580</w:t>
            </w:r>
            <w:r>
              <w:rPr>
                <w:b/>
                <w:i/>
                <w:lang w:val="en-GB"/>
              </w:rPr>
              <w:t>, BandCombinationList-v1590</w:t>
            </w:r>
          </w:p>
          <w:p w:rsidR="003A3F98" w:rsidRDefault="00ED36F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 UE shall include the same number of entries, and listed in the same order, as in </w:t>
            </w:r>
            <w:r>
              <w:rPr>
                <w:i/>
                <w:lang w:val="en-GB"/>
              </w:rPr>
              <w:t>BandCombinationList</w:t>
            </w:r>
            <w:r>
              <w:rPr>
                <w:lang w:val="en-GB"/>
              </w:rPr>
              <w:t xml:space="preserve"> (without suffix).</w:t>
            </w:r>
          </w:p>
        </w:tc>
      </w:tr>
      <w:tr w:rsidR="003A3F98">
        <w:trPr>
          <w:ins w:id="25" w:author="ZTE" w:date="2020-04-09T01:26:00Z"/>
        </w:trPr>
        <w:tc>
          <w:tcPr>
            <w:tcW w:w="9933" w:type="dxa"/>
          </w:tcPr>
          <w:p w:rsidR="003A3F98" w:rsidRDefault="00ED36FB">
            <w:pPr>
              <w:keepNext/>
              <w:keepLines/>
              <w:spacing w:after="0"/>
              <w:rPr>
                <w:ins w:id="26" w:author="ZTE" w:date="2020-04-09T01:27:00Z"/>
                <w:b/>
                <w:bCs/>
                <w:i/>
                <w:iCs/>
                <w:lang w:val="en-US" w:eastAsia="zh-CN"/>
              </w:rPr>
            </w:pPr>
            <w:ins w:id="27" w:author="ZTE" w:date="2020-04-09T01:27:00Z">
              <w:r>
                <w:rPr>
                  <w:b/>
                  <w:bCs/>
                  <w:i/>
                  <w:iCs/>
                  <w:lang w:val="en-US" w:eastAsia="zh-CN"/>
                </w:rPr>
                <w:t>bandList-v1540</w:t>
              </w:r>
            </w:ins>
          </w:p>
          <w:p w:rsidR="003A3F98" w:rsidRDefault="00ED36FB">
            <w:pPr>
              <w:pStyle w:val="TAL"/>
              <w:rPr>
                <w:ins w:id="28" w:author="ZTE" w:date="2020-04-09T01:26:00Z"/>
                <w:lang w:val="en-GB"/>
              </w:rPr>
            </w:pPr>
            <w:ins w:id="29" w:author="ZTE" w:date="2020-04-09T01:27:00Z">
              <w:r>
                <w:rPr>
                  <w:rFonts w:hint="eastAsia"/>
                  <w:lang w:val="en-US"/>
                </w:rPr>
                <w:t xml:space="preserve">The UE shall include the same number of entries, and listed in the same order, as in </w:t>
              </w:r>
              <w:r>
                <w:rPr>
                  <w:rFonts w:hint="eastAsia"/>
                  <w:i/>
                  <w:iCs/>
                  <w:lang w:val="en-US"/>
                </w:rPr>
                <w:t>bandList</w:t>
              </w:r>
            </w:ins>
            <w:r>
              <w:rPr>
                <w:rFonts w:eastAsia="宋体" w:hint="eastAsia"/>
                <w:i/>
                <w:iCs/>
                <w:lang w:val="en-US"/>
              </w:rPr>
              <w:t xml:space="preserve"> </w:t>
            </w:r>
            <w:ins w:id="30" w:author="ZTE" w:date="2020-04-09T01:27:00Z">
              <w:r>
                <w:rPr>
                  <w:rFonts w:hint="eastAsia"/>
                  <w:lang w:val="en-US"/>
                </w:rPr>
                <w:t>(without suffix).</w:t>
              </w:r>
            </w:ins>
          </w:p>
        </w:tc>
      </w:tr>
      <w:tr w:rsidR="003A3F98">
        <w:tc>
          <w:tcPr>
            <w:tcW w:w="9933" w:type="dxa"/>
          </w:tcPr>
          <w:p w:rsidR="003A3F98" w:rsidRDefault="00ED36FB">
            <w:pPr>
              <w:pStyle w:val="TAL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ca-ParametersNRDC</w:t>
            </w:r>
          </w:p>
          <w:p w:rsidR="003A3F98" w:rsidRDefault="00ED36F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3A3F98">
        <w:tc>
          <w:tcPr>
            <w:tcW w:w="9933" w:type="dxa"/>
          </w:tcPr>
          <w:p w:rsidR="003A3F98" w:rsidRDefault="00ED36FB">
            <w:pPr>
              <w:pStyle w:val="TAL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ne-DC-BC</w:t>
            </w:r>
          </w:p>
          <w:p w:rsidR="003A3F98" w:rsidRDefault="00ED36F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3A3F98">
        <w:tc>
          <w:tcPr>
            <w:tcW w:w="9933" w:type="dxa"/>
          </w:tcPr>
          <w:p w:rsidR="003A3F98" w:rsidRDefault="00ED36FB">
            <w:pPr>
              <w:pStyle w:val="TAL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srs-SwitchingTimesListNR</w:t>
            </w:r>
          </w:p>
          <w:p w:rsidR="003A3F98" w:rsidRDefault="00ED36F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3A3F98" w:rsidRDefault="00ED36FB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  <w:t xml:space="preserve">For the first NR band, the UE shall include the same number of entries for NR bands as in </w:t>
            </w:r>
            <w:r>
              <w:rPr>
                <w:i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, i.e. first entry corresponds to first NR band in </w:t>
            </w:r>
            <w:r>
              <w:rPr>
                <w:rFonts w:cs="Arial"/>
                <w:i/>
                <w:szCs w:val="18"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 and so on,</w:t>
            </w:r>
          </w:p>
          <w:p w:rsidR="003A3F98" w:rsidRDefault="00ED36FB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  <w:t xml:space="preserve">For the second NR band, the UE shall include one entry less, i.e. first entry corresponds to the second NR band in </w:t>
            </w:r>
            <w:r>
              <w:rPr>
                <w:i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 and so on</w:t>
            </w:r>
          </w:p>
          <w:p w:rsidR="003A3F98" w:rsidRDefault="00ED36FB">
            <w:pPr>
              <w:pStyle w:val="TAL"/>
              <w:ind w:left="284"/>
              <w:rPr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  <w:t>And so on</w:t>
            </w:r>
          </w:p>
        </w:tc>
      </w:tr>
      <w:tr w:rsidR="003A3F98">
        <w:tc>
          <w:tcPr>
            <w:tcW w:w="9933" w:type="dxa"/>
          </w:tcPr>
          <w:p w:rsidR="003A3F98" w:rsidRDefault="00ED36FB">
            <w:pPr>
              <w:pStyle w:val="TAL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srs-SwitchingTimesListEUTRA</w:t>
            </w:r>
          </w:p>
          <w:p w:rsidR="003A3F98" w:rsidRDefault="00ED36F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3A3F98" w:rsidRDefault="00ED36FB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  <w:t xml:space="preserve">For the first E-UTRA band, the UE shall include the same number of entries for E-UTRA bands as in </w:t>
            </w:r>
            <w:r>
              <w:rPr>
                <w:rFonts w:cs="Arial"/>
                <w:i/>
                <w:szCs w:val="18"/>
                <w:lang w:val="en-GB"/>
              </w:rPr>
              <w:t>bandList,</w:t>
            </w:r>
            <w:r>
              <w:rPr>
                <w:rFonts w:cs="Arial"/>
                <w:szCs w:val="18"/>
                <w:lang w:val="en-GB"/>
              </w:rPr>
              <w:t xml:space="preserve"> i.e. first entry corresponds to first E-UTRA band in </w:t>
            </w:r>
            <w:r>
              <w:rPr>
                <w:rFonts w:cs="Arial"/>
                <w:i/>
                <w:szCs w:val="18"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 and so on,</w:t>
            </w:r>
          </w:p>
          <w:p w:rsidR="003A3F98" w:rsidRDefault="00ED36FB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  <w:t xml:space="preserve">For the second E-UTRA band, the UE shall include one entry less, i.e. first entry corresponds to the second E-UTRA band in </w:t>
            </w:r>
            <w:r>
              <w:rPr>
                <w:rFonts w:cs="Arial"/>
                <w:i/>
                <w:szCs w:val="18"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 and so on</w:t>
            </w:r>
          </w:p>
          <w:p w:rsidR="003A3F98" w:rsidRDefault="00ED36FB">
            <w:pPr>
              <w:pStyle w:val="TAL"/>
              <w:ind w:left="284"/>
              <w:rPr>
                <w:lang w:val="en-GB"/>
              </w:rPr>
            </w:pPr>
            <w:r>
              <w:rPr>
                <w:lang w:val="en-GB"/>
              </w:rPr>
              <w:t xml:space="preserve"> -</w:t>
            </w:r>
            <w:r>
              <w:rPr>
                <w:lang w:val="en-GB"/>
              </w:rPr>
              <w:tab/>
              <w:t>And so on</w:t>
            </w:r>
          </w:p>
        </w:tc>
      </w:tr>
    </w:tbl>
    <w:p w:rsidR="003A3F98" w:rsidRDefault="003A3F98"/>
    <w:bookmarkEnd w:id="5"/>
    <w:bookmarkEnd w:id="6"/>
    <w:p w:rsidR="003A3F98" w:rsidRDefault="003A3F98"/>
    <w:p w:rsidR="003A3F98" w:rsidRDefault="00ED3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3A3F98">
      <w:headerReference w:type="default" r:id="rId16"/>
      <w:footerReference w:type="default" r:id="rId17"/>
      <w:footnotePr>
        <w:numRestart w:val="eachSect"/>
      </w:footnotePr>
      <w:type w:val="continuous"/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0F8" w:rsidRDefault="00B350F8">
      <w:pPr>
        <w:spacing w:after="0"/>
      </w:pPr>
      <w:r>
        <w:separator/>
      </w:r>
    </w:p>
  </w:endnote>
  <w:endnote w:type="continuationSeparator" w:id="0">
    <w:p w:rsidR="00B350F8" w:rsidRDefault="00B35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F98" w:rsidRDefault="00ED36FB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0F8" w:rsidRDefault="00B350F8">
      <w:pPr>
        <w:spacing w:after="0"/>
      </w:pPr>
      <w:r>
        <w:separator/>
      </w:r>
    </w:p>
  </w:footnote>
  <w:footnote w:type="continuationSeparator" w:id="0">
    <w:p w:rsidR="00B350F8" w:rsidRDefault="00B350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F98" w:rsidRDefault="00ED36F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25A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825A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825A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A3F98" w:rsidRDefault="00ED36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825A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3A3F98" w:rsidRDefault="003A3F98">
    <w:pPr>
      <w:pStyle w:val="ae"/>
    </w:pPr>
  </w:p>
  <w:p w:rsidR="003A3F98" w:rsidRDefault="003A3F98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676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17F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446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98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352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5A1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17D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6FB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0F8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3E51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01B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093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6FB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1C90F3A"/>
    <w:rsid w:val="0E2753AF"/>
    <w:rsid w:val="282E1713"/>
    <w:rsid w:val="3F1C631A"/>
    <w:rsid w:val="407B7C8D"/>
    <w:rsid w:val="41BE561E"/>
    <w:rsid w:val="49FB3B2A"/>
    <w:rsid w:val="4AFC62AD"/>
    <w:rsid w:val="4B177DCE"/>
    <w:rsid w:val="4CDE2DD8"/>
    <w:rsid w:val="4E2D238A"/>
    <w:rsid w:val="69394E96"/>
    <w:rsid w:val="72D666C8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ED0CDA-C0E3-40BE-8985-012ED3A0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2E166FA-5057-427F-9B7F-B45DC2AB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1397</Words>
  <Characters>7968</Characters>
  <Application>Microsoft Office Word</Application>
  <DocSecurity>0</DocSecurity>
  <Lines>66</Lines>
  <Paragraphs>18</Paragraphs>
  <ScaleCrop>false</ScaleCrop>
  <Company>Samsung Electronics</Company>
  <LinksUpToDate>false</LinksUpToDate>
  <CharactersWithSpaces>9347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ZTE(LiuJing)</cp:lastModifiedBy>
  <cp:revision>7</cp:revision>
  <cp:lastPrinted>2017-05-08T10:55:00Z</cp:lastPrinted>
  <dcterms:created xsi:type="dcterms:W3CDTF">2020-04-09T01:14:00Z</dcterms:created>
  <dcterms:modified xsi:type="dcterms:W3CDTF">2020-04-10T04:43:00Z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