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CF5C6E">
        <w:rPr>
          <w:rFonts w:cs="Arial" w:hint="eastAsia"/>
          <w:lang w:eastAsia="ja-JP"/>
        </w:rPr>
        <w:t>109</w:t>
      </w:r>
      <w:r w:rsidR="00C149F7">
        <w:rPr>
          <w:rFonts w:cs="Arial"/>
          <w:lang w:eastAsia="ja-JP"/>
        </w:rPr>
        <w:t>-</w:t>
      </w:r>
      <w:r w:rsidR="00CF5C6E">
        <w:rPr>
          <w:rFonts w:cs="Arial" w:hint="eastAsia"/>
          <w:lang w:eastAsia="ja-JP"/>
        </w:rPr>
        <w:t>e</w:t>
      </w:r>
      <w:r w:rsidRPr="00863065">
        <w:rPr>
          <w:rFonts w:cs="Arial"/>
        </w:rPr>
        <w:tab/>
      </w:r>
      <w:bookmarkStart w:id="0" w:name="_GoBack"/>
      <w:bookmarkEnd w:id="0"/>
      <w:r w:rsidRPr="00863065">
        <w:rPr>
          <w:rFonts w:cs="Arial"/>
        </w:rPr>
        <w:t>R</w:t>
      </w:r>
      <w:r w:rsidR="003D4B8C">
        <w:rPr>
          <w:rFonts w:cs="Arial" w:hint="eastAsia"/>
          <w:lang w:eastAsia="ja-JP"/>
        </w:rPr>
        <w:t>2</w:t>
      </w:r>
      <w:r w:rsidRPr="00863065">
        <w:rPr>
          <w:rFonts w:cs="Arial"/>
          <w:lang w:eastAsia="ja-JP"/>
        </w:rPr>
        <w:t>-</w:t>
      </w:r>
      <w:r w:rsidR="00ED1C82">
        <w:rPr>
          <w:rFonts w:cs="Arial" w:hint="eastAsia"/>
          <w:lang w:eastAsia="ja-JP"/>
        </w:rPr>
        <w:t>20</w:t>
      </w:r>
      <w:r w:rsidR="00151C4B">
        <w:rPr>
          <w:rFonts w:cs="Arial"/>
          <w:lang w:eastAsia="ja-JP"/>
        </w:rPr>
        <w:t>00683</w:t>
      </w:r>
    </w:p>
    <w:p w:rsidR="00DB7D65" w:rsidRPr="00863065" w:rsidRDefault="00CF5C6E" w:rsidP="00CF5C6E">
      <w:pPr>
        <w:pStyle w:val="af6"/>
        <w:tabs>
          <w:tab w:val="left" w:pos="709"/>
          <w:tab w:val="right" w:pos="9639"/>
        </w:tabs>
        <w:spacing w:after="0"/>
        <w:jc w:val="left"/>
        <w:rPr>
          <w:rFonts w:cs="Arial"/>
          <w:lang w:val="en-US" w:eastAsia="ja-JP"/>
        </w:rPr>
      </w:pPr>
      <w:r>
        <w:rPr>
          <w:rFonts w:cs="Arial"/>
          <w:lang w:val="en-US" w:eastAsia="ja-JP"/>
        </w:rPr>
        <w:t>24</w:t>
      </w:r>
      <w:r w:rsidR="006C777E">
        <w:rPr>
          <w:rFonts w:cs="Arial" w:hint="eastAsia"/>
          <w:vertAlign w:val="superscript"/>
          <w:lang w:val="en-US" w:eastAsia="ja-JP"/>
        </w:rPr>
        <w:t>th</w:t>
      </w:r>
      <w:r w:rsidR="006C777E" w:rsidRPr="00802E96">
        <w:rPr>
          <w:rFonts w:cs="Arial" w:hint="eastAsia"/>
          <w:lang w:val="en-US" w:eastAsia="ja-JP"/>
        </w:rPr>
        <w:t xml:space="preserve"> </w:t>
      </w:r>
      <w:r>
        <w:rPr>
          <w:rFonts w:cs="Arial"/>
          <w:lang w:val="en-US" w:eastAsia="ja-JP"/>
        </w:rPr>
        <w:t>February</w:t>
      </w:r>
      <w:r w:rsidR="006C777E">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6</w:t>
      </w:r>
      <w:r w:rsidR="006C777E">
        <w:rPr>
          <w:rFonts w:cs="Arial" w:hint="eastAsia"/>
          <w:vertAlign w:val="superscript"/>
          <w:lang w:val="en-US" w:eastAsia="ja-JP"/>
        </w:rPr>
        <w:t>th</w:t>
      </w:r>
      <w:r w:rsidR="006C777E" w:rsidRPr="00802E96">
        <w:rPr>
          <w:rFonts w:cs="Arial"/>
          <w:lang w:val="en-US" w:eastAsia="ja-JP"/>
        </w:rPr>
        <w:t xml:space="preserve"> </w:t>
      </w:r>
      <w:r>
        <w:rPr>
          <w:rFonts w:cs="Arial"/>
          <w:lang w:val="en-US" w:eastAsia="ja-JP"/>
        </w:rPr>
        <w:t>March</w:t>
      </w:r>
      <w:r w:rsidR="006C777E" w:rsidRPr="00802E96">
        <w:rPr>
          <w:rFonts w:cs="Arial"/>
          <w:lang w:val="en-US" w:eastAsia="ja-JP"/>
        </w:rPr>
        <w:t xml:space="preserve"> 20</w:t>
      </w:r>
      <w:r w:rsidR="00ED1C82">
        <w:rPr>
          <w:rFonts w:cs="Arial" w:hint="eastAsia"/>
          <w:lang w:val="en-US" w:eastAsia="ja-JP"/>
        </w:rPr>
        <w:t>20</w:t>
      </w:r>
    </w:p>
    <w:p w:rsidR="00DB7D65" w:rsidRPr="00863065" w:rsidRDefault="00DB7D65" w:rsidP="00DB7D65">
      <w:pPr>
        <w:pStyle w:val="af6"/>
        <w:pBdr>
          <w:bottom w:val="single" w:sz="4" w:space="1" w:color="auto"/>
        </w:pBdr>
        <w:tabs>
          <w:tab w:val="left" w:pos="709"/>
        </w:tabs>
        <w:spacing w:after="0"/>
        <w:jc w:val="left"/>
        <w:rPr>
          <w:rFonts w:cs="Arial"/>
          <w:lang w:val="en-US" w:eastAsia="ja-JP"/>
        </w:rPr>
      </w:pPr>
    </w:p>
    <w:p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736B15">
        <w:rPr>
          <w:rFonts w:ascii="Arial" w:hAnsi="Arial" w:cs="Arial"/>
          <w:b/>
          <w:sz w:val="24"/>
        </w:rPr>
        <w:t>Solution for under-reporting</w:t>
      </w:r>
      <w:r w:rsidR="00736B15" w:rsidRPr="00736B15">
        <w:rPr>
          <w:rFonts w:ascii="Arial" w:hAnsi="Arial" w:cs="Arial"/>
          <w:b/>
          <w:sz w:val="24"/>
        </w:rPr>
        <w:t xml:space="preserve"> CSI-RS capabilities</w:t>
      </w:r>
    </w:p>
    <w:p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154762">
        <w:rPr>
          <w:rFonts w:ascii="Arial" w:hAnsi="Arial" w:cs="Arial"/>
          <w:b/>
          <w:sz w:val="24"/>
          <w:lang w:eastAsia="ja-JP"/>
        </w:rPr>
        <w:t>6.20</w:t>
      </w:r>
      <w:r w:rsidR="00736B15">
        <w:rPr>
          <w:rFonts w:ascii="Arial" w:hAnsi="Arial" w:cs="Arial"/>
          <w:b/>
          <w:sz w:val="24"/>
          <w:lang w:eastAsia="ja-JP"/>
        </w:rPr>
        <w:t>.3</w:t>
      </w:r>
      <w:r w:rsidR="00154762">
        <w:rPr>
          <w:rFonts w:ascii="Arial" w:hAnsi="Arial" w:cs="Arial"/>
          <w:b/>
          <w:sz w:val="24"/>
          <w:lang w:eastAsia="ja-JP"/>
        </w:rPr>
        <w:t>.1</w:t>
      </w:r>
      <w:r w:rsidR="00736B15">
        <w:rPr>
          <w:rFonts w:ascii="Arial" w:hAnsi="Arial" w:cs="Arial"/>
          <w:b/>
          <w:sz w:val="24"/>
          <w:lang w:eastAsia="ja-JP"/>
        </w:rPr>
        <w:tab/>
        <w:t>-</w:t>
      </w:r>
      <w:r w:rsidR="00736B15">
        <w:rPr>
          <w:rFonts w:ascii="Arial" w:hAnsi="Arial" w:cs="Arial"/>
          <w:b/>
          <w:sz w:val="24"/>
          <w:lang w:eastAsia="ja-JP"/>
        </w:rPr>
        <w:tab/>
      </w:r>
      <w:r w:rsidR="00154762" w:rsidRPr="00154762">
        <w:rPr>
          <w:rFonts w:ascii="Arial" w:hAnsi="Arial" w:cs="Arial"/>
          <w:b/>
          <w:sz w:val="24"/>
          <w:lang w:eastAsia="ja-JP"/>
        </w:rPr>
        <w:t>TEI16 enhancements led by other WGs</w:t>
      </w:r>
    </w:p>
    <w:p w:rsidR="009F1C34" w:rsidRDefault="009479FA" w:rsidP="00BD7EED">
      <w:pPr>
        <w:pStyle w:val="2"/>
        <w:numPr>
          <w:ilvl w:val="0"/>
          <w:numId w:val="1"/>
        </w:numPr>
        <w:rPr>
          <w:rFonts w:cs="Arial"/>
          <w:lang w:eastAsia="ja-JP"/>
        </w:rPr>
      </w:pPr>
      <w:r w:rsidRPr="00863065">
        <w:rPr>
          <w:rFonts w:cs="Arial"/>
          <w:lang w:eastAsia="ja-JP"/>
        </w:rPr>
        <w:t>Introduction</w:t>
      </w:r>
    </w:p>
    <w:p w:rsidR="00280561" w:rsidRDefault="007E66CD" w:rsidP="00280561">
      <w:pPr>
        <w:rPr>
          <w:lang w:eastAsia="ja-JP"/>
        </w:rPr>
      </w:pPr>
      <w:r>
        <w:rPr>
          <w:rFonts w:hint="eastAsia"/>
          <w:lang w:eastAsia="ja-JP"/>
        </w:rPr>
        <w:t xml:space="preserve">At RAN2 #108, RAN2 discussed the issue on under-reporting CSI-RS capabilities, as per request from RAN1 [1]. </w:t>
      </w:r>
      <w:r w:rsidR="004F4F54">
        <w:rPr>
          <w:lang w:eastAsia="ja-JP"/>
        </w:rPr>
        <w:t>RAN2 agreed to address this issue as TEI16, although early implementation from Rel-15 was FFS [2]. The rest and solution details were postponed to the next meeting. Thus, this paper is aimed at discussing the solution detail.</w:t>
      </w:r>
    </w:p>
    <w:p w:rsidR="004F4F54" w:rsidRPr="00280561" w:rsidRDefault="004F4F54" w:rsidP="00280561">
      <w:pPr>
        <w:rPr>
          <w:lang w:eastAsia="ja-JP"/>
        </w:rPr>
      </w:pPr>
      <w:r>
        <w:rPr>
          <w:lang w:eastAsia="ja-JP"/>
        </w:rPr>
        <w:t>Due to the situation in the last meeting that different companies have different understanding on the problems that RAN1 observed, this paper attempts to develop the common understanding of the problems at first. Then, the solution detail is discussed</w:t>
      </w:r>
      <w:r w:rsidR="007B4C30">
        <w:rPr>
          <w:lang w:eastAsia="ja-JP"/>
        </w:rPr>
        <w:t>, which is up to RAN2, according to the RAN1 LS [2]</w:t>
      </w:r>
      <w:r>
        <w:rPr>
          <w:lang w:eastAsia="ja-JP"/>
        </w:rPr>
        <w:t>.</w:t>
      </w:r>
    </w:p>
    <w:p w:rsidR="005852CD" w:rsidRDefault="00C30470" w:rsidP="00C30470">
      <w:pPr>
        <w:pStyle w:val="2"/>
        <w:numPr>
          <w:ilvl w:val="0"/>
          <w:numId w:val="2"/>
        </w:numPr>
        <w:rPr>
          <w:lang w:eastAsia="ja-JP"/>
        </w:rPr>
      </w:pPr>
      <w:r>
        <w:rPr>
          <w:rFonts w:hint="eastAsia"/>
          <w:lang w:eastAsia="ja-JP"/>
        </w:rPr>
        <w:t>Discussion</w:t>
      </w:r>
    </w:p>
    <w:p w:rsidR="00743D97" w:rsidRDefault="00137521" w:rsidP="00280561">
      <w:pPr>
        <w:pStyle w:val="2"/>
        <w:numPr>
          <w:ilvl w:val="1"/>
          <w:numId w:val="2"/>
        </w:numPr>
        <w:rPr>
          <w:rFonts w:cs="Arial"/>
          <w:lang w:eastAsia="ja-JP"/>
        </w:rPr>
      </w:pPr>
      <w:r>
        <w:rPr>
          <w:rFonts w:cs="Arial"/>
          <w:lang w:eastAsia="ja-JP"/>
        </w:rPr>
        <w:t>Understanding the under-reporting problem</w:t>
      </w:r>
      <w:r w:rsidR="00B8760D">
        <w:rPr>
          <w:rFonts w:cs="Arial"/>
          <w:lang w:eastAsia="ja-JP"/>
        </w:rPr>
        <w:t>s</w:t>
      </w:r>
    </w:p>
    <w:p w:rsidR="00280561" w:rsidRDefault="006E3944" w:rsidP="00280561">
      <w:pPr>
        <w:rPr>
          <w:lang w:eastAsia="ja-JP"/>
        </w:rPr>
      </w:pPr>
      <w:r>
        <w:rPr>
          <w:rFonts w:hint="eastAsia"/>
          <w:lang w:eastAsia="ja-JP"/>
        </w:rPr>
        <w:t xml:space="preserve">According </w:t>
      </w:r>
      <w:r>
        <w:rPr>
          <w:lang w:eastAsia="ja-JP"/>
        </w:rPr>
        <w:t>to the input from RAN1, the problems are summarised into the following two aspects:</w:t>
      </w:r>
    </w:p>
    <w:p w:rsidR="006E3944" w:rsidRDefault="00AD222F" w:rsidP="008F474E">
      <w:r>
        <w:rPr>
          <w:b/>
        </w:rPr>
        <w:t>Problem</w:t>
      </w:r>
      <w:r w:rsidR="00CE3900" w:rsidRPr="00AD222F">
        <w:rPr>
          <w:rFonts w:hint="eastAsia"/>
          <w:b/>
        </w:rPr>
        <w:t xml:space="preserve"> 1:</w:t>
      </w:r>
      <w:r w:rsidR="00CE3900">
        <w:rPr>
          <w:rFonts w:hint="eastAsia"/>
        </w:rPr>
        <w:tab/>
      </w:r>
      <w:r w:rsidR="00CE3900">
        <w:t>Limitation of active CSI</w:t>
      </w:r>
      <w:r w:rsidR="004A63EA">
        <w:t>-RS</w:t>
      </w:r>
      <w:r w:rsidR="00CE3900">
        <w:t xml:space="preserve"> ports/resources in a slot;</w:t>
      </w:r>
    </w:p>
    <w:p w:rsidR="00741A47" w:rsidRDefault="004A63EA" w:rsidP="008F474E">
      <w:r>
        <w:rPr>
          <w:rFonts w:hint="eastAsia"/>
        </w:rPr>
        <w:t>As mentioned in the RA</w:t>
      </w:r>
      <w:r>
        <w:t>N1 LS, TS 38.214, sub-clause 5.2.1.6 defines the active CSI-RS ports/resources as shown below.</w:t>
      </w:r>
    </w:p>
    <w:p w:rsidR="007846D1" w:rsidRDefault="00466C4B" w:rsidP="00466C4B">
      <w:pPr>
        <w:pStyle w:val="B1"/>
      </w:pPr>
      <w:r>
        <w:rPr>
          <w:rFonts w:hint="eastAsia"/>
        </w:rPr>
        <w:t>-</w:t>
      </w:r>
      <w:r>
        <w:rPr>
          <w:rFonts w:hint="eastAsia"/>
        </w:rPr>
        <w:tab/>
      </w:r>
      <w:r w:rsidRPr="00466C4B">
        <w:rPr>
          <w:i/>
        </w:rPr>
        <w:t>In any slot, the UE is not expected to have more active CSI-RS ports or active CSI-RS resources than reported as capability.</w:t>
      </w:r>
    </w:p>
    <w:p w:rsidR="007846D1" w:rsidRDefault="00390ABD" w:rsidP="008F474E">
      <w:pPr>
        <w:rPr>
          <w:lang w:eastAsia="ja-JP"/>
        </w:rPr>
      </w:pPr>
      <w:r>
        <w:rPr>
          <w:rFonts w:hint="eastAsia"/>
          <w:lang w:eastAsia="ja-JP"/>
        </w:rPr>
        <w:t xml:space="preserve">The </w:t>
      </w:r>
      <w:r>
        <w:rPr>
          <w:lang w:eastAsia="ja-JP"/>
        </w:rPr>
        <w:t xml:space="preserve">“capability” in this sentence corresponds to the following triplet defined in </w:t>
      </w:r>
      <w:r w:rsidRPr="00390ABD">
        <w:rPr>
          <w:i/>
          <w:lang w:eastAsia="ja-JP"/>
        </w:rPr>
        <w:t>SupportedCSI-RS-Resource</w:t>
      </w:r>
      <w:r>
        <w:rPr>
          <w:lang w:eastAsia="ja-JP"/>
        </w:rPr>
        <w:t>:</w:t>
      </w:r>
    </w:p>
    <w:p w:rsidR="00390ABD" w:rsidRDefault="00465C26" w:rsidP="00465C26">
      <w:pPr>
        <w:pStyle w:val="B1"/>
      </w:pPr>
      <w:r>
        <w:rPr>
          <w:rFonts w:hint="eastAsia"/>
        </w:rPr>
        <w:t>-</w:t>
      </w:r>
      <w:r>
        <w:rPr>
          <w:rFonts w:hint="eastAsia"/>
        </w:rPr>
        <w:tab/>
      </w:r>
      <w:r w:rsidRPr="00465C26">
        <w:rPr>
          <w:i/>
        </w:rPr>
        <w:t>maxNumberTxPortsPerResource</w:t>
      </w:r>
      <w:r w:rsidR="00F5494F">
        <w:t xml:space="preserve"> (i.e. Max. number of Tx ports in a resource);</w:t>
      </w:r>
    </w:p>
    <w:p w:rsidR="00465C26" w:rsidRDefault="00465C26" w:rsidP="00465C26">
      <w:pPr>
        <w:pStyle w:val="B1"/>
      </w:pPr>
      <w:r>
        <w:t>-</w:t>
      </w:r>
      <w:r>
        <w:tab/>
      </w:r>
      <w:r w:rsidRPr="00465C26">
        <w:rPr>
          <w:i/>
        </w:rPr>
        <w:t>maxNumberResourcesPerBand</w:t>
      </w:r>
      <w:r w:rsidR="00F5494F">
        <w:t xml:space="preserve"> (i.e. Max</w:t>
      </w:r>
      <w:r w:rsidR="003813DB">
        <w:t>.</w:t>
      </w:r>
      <w:r w:rsidR="00F5494F">
        <w:t xml:space="preserve"> number of resources across all CCs within a band simultaneously);</w:t>
      </w:r>
    </w:p>
    <w:p w:rsidR="00465C26" w:rsidRDefault="00465C26" w:rsidP="00465C26">
      <w:pPr>
        <w:pStyle w:val="B1"/>
      </w:pPr>
      <w:r>
        <w:t>-</w:t>
      </w:r>
      <w:r>
        <w:tab/>
      </w:r>
      <w:r w:rsidRPr="00465C26">
        <w:rPr>
          <w:i/>
        </w:rPr>
        <w:t>totalNumberTxPortsPerBand</w:t>
      </w:r>
      <w:r w:rsidR="00F5494F">
        <w:t xml:space="preserve"> (i.e. Total number of Tx ports across all CCs within a band simultaneously).</w:t>
      </w:r>
    </w:p>
    <w:p w:rsidR="00465C26" w:rsidRPr="00C70123" w:rsidRDefault="00445A24" w:rsidP="008F474E">
      <w:pPr>
        <w:rPr>
          <w:lang w:eastAsia="ja-JP"/>
        </w:rPr>
      </w:pPr>
      <w:r>
        <w:rPr>
          <w:rFonts w:hint="eastAsia"/>
          <w:lang w:eastAsia="ja-JP"/>
        </w:rPr>
        <w:t xml:space="preserve">In case of CA, the definition turns out that the UE needs to support these max/total values for each band in the band combination, in any slots. </w:t>
      </w:r>
      <w:r w:rsidR="00460671">
        <w:rPr>
          <w:lang w:eastAsia="ja-JP"/>
        </w:rPr>
        <w:t xml:space="preserve">Given that the triplet is defined per band outside the band combination signalling, the UE may not be able to support the triplet as it is for each band, due to the limitation of total processing capabilities. In this case, the UE may have to report the conservative values for the triplet, which is applicable to all supported band combinations. </w:t>
      </w:r>
      <w:r w:rsidR="00183CF2">
        <w:rPr>
          <w:lang w:eastAsia="ja-JP"/>
        </w:rPr>
        <w:t xml:space="preserve">If the active CSI-RS ports/resources were configured via a TDM manner, i.e. across different slots, the UE would be able to report the higher values than the legacy triplet. </w:t>
      </w:r>
    </w:p>
    <w:p w:rsidR="00CE3900" w:rsidRDefault="00AD222F" w:rsidP="008F474E">
      <w:r>
        <w:rPr>
          <w:b/>
        </w:rPr>
        <w:t>Problem</w:t>
      </w:r>
      <w:r w:rsidR="00CE3900" w:rsidRPr="00AD222F">
        <w:rPr>
          <w:b/>
        </w:rPr>
        <w:t xml:space="preserve"> 2:</w:t>
      </w:r>
      <w:r w:rsidR="00CE3900">
        <w:tab/>
        <w:t>Lack of overall capabilities per codebook type.</w:t>
      </w:r>
    </w:p>
    <w:p w:rsidR="006E3944" w:rsidRDefault="00E34447" w:rsidP="00280561">
      <w:pPr>
        <w:rPr>
          <w:lang w:eastAsia="ja-JP"/>
        </w:rPr>
      </w:pPr>
      <w:r>
        <w:rPr>
          <w:rFonts w:hint="eastAsia"/>
          <w:lang w:eastAsia="ja-JP"/>
        </w:rPr>
        <w:t>For the feature group 2-33 (</w:t>
      </w:r>
      <w:r w:rsidRPr="00E34447">
        <w:rPr>
          <w:lang w:eastAsia="ja-JP"/>
        </w:rPr>
        <w:t>CSI-RS and CSI-IM reception for CSI feedback</w:t>
      </w:r>
      <w:r>
        <w:rPr>
          <w:lang w:eastAsia="ja-JP"/>
        </w:rPr>
        <w:t>), the following component #4 and #5 were introduced to limit the total capability across all CCs per band combination:</w:t>
      </w:r>
    </w:p>
    <w:p w:rsidR="00E34447" w:rsidRDefault="003813DB" w:rsidP="003813DB">
      <w:pPr>
        <w:pStyle w:val="B1"/>
      </w:pPr>
      <w:r>
        <w:rPr>
          <w:rFonts w:hint="eastAsia"/>
        </w:rPr>
        <w:t>-</w:t>
      </w:r>
      <w:r>
        <w:rPr>
          <w:rFonts w:hint="eastAsia"/>
        </w:rPr>
        <w:tab/>
      </w:r>
      <w:r w:rsidRPr="003813DB">
        <w:rPr>
          <w:i/>
        </w:rPr>
        <w:t>maxNumberSimultaneousNZP-CSI-RS-ActBWP-AllCC</w:t>
      </w:r>
      <w:r>
        <w:t xml:space="preserve"> (i.e. Max.</w:t>
      </w:r>
      <w:r w:rsidRPr="003813DB">
        <w:t xml:space="preserve"> number of simultaneous CSI-RS resources in active BWPs across all CCs</w:t>
      </w:r>
      <w:r>
        <w:t>);</w:t>
      </w:r>
    </w:p>
    <w:p w:rsidR="003813DB" w:rsidRDefault="003813DB" w:rsidP="003813DB">
      <w:pPr>
        <w:pStyle w:val="B1"/>
      </w:pPr>
      <w:r>
        <w:t>-</w:t>
      </w:r>
      <w:r>
        <w:tab/>
      </w:r>
      <w:r w:rsidRPr="001E40E6">
        <w:rPr>
          <w:i/>
        </w:rPr>
        <w:t>totalNumberPortsSimultaneousNZP-CSI-RS-ActBWP-AllCC</w:t>
      </w:r>
      <w:r w:rsidR="00783F19">
        <w:t xml:space="preserve"> (i.e. Total number of </w:t>
      </w:r>
      <w:r w:rsidR="00783F19" w:rsidRPr="00783F19">
        <w:t>CSI-RS ports in simultaneous CSI-RS resources in active BWPs across all CCs</w:t>
      </w:r>
      <w:r w:rsidR="00783F19">
        <w:t>).</w:t>
      </w:r>
    </w:p>
    <w:p w:rsidR="00E34447" w:rsidRPr="00280561" w:rsidRDefault="000959B0" w:rsidP="00280561">
      <w:pPr>
        <w:rPr>
          <w:lang w:eastAsia="ja-JP"/>
        </w:rPr>
      </w:pPr>
      <w:r>
        <w:rPr>
          <w:rFonts w:hint="eastAsia"/>
          <w:lang w:eastAsia="ja-JP"/>
        </w:rPr>
        <w:lastRenderedPageBreak/>
        <w:t>T</w:t>
      </w:r>
      <w:r>
        <w:rPr>
          <w:lang w:eastAsia="ja-JP"/>
        </w:rPr>
        <w:t>hese two capabilities are defined as common to all codebook types. In other words, the UE may have to report the conservative values supported for all codebook types. if these capabilities were defined per codebook type, the UE would be able to report the optimised value for each codebook type.</w:t>
      </w:r>
    </w:p>
    <w:p w:rsidR="00280561" w:rsidRDefault="0019037E" w:rsidP="00280561">
      <w:pPr>
        <w:pStyle w:val="2"/>
        <w:numPr>
          <w:ilvl w:val="1"/>
          <w:numId w:val="2"/>
        </w:numPr>
        <w:rPr>
          <w:rFonts w:cs="Arial"/>
          <w:lang w:eastAsia="ja-JP"/>
        </w:rPr>
      </w:pPr>
      <w:r>
        <w:rPr>
          <w:rFonts w:cs="Arial"/>
          <w:lang w:eastAsia="ja-JP"/>
        </w:rPr>
        <w:t>Solution for the under-reporting problems</w:t>
      </w:r>
    </w:p>
    <w:p w:rsidR="00280561" w:rsidRDefault="005244C8" w:rsidP="00280561">
      <w:pPr>
        <w:rPr>
          <w:lang w:eastAsia="ja-JP"/>
        </w:rPr>
      </w:pPr>
      <w:r>
        <w:rPr>
          <w:rFonts w:hint="eastAsia"/>
          <w:lang w:eastAsia="ja-JP"/>
        </w:rPr>
        <w:t xml:space="preserve">RAN1 recommend </w:t>
      </w:r>
      <w:r w:rsidR="000102B6">
        <w:rPr>
          <w:rFonts w:hint="eastAsia"/>
          <w:lang w:eastAsia="ja-JP"/>
        </w:rPr>
        <w:t>signal</w:t>
      </w:r>
      <w:r>
        <w:rPr>
          <w:lang w:eastAsia="ja-JP"/>
        </w:rPr>
        <w:t>ing</w:t>
      </w:r>
      <w:r w:rsidR="000102B6">
        <w:rPr>
          <w:rFonts w:hint="eastAsia"/>
          <w:lang w:eastAsia="ja-JP"/>
        </w:rPr>
        <w:t xml:space="preserve"> the triplet </w:t>
      </w:r>
      <w:r w:rsidR="000102B6">
        <w:rPr>
          <w:lang w:eastAsia="ja-JP"/>
        </w:rPr>
        <w:t xml:space="preserve">per band per band combination. As noted in the previous contribution [3], </w:t>
      </w:r>
      <w:r>
        <w:rPr>
          <w:lang w:eastAsia="ja-JP"/>
        </w:rPr>
        <w:t xml:space="preserve">it </w:t>
      </w:r>
      <w:r w:rsidRPr="005244C8">
        <w:rPr>
          <w:lang w:eastAsia="ja-JP"/>
        </w:rPr>
        <w:t>was the old structure implemented until the September/2018 version (v15.3.0). As the consequence of extensive discussion between RAN1 and RAN2, the signalling structure was modified from the December/2018 version (v15.4.0), which achieves the reasonable balance between flexibility and signalling overhead.</w:t>
      </w:r>
      <w:r w:rsidR="006478D1">
        <w:rPr>
          <w:lang w:eastAsia="ja-JP"/>
        </w:rPr>
        <w:t xml:space="preserve"> The alternative proposal made in the previous paper is revised as shown below, to address the two problems explained in sub-clause 2.2.</w:t>
      </w:r>
    </w:p>
    <w:p w:rsidR="006478D1" w:rsidRPr="006478D1" w:rsidRDefault="006478D1" w:rsidP="00280561">
      <w:pPr>
        <w:rPr>
          <w:u w:val="single"/>
          <w:lang w:eastAsia="ja-JP"/>
        </w:rPr>
      </w:pPr>
      <w:r w:rsidRPr="006478D1">
        <w:rPr>
          <w:rFonts w:hint="eastAsia"/>
          <w:u w:val="single"/>
          <w:lang w:eastAsia="ja-JP"/>
        </w:rPr>
        <w:t>For Problem 1:</w:t>
      </w:r>
    </w:p>
    <w:p w:rsidR="006478D1" w:rsidRDefault="006478D1" w:rsidP="006478D1">
      <w:pPr>
        <w:pStyle w:val="B1"/>
      </w:pPr>
      <w:r>
        <w:rPr>
          <w:rFonts w:hint="eastAsia"/>
        </w:rPr>
        <w:t>-</w:t>
      </w:r>
      <w:r>
        <w:rPr>
          <w:rFonts w:hint="eastAsia"/>
        </w:rPr>
        <w:tab/>
      </w:r>
      <w:r w:rsidR="00702271">
        <w:t>A UE can report another triplet to indicate the values supported for the TDM case.</w:t>
      </w:r>
    </w:p>
    <w:p w:rsidR="00702271" w:rsidRDefault="00702271" w:rsidP="006478D1">
      <w:pPr>
        <w:pStyle w:val="B1"/>
      </w:pPr>
      <w:r>
        <w:t>-</w:t>
      </w:r>
      <w:r>
        <w:tab/>
        <w:t xml:space="preserve">Another triplet is reported for each codebook type per band (i.e. </w:t>
      </w:r>
      <w:r w:rsidRPr="00702271">
        <w:rPr>
          <w:i/>
        </w:rPr>
        <w:t>MIMO-ParametersPerBand</w:t>
      </w:r>
      <w:r>
        <w:t>).</w:t>
      </w:r>
    </w:p>
    <w:p w:rsidR="006478D1" w:rsidRPr="006478D1" w:rsidRDefault="006478D1" w:rsidP="00280561">
      <w:pPr>
        <w:rPr>
          <w:u w:val="single"/>
          <w:lang w:eastAsia="ja-JP"/>
        </w:rPr>
      </w:pPr>
      <w:r w:rsidRPr="006478D1">
        <w:rPr>
          <w:u w:val="single"/>
          <w:lang w:eastAsia="ja-JP"/>
        </w:rPr>
        <w:t>For Problem 2:</w:t>
      </w:r>
    </w:p>
    <w:p w:rsidR="006478D1" w:rsidRDefault="00012285" w:rsidP="00012285">
      <w:pPr>
        <w:pStyle w:val="B1"/>
      </w:pPr>
      <w:r>
        <w:rPr>
          <w:rFonts w:hint="eastAsia"/>
        </w:rPr>
        <w:t>-</w:t>
      </w:r>
      <w:r>
        <w:rPr>
          <w:rFonts w:hint="eastAsia"/>
        </w:rPr>
        <w:tab/>
      </w:r>
      <w:r w:rsidR="006919AB">
        <w:t>For the TDM case, the UE can report another values of:</w:t>
      </w:r>
    </w:p>
    <w:p w:rsidR="006919AB" w:rsidRDefault="006919AB" w:rsidP="006919AB">
      <w:pPr>
        <w:pStyle w:val="B2"/>
        <w:rPr>
          <w:lang w:eastAsia="ja-JP"/>
        </w:rPr>
      </w:pPr>
      <w:r>
        <w:rPr>
          <w:rFonts w:hint="eastAsia"/>
          <w:lang w:eastAsia="ja-JP"/>
        </w:rPr>
        <w:t>1)</w:t>
      </w:r>
      <w:r>
        <w:rPr>
          <w:rFonts w:hint="eastAsia"/>
          <w:lang w:eastAsia="ja-JP"/>
        </w:rPr>
        <w:tab/>
        <w:t xml:space="preserve">Max. </w:t>
      </w:r>
      <w:r w:rsidRPr="006919AB">
        <w:rPr>
          <w:lang w:eastAsia="ja-JP"/>
        </w:rPr>
        <w:t>number of simultaneous CSI-RS resources in active BWPs across all CCs</w:t>
      </w:r>
      <w:r>
        <w:rPr>
          <w:lang w:eastAsia="ja-JP"/>
        </w:rPr>
        <w:t>;</w:t>
      </w:r>
    </w:p>
    <w:p w:rsidR="006919AB" w:rsidRDefault="006919AB" w:rsidP="006919AB">
      <w:pPr>
        <w:pStyle w:val="B2"/>
        <w:rPr>
          <w:lang w:eastAsia="ja-JP"/>
        </w:rPr>
      </w:pPr>
      <w:r>
        <w:rPr>
          <w:lang w:eastAsia="ja-JP"/>
        </w:rPr>
        <w:t>2)</w:t>
      </w:r>
      <w:r>
        <w:rPr>
          <w:lang w:eastAsia="ja-JP"/>
        </w:rPr>
        <w:tab/>
        <w:t xml:space="preserve">Total number of </w:t>
      </w:r>
      <w:r w:rsidRPr="006919AB">
        <w:rPr>
          <w:lang w:eastAsia="ja-JP"/>
        </w:rPr>
        <w:t>CSI-RS ports in simultaneous CSI-RS resources in active BWPs across all CCs</w:t>
      </w:r>
      <w:r w:rsidR="00C94959">
        <w:rPr>
          <w:lang w:eastAsia="ja-JP"/>
        </w:rPr>
        <w:t>.</w:t>
      </w:r>
    </w:p>
    <w:p w:rsidR="006919AB" w:rsidRDefault="00EE5C5F" w:rsidP="00012285">
      <w:pPr>
        <w:pStyle w:val="B1"/>
      </w:pPr>
      <w:r>
        <w:t>-</w:t>
      </w:r>
      <w:r>
        <w:tab/>
        <w:t xml:space="preserve">A UE can report </w:t>
      </w:r>
      <w:r>
        <w:rPr>
          <w:rFonts w:hint="eastAsia"/>
        </w:rPr>
        <w:t>a</w:t>
      </w:r>
      <w:r w:rsidR="001E1D99">
        <w:t xml:space="preserve"> pair</w:t>
      </w:r>
      <w:r w:rsidR="006919AB">
        <w:t xml:space="preserve"> of 1) and 2) </w:t>
      </w:r>
      <w:r>
        <w:t xml:space="preserve">for each codebook type </w:t>
      </w:r>
      <w:r w:rsidR="006919AB">
        <w:t>per UE.</w:t>
      </w:r>
    </w:p>
    <w:p w:rsidR="006919AB" w:rsidRDefault="006919AB" w:rsidP="00012285">
      <w:pPr>
        <w:pStyle w:val="B1"/>
      </w:pPr>
      <w:r>
        <w:t>-</w:t>
      </w:r>
      <w:r>
        <w:tab/>
        <w:t xml:space="preserve">Per supported band combination, the UE can </w:t>
      </w:r>
      <w:r w:rsidR="00EE5C5F">
        <w:t>indicate supported the set of resources amongst the per-UE signalling</w:t>
      </w:r>
      <w:r>
        <w:t>.</w:t>
      </w:r>
    </w:p>
    <w:p w:rsidR="006478D1" w:rsidRDefault="00C47CDE" w:rsidP="00280561">
      <w:pPr>
        <w:rPr>
          <w:lang w:eastAsia="ja-JP"/>
        </w:rPr>
      </w:pPr>
      <w:r>
        <w:rPr>
          <w:rFonts w:hint="eastAsia"/>
          <w:lang w:eastAsia="ja-JP"/>
        </w:rPr>
        <w:t xml:space="preserve">This revised solution can address </w:t>
      </w:r>
      <w:r>
        <w:rPr>
          <w:lang w:eastAsia="ja-JP"/>
        </w:rPr>
        <w:t>the</w:t>
      </w:r>
      <w:r>
        <w:rPr>
          <w:rFonts w:hint="eastAsia"/>
          <w:lang w:eastAsia="ja-JP"/>
        </w:rPr>
        <w:t xml:space="preserve"> </w:t>
      </w:r>
      <w:r>
        <w:rPr>
          <w:lang w:eastAsia="ja-JP"/>
        </w:rPr>
        <w:t>issues summarised in sub-clause 2.2, whilst reducing the amount of signalling compared to per band per band combination signalling recommended by RAN1. CRs to implement the revised solution are submitted to this e-meeting as in [6, 7]. Even for this solution, the legacy triplet can be used to cap the active CSI-RS ports/resources in a slot, as explained in sub-clause 2.1. In addition, another definition needs to be introduced to cap the active CSI-RS po</w:t>
      </w:r>
      <w:r w:rsidR="00E40265">
        <w:rPr>
          <w:lang w:eastAsia="ja-JP"/>
        </w:rPr>
        <w:t>rts/resources for the TDM case</w:t>
      </w:r>
      <w:r>
        <w:rPr>
          <w:lang w:eastAsia="ja-JP"/>
        </w:rPr>
        <w:t>.</w:t>
      </w:r>
      <w:r w:rsidR="00800AD2">
        <w:rPr>
          <w:lang w:eastAsia="ja-JP"/>
        </w:rPr>
        <w:t xml:space="preserve"> </w:t>
      </w:r>
      <w:r w:rsidR="009E7BD7">
        <w:rPr>
          <w:lang w:eastAsia="ja-JP"/>
        </w:rPr>
        <w:t xml:space="preserve">For Problem 2, further checking would be required whether the maximum value defined in the legacy signalling is enough for the new case. </w:t>
      </w:r>
      <w:r w:rsidR="00800AD2">
        <w:rPr>
          <w:lang w:eastAsia="ja-JP"/>
        </w:rPr>
        <w:t>The draft reply LS to ask RAN1 to do so is also prepared for this e-meeting [8].</w:t>
      </w:r>
    </w:p>
    <w:p w:rsidR="00E57063" w:rsidRDefault="00863065" w:rsidP="00C30470">
      <w:pPr>
        <w:pStyle w:val="2"/>
        <w:numPr>
          <w:ilvl w:val="0"/>
          <w:numId w:val="2"/>
        </w:numPr>
        <w:rPr>
          <w:lang w:eastAsia="ja-JP"/>
        </w:rPr>
      </w:pPr>
      <w:r>
        <w:rPr>
          <w:rFonts w:hint="eastAsia"/>
          <w:lang w:eastAsia="ja-JP"/>
        </w:rPr>
        <w:t>Summary and proposal</w:t>
      </w:r>
    </w:p>
    <w:p w:rsidR="00280561" w:rsidRDefault="00800AD2" w:rsidP="00280561">
      <w:pPr>
        <w:rPr>
          <w:lang w:eastAsia="ja-JP"/>
        </w:rPr>
      </w:pPr>
      <w:r>
        <w:rPr>
          <w:rFonts w:hint="eastAsia"/>
          <w:lang w:eastAsia="ja-JP"/>
        </w:rPr>
        <w:t xml:space="preserve">To address </w:t>
      </w:r>
      <w:r>
        <w:rPr>
          <w:lang w:eastAsia="ja-JP"/>
        </w:rPr>
        <w:t>the</w:t>
      </w:r>
      <w:r>
        <w:rPr>
          <w:rFonts w:hint="eastAsia"/>
          <w:lang w:eastAsia="ja-JP"/>
        </w:rPr>
        <w:t xml:space="preserve"> </w:t>
      </w:r>
      <w:r>
        <w:rPr>
          <w:lang w:eastAsia="ja-JP"/>
        </w:rPr>
        <w:t>under-reporting issues on CSI-RS capabilities, the followings are proposed:</w:t>
      </w:r>
    </w:p>
    <w:p w:rsidR="00280561" w:rsidRPr="00280561" w:rsidRDefault="00280561" w:rsidP="00800AD2">
      <w:pPr>
        <w:pStyle w:val="B1"/>
        <w:ind w:left="1704" w:hanging="1420"/>
        <w:rPr>
          <w:b/>
        </w:rPr>
      </w:pPr>
      <w:r w:rsidRPr="00280561">
        <w:rPr>
          <w:rFonts w:hint="eastAsia"/>
          <w:b/>
        </w:rPr>
        <w:t>Proposal 1:</w:t>
      </w:r>
      <w:r w:rsidRPr="00280561">
        <w:rPr>
          <w:b/>
        </w:rPr>
        <w:tab/>
      </w:r>
      <w:r w:rsidR="00800AD2">
        <w:rPr>
          <w:b/>
        </w:rPr>
        <w:t>Extend the CSI-RS capabilities to support the TDM case for each codebook type as proposed in [6, 7]</w:t>
      </w:r>
    </w:p>
    <w:p w:rsidR="00BC04F7" w:rsidRDefault="00280561" w:rsidP="00800AD2">
      <w:pPr>
        <w:pStyle w:val="B1"/>
        <w:ind w:left="1704" w:hanging="1420"/>
        <w:rPr>
          <w:b/>
        </w:rPr>
      </w:pPr>
      <w:r w:rsidRPr="00280561">
        <w:rPr>
          <w:b/>
        </w:rPr>
        <w:t>Proposal 2:</w:t>
      </w:r>
      <w:r w:rsidRPr="00280561">
        <w:rPr>
          <w:b/>
        </w:rPr>
        <w:tab/>
      </w:r>
      <w:r w:rsidR="009970C0">
        <w:rPr>
          <w:b/>
        </w:rPr>
        <w:t xml:space="preserve">By replying to their LS as in [8], </w:t>
      </w:r>
      <w:r w:rsidR="00BC04F7">
        <w:rPr>
          <w:b/>
        </w:rPr>
        <w:t>Ask RAN1:</w:t>
      </w:r>
    </w:p>
    <w:p w:rsidR="00280561" w:rsidRDefault="00BC04F7" w:rsidP="00BC04F7">
      <w:pPr>
        <w:pStyle w:val="B1"/>
        <w:ind w:left="1988"/>
        <w:rPr>
          <w:b/>
        </w:rPr>
      </w:pPr>
      <w:r>
        <w:rPr>
          <w:b/>
        </w:rPr>
        <w:t>1)</w:t>
      </w:r>
      <w:r>
        <w:rPr>
          <w:b/>
        </w:rPr>
        <w:tab/>
        <w:t xml:space="preserve">to </w:t>
      </w:r>
      <w:r w:rsidR="00800AD2">
        <w:rPr>
          <w:b/>
        </w:rPr>
        <w:t>defi</w:t>
      </w:r>
      <w:r w:rsidR="009970C0">
        <w:rPr>
          <w:b/>
        </w:rPr>
        <w:t xml:space="preserve">ne the </w:t>
      </w:r>
      <w:r w:rsidR="00800AD2">
        <w:rPr>
          <w:b/>
        </w:rPr>
        <w:t>CSI-RS po</w:t>
      </w:r>
      <w:r w:rsidR="009970C0">
        <w:rPr>
          <w:b/>
        </w:rPr>
        <w:t>rts/resources configured for the TDM case;</w:t>
      </w:r>
    </w:p>
    <w:p w:rsidR="00BC04F7" w:rsidRPr="00280561" w:rsidRDefault="00BC04F7" w:rsidP="00BC04F7">
      <w:pPr>
        <w:pStyle w:val="B1"/>
        <w:ind w:left="1988"/>
        <w:rPr>
          <w:b/>
        </w:rPr>
      </w:pPr>
      <w:r>
        <w:rPr>
          <w:b/>
        </w:rPr>
        <w:t>2)</w:t>
      </w:r>
      <w:r>
        <w:rPr>
          <w:b/>
        </w:rPr>
        <w:tab/>
        <w:t>whether Max. number of simultaneous CSI-RS resources</w:t>
      </w:r>
      <w:r w:rsidR="00F76ED4">
        <w:rPr>
          <w:b/>
        </w:rPr>
        <w:t xml:space="preserve"> </w:t>
      </w:r>
      <w:r>
        <w:rPr>
          <w:b/>
        </w:rPr>
        <w:t xml:space="preserve">and </w:t>
      </w:r>
      <w:r w:rsidR="00F76ED4">
        <w:rPr>
          <w:b/>
        </w:rPr>
        <w:t>total Tx ports across all CCs are sufficient to reuse the legacy value (64 and 256, respectively) or larger value is preferred for the TDM case.</w:t>
      </w:r>
    </w:p>
    <w:p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rsidR="00115376" w:rsidRDefault="00115376" w:rsidP="00115376">
      <w:pPr>
        <w:rPr>
          <w:lang w:eastAsia="ja-JP"/>
        </w:rPr>
      </w:pPr>
      <w:r>
        <w:rPr>
          <w:rFonts w:hint="eastAsia"/>
          <w:lang w:eastAsia="ja-JP"/>
        </w:rPr>
        <w:t xml:space="preserve">[1] R2-1916482, </w:t>
      </w:r>
      <w:r>
        <w:rPr>
          <w:lang w:eastAsia="ja-JP"/>
        </w:rPr>
        <w:t>“</w:t>
      </w:r>
      <w:r w:rsidRPr="00115376">
        <w:rPr>
          <w:lang w:eastAsia="ja-JP"/>
        </w:rPr>
        <w:t>LS on Discussion over UE capabilities of FG2-36/2-40/2-41/2-43</w:t>
      </w:r>
      <w:r>
        <w:rPr>
          <w:lang w:eastAsia="ja-JP"/>
        </w:rPr>
        <w:t>,” RAN1.</w:t>
      </w:r>
    </w:p>
    <w:p w:rsidR="00115376" w:rsidRDefault="00115376" w:rsidP="00115376">
      <w:pPr>
        <w:rPr>
          <w:lang w:eastAsia="ja-JP"/>
        </w:rPr>
      </w:pPr>
      <w:r>
        <w:rPr>
          <w:lang w:eastAsia="ja-JP"/>
        </w:rPr>
        <w:t xml:space="preserve">[2] </w:t>
      </w:r>
      <w:r w:rsidR="00F043D3">
        <w:rPr>
          <w:lang w:eastAsia="ja-JP"/>
        </w:rPr>
        <w:t>R2-20xxxx, “RAN2#108</w:t>
      </w:r>
      <w:r w:rsidR="00F043D3" w:rsidRPr="00F043D3">
        <w:rPr>
          <w:lang w:eastAsia="ja-JP"/>
        </w:rPr>
        <w:t xml:space="preserve"> Meeting Report</w:t>
      </w:r>
      <w:r w:rsidR="00F043D3">
        <w:rPr>
          <w:lang w:eastAsia="ja-JP"/>
        </w:rPr>
        <w:t>,” ETSI MCC.</w:t>
      </w:r>
    </w:p>
    <w:p w:rsidR="00810EA7" w:rsidRDefault="00810EA7" w:rsidP="00115376">
      <w:pPr>
        <w:rPr>
          <w:lang w:eastAsia="ja-JP"/>
        </w:rPr>
      </w:pPr>
      <w:r>
        <w:rPr>
          <w:lang w:eastAsia="ja-JP"/>
        </w:rPr>
        <w:t>[3] R2-1916277, “</w:t>
      </w:r>
      <w:r w:rsidRPr="00810EA7">
        <w:rPr>
          <w:lang w:eastAsia="ja-JP"/>
        </w:rPr>
        <w:t>Alternative solution for “under-reporting” CSI-RS capabilities</w:t>
      </w:r>
      <w:r>
        <w:rPr>
          <w:lang w:eastAsia="ja-JP"/>
        </w:rPr>
        <w:t>,” NTT DOCOMO, INC.</w:t>
      </w:r>
    </w:p>
    <w:p w:rsidR="00810EA7" w:rsidRDefault="00810EA7" w:rsidP="00115376">
      <w:pPr>
        <w:rPr>
          <w:lang w:eastAsia="ja-JP"/>
        </w:rPr>
      </w:pPr>
      <w:r>
        <w:rPr>
          <w:lang w:eastAsia="ja-JP"/>
        </w:rPr>
        <w:t xml:space="preserve">[4] </w:t>
      </w:r>
      <w:r w:rsidRPr="00810EA7">
        <w:rPr>
          <w:lang w:eastAsia="ja-JP"/>
        </w:rPr>
        <w:t>R2-1915903, “CR on CSI UE capabilities parameters (38.331),” Huawei, HiSilicon.</w:t>
      </w:r>
    </w:p>
    <w:p w:rsidR="00810EA7" w:rsidRDefault="00810EA7" w:rsidP="00115376">
      <w:pPr>
        <w:rPr>
          <w:lang w:eastAsia="ja-JP"/>
        </w:rPr>
      </w:pPr>
      <w:r>
        <w:rPr>
          <w:lang w:eastAsia="ja-JP"/>
        </w:rPr>
        <w:t xml:space="preserve">[5] </w:t>
      </w:r>
      <w:r w:rsidRPr="00810EA7">
        <w:rPr>
          <w:lang w:eastAsia="ja-JP"/>
        </w:rPr>
        <w:t>R2-1915904, “CR on CSI UE capabilities parameters (38.306),” Huawei, HiSilicon.</w:t>
      </w:r>
    </w:p>
    <w:p w:rsidR="00750479" w:rsidRDefault="00750479" w:rsidP="00115376">
      <w:pPr>
        <w:rPr>
          <w:lang w:eastAsia="ja-JP"/>
        </w:rPr>
      </w:pPr>
      <w:r>
        <w:rPr>
          <w:lang w:eastAsia="ja-JP"/>
        </w:rPr>
        <w:lastRenderedPageBreak/>
        <w:t>[6] R2-2000688, “</w:t>
      </w:r>
      <w:r w:rsidR="00822C28" w:rsidRPr="00822C28">
        <w:rPr>
          <w:lang w:eastAsia="ja-JP"/>
        </w:rPr>
        <w:t>Extension of CSI-RS capabilities per codebook type</w:t>
      </w:r>
      <w:r w:rsidR="00822C28">
        <w:rPr>
          <w:lang w:eastAsia="ja-JP"/>
        </w:rPr>
        <w:t>,” CR to 38.331, NTT DOCOMO, INC.</w:t>
      </w:r>
    </w:p>
    <w:p w:rsidR="00750479" w:rsidRDefault="00750479" w:rsidP="00115376">
      <w:pPr>
        <w:rPr>
          <w:lang w:eastAsia="ja-JP"/>
        </w:rPr>
      </w:pPr>
      <w:r>
        <w:rPr>
          <w:lang w:eastAsia="ja-JP"/>
        </w:rPr>
        <w:t>[7] R2-2000689, “</w:t>
      </w:r>
      <w:r w:rsidR="00822C28" w:rsidRPr="00822C28">
        <w:rPr>
          <w:lang w:eastAsia="ja-JP"/>
        </w:rPr>
        <w:t>Extension of CSI-RS capabilities per codebook type</w:t>
      </w:r>
      <w:r w:rsidR="00822C28">
        <w:rPr>
          <w:lang w:eastAsia="ja-JP"/>
        </w:rPr>
        <w:t>,” CR to 38.331, NTT DOCOMO, INC.</w:t>
      </w:r>
    </w:p>
    <w:p w:rsidR="00822C28" w:rsidRPr="00115376" w:rsidRDefault="00800AD2" w:rsidP="00115376">
      <w:pPr>
        <w:rPr>
          <w:lang w:eastAsia="ja-JP"/>
        </w:rPr>
      </w:pPr>
      <w:r>
        <w:rPr>
          <w:lang w:eastAsia="ja-JP"/>
        </w:rPr>
        <w:t>[8</w:t>
      </w:r>
      <w:r w:rsidR="00822C28">
        <w:rPr>
          <w:lang w:eastAsia="ja-JP"/>
        </w:rPr>
        <w:t>] R2-2000690, “</w:t>
      </w:r>
      <w:r w:rsidR="00822C28" w:rsidRPr="00822C28">
        <w:rPr>
          <w:lang w:eastAsia="ja-JP"/>
        </w:rPr>
        <w:t>[DRAFT]  Reply LS on CSI-RS capabilities (FG 2-33/36/40/41/43)</w:t>
      </w:r>
      <w:r w:rsidR="00822C28">
        <w:rPr>
          <w:lang w:eastAsia="ja-JP"/>
        </w:rPr>
        <w:t>,” NTT DOCOMO, INC.</w:t>
      </w:r>
    </w:p>
    <w:sectPr w:rsidR="00822C28" w:rsidRPr="00115376">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349" w:rsidRDefault="00454349">
      <w:r>
        <w:separator/>
      </w:r>
    </w:p>
  </w:endnote>
  <w:endnote w:type="continuationSeparator" w:id="0">
    <w:p w:rsidR="00454349" w:rsidRDefault="00454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783F0B">
      <w:rPr>
        <w:rStyle w:val="af7"/>
      </w:rPr>
      <w:t>1</w:t>
    </w:r>
    <w:r>
      <w:rPr>
        <w:rStyle w:val="af7"/>
      </w:rPr>
      <w:fldChar w:fldCharType="end"/>
    </w:r>
  </w:p>
  <w:p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349" w:rsidRDefault="00454349">
      <w:r>
        <w:separator/>
      </w:r>
    </w:p>
  </w:footnote>
  <w:footnote w:type="continuationSeparator" w:id="0">
    <w:p w:rsidR="00454349" w:rsidRDefault="00454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02B6"/>
    <w:rsid w:val="000121D8"/>
    <w:rsid w:val="00012285"/>
    <w:rsid w:val="00013589"/>
    <w:rsid w:val="00013E09"/>
    <w:rsid w:val="00015391"/>
    <w:rsid w:val="000153BC"/>
    <w:rsid w:val="00015C84"/>
    <w:rsid w:val="00017AD0"/>
    <w:rsid w:val="000202F8"/>
    <w:rsid w:val="00020A67"/>
    <w:rsid w:val="00021B75"/>
    <w:rsid w:val="0002248D"/>
    <w:rsid w:val="0002253D"/>
    <w:rsid w:val="0002295B"/>
    <w:rsid w:val="000233EB"/>
    <w:rsid w:val="00024292"/>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3B2C"/>
    <w:rsid w:val="000648E4"/>
    <w:rsid w:val="00065827"/>
    <w:rsid w:val="00065908"/>
    <w:rsid w:val="00066137"/>
    <w:rsid w:val="000704F5"/>
    <w:rsid w:val="000706D0"/>
    <w:rsid w:val="00070FEF"/>
    <w:rsid w:val="000711D0"/>
    <w:rsid w:val="00071866"/>
    <w:rsid w:val="00076C4C"/>
    <w:rsid w:val="00077440"/>
    <w:rsid w:val="0008050D"/>
    <w:rsid w:val="00080E86"/>
    <w:rsid w:val="00081AFC"/>
    <w:rsid w:val="0008389D"/>
    <w:rsid w:val="000856C5"/>
    <w:rsid w:val="00085C05"/>
    <w:rsid w:val="00086571"/>
    <w:rsid w:val="00086D94"/>
    <w:rsid w:val="00087B64"/>
    <w:rsid w:val="00091984"/>
    <w:rsid w:val="00091E5B"/>
    <w:rsid w:val="00093257"/>
    <w:rsid w:val="0009375D"/>
    <w:rsid w:val="000945B8"/>
    <w:rsid w:val="0009539E"/>
    <w:rsid w:val="000958BD"/>
    <w:rsid w:val="000959B0"/>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5376"/>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521"/>
    <w:rsid w:val="00137A2D"/>
    <w:rsid w:val="001401A0"/>
    <w:rsid w:val="00140338"/>
    <w:rsid w:val="00141A0C"/>
    <w:rsid w:val="001424D2"/>
    <w:rsid w:val="001424F8"/>
    <w:rsid w:val="00142775"/>
    <w:rsid w:val="00142AE1"/>
    <w:rsid w:val="001444E2"/>
    <w:rsid w:val="0014524C"/>
    <w:rsid w:val="00147408"/>
    <w:rsid w:val="00147B9C"/>
    <w:rsid w:val="00150792"/>
    <w:rsid w:val="00151C4B"/>
    <w:rsid w:val="00152220"/>
    <w:rsid w:val="001532CE"/>
    <w:rsid w:val="00153DA3"/>
    <w:rsid w:val="001542AA"/>
    <w:rsid w:val="00154762"/>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CF2"/>
    <w:rsid w:val="00183D2C"/>
    <w:rsid w:val="00184730"/>
    <w:rsid w:val="00184B73"/>
    <w:rsid w:val="00187C58"/>
    <w:rsid w:val="00187D7B"/>
    <w:rsid w:val="0019037E"/>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1D99"/>
    <w:rsid w:val="001E2231"/>
    <w:rsid w:val="001E27A8"/>
    <w:rsid w:val="001E301F"/>
    <w:rsid w:val="001E3B7F"/>
    <w:rsid w:val="001E40E6"/>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0561"/>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4639"/>
    <w:rsid w:val="002B55C7"/>
    <w:rsid w:val="002B63BC"/>
    <w:rsid w:val="002C017B"/>
    <w:rsid w:val="002C050A"/>
    <w:rsid w:val="002C05EB"/>
    <w:rsid w:val="002C3195"/>
    <w:rsid w:val="002C3FB4"/>
    <w:rsid w:val="002C40FE"/>
    <w:rsid w:val="002C4324"/>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5050"/>
    <w:rsid w:val="00376210"/>
    <w:rsid w:val="0037636D"/>
    <w:rsid w:val="00376731"/>
    <w:rsid w:val="00376BC4"/>
    <w:rsid w:val="00377B67"/>
    <w:rsid w:val="00377E05"/>
    <w:rsid w:val="003813DB"/>
    <w:rsid w:val="00382F2A"/>
    <w:rsid w:val="00383A91"/>
    <w:rsid w:val="00383AFA"/>
    <w:rsid w:val="0038455D"/>
    <w:rsid w:val="003845B6"/>
    <w:rsid w:val="00384AFC"/>
    <w:rsid w:val="003857C4"/>
    <w:rsid w:val="003864C0"/>
    <w:rsid w:val="00386D9C"/>
    <w:rsid w:val="00390ABD"/>
    <w:rsid w:val="00390EB1"/>
    <w:rsid w:val="00392BA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45A24"/>
    <w:rsid w:val="004503DF"/>
    <w:rsid w:val="0045099B"/>
    <w:rsid w:val="00452197"/>
    <w:rsid w:val="004535F6"/>
    <w:rsid w:val="00453AA5"/>
    <w:rsid w:val="00454349"/>
    <w:rsid w:val="004568D5"/>
    <w:rsid w:val="00457503"/>
    <w:rsid w:val="00460671"/>
    <w:rsid w:val="00461E31"/>
    <w:rsid w:val="00461EEF"/>
    <w:rsid w:val="00462788"/>
    <w:rsid w:val="00462FF8"/>
    <w:rsid w:val="0046357B"/>
    <w:rsid w:val="00464491"/>
    <w:rsid w:val="00465AC3"/>
    <w:rsid w:val="00465C26"/>
    <w:rsid w:val="00465FC1"/>
    <w:rsid w:val="00466C4B"/>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A63EA"/>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4F54"/>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44C8"/>
    <w:rsid w:val="005263CD"/>
    <w:rsid w:val="00526706"/>
    <w:rsid w:val="005272E9"/>
    <w:rsid w:val="00531768"/>
    <w:rsid w:val="00531C2C"/>
    <w:rsid w:val="00533D4F"/>
    <w:rsid w:val="00533FE0"/>
    <w:rsid w:val="00534FE9"/>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8D9"/>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253B"/>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478D1"/>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9AB"/>
    <w:rsid w:val="00691BA6"/>
    <w:rsid w:val="0069218F"/>
    <w:rsid w:val="006948EA"/>
    <w:rsid w:val="00695426"/>
    <w:rsid w:val="006963D6"/>
    <w:rsid w:val="006963F5"/>
    <w:rsid w:val="006974A0"/>
    <w:rsid w:val="00697B41"/>
    <w:rsid w:val="006A00CA"/>
    <w:rsid w:val="006A26F8"/>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3944"/>
    <w:rsid w:val="006E42E7"/>
    <w:rsid w:val="006E50F8"/>
    <w:rsid w:val="006E5D1C"/>
    <w:rsid w:val="006E61C2"/>
    <w:rsid w:val="006E6B6C"/>
    <w:rsid w:val="006E70B5"/>
    <w:rsid w:val="006F2AFB"/>
    <w:rsid w:val="006F30E0"/>
    <w:rsid w:val="006F781C"/>
    <w:rsid w:val="006F79ED"/>
    <w:rsid w:val="00700D94"/>
    <w:rsid w:val="00702271"/>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7FF"/>
    <w:rsid w:val="00731FDA"/>
    <w:rsid w:val="007342B3"/>
    <w:rsid w:val="007346B4"/>
    <w:rsid w:val="00736B15"/>
    <w:rsid w:val="00737400"/>
    <w:rsid w:val="0074048B"/>
    <w:rsid w:val="00740FE2"/>
    <w:rsid w:val="007413A0"/>
    <w:rsid w:val="00741A47"/>
    <w:rsid w:val="00743D97"/>
    <w:rsid w:val="00744569"/>
    <w:rsid w:val="00744924"/>
    <w:rsid w:val="007452FD"/>
    <w:rsid w:val="007458EF"/>
    <w:rsid w:val="00747190"/>
    <w:rsid w:val="00747F11"/>
    <w:rsid w:val="0075037F"/>
    <w:rsid w:val="00750479"/>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3F0B"/>
    <w:rsid w:val="00783F19"/>
    <w:rsid w:val="007846D1"/>
    <w:rsid w:val="00785315"/>
    <w:rsid w:val="007915EE"/>
    <w:rsid w:val="007926BB"/>
    <w:rsid w:val="00792E35"/>
    <w:rsid w:val="00794CDA"/>
    <w:rsid w:val="00794F2E"/>
    <w:rsid w:val="00794FAF"/>
    <w:rsid w:val="0079594D"/>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C30"/>
    <w:rsid w:val="007B4F35"/>
    <w:rsid w:val="007B54BF"/>
    <w:rsid w:val="007B5A08"/>
    <w:rsid w:val="007B5A89"/>
    <w:rsid w:val="007B62F5"/>
    <w:rsid w:val="007B736B"/>
    <w:rsid w:val="007B7817"/>
    <w:rsid w:val="007B7A28"/>
    <w:rsid w:val="007C0C4B"/>
    <w:rsid w:val="007C0E65"/>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66CD"/>
    <w:rsid w:val="007F0DC5"/>
    <w:rsid w:val="007F1345"/>
    <w:rsid w:val="007F15D5"/>
    <w:rsid w:val="007F1CA3"/>
    <w:rsid w:val="007F3983"/>
    <w:rsid w:val="007F45AA"/>
    <w:rsid w:val="007F4D0E"/>
    <w:rsid w:val="00800148"/>
    <w:rsid w:val="00800AD2"/>
    <w:rsid w:val="00800B9C"/>
    <w:rsid w:val="00802B4E"/>
    <w:rsid w:val="00803F71"/>
    <w:rsid w:val="008042F5"/>
    <w:rsid w:val="008047DB"/>
    <w:rsid w:val="0080613C"/>
    <w:rsid w:val="00807224"/>
    <w:rsid w:val="00807FEC"/>
    <w:rsid w:val="00810EA7"/>
    <w:rsid w:val="0081111D"/>
    <w:rsid w:val="00811CE8"/>
    <w:rsid w:val="00813365"/>
    <w:rsid w:val="00813C4D"/>
    <w:rsid w:val="00813C7F"/>
    <w:rsid w:val="008148C8"/>
    <w:rsid w:val="0081707A"/>
    <w:rsid w:val="00821BE1"/>
    <w:rsid w:val="008227E8"/>
    <w:rsid w:val="00822AB7"/>
    <w:rsid w:val="00822C28"/>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61B"/>
    <w:rsid w:val="00895BF4"/>
    <w:rsid w:val="008970B1"/>
    <w:rsid w:val="008A064D"/>
    <w:rsid w:val="008A1A41"/>
    <w:rsid w:val="008A5382"/>
    <w:rsid w:val="008A5816"/>
    <w:rsid w:val="008B0487"/>
    <w:rsid w:val="008B04B7"/>
    <w:rsid w:val="008B1003"/>
    <w:rsid w:val="008B5579"/>
    <w:rsid w:val="008B6355"/>
    <w:rsid w:val="008C0FB0"/>
    <w:rsid w:val="008C126C"/>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474E"/>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024"/>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0C0"/>
    <w:rsid w:val="00997296"/>
    <w:rsid w:val="0099790E"/>
    <w:rsid w:val="009A0380"/>
    <w:rsid w:val="009A056D"/>
    <w:rsid w:val="009A0E57"/>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E7BD7"/>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0D79"/>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22F"/>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60D"/>
    <w:rsid w:val="00B87F92"/>
    <w:rsid w:val="00B9078B"/>
    <w:rsid w:val="00B90BA7"/>
    <w:rsid w:val="00B92411"/>
    <w:rsid w:val="00B93111"/>
    <w:rsid w:val="00B93909"/>
    <w:rsid w:val="00B97052"/>
    <w:rsid w:val="00BA0743"/>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4F7"/>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579"/>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49F7"/>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47CDE"/>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123"/>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17E0"/>
    <w:rsid w:val="00C82BB3"/>
    <w:rsid w:val="00C834BE"/>
    <w:rsid w:val="00C84749"/>
    <w:rsid w:val="00C848BB"/>
    <w:rsid w:val="00C85807"/>
    <w:rsid w:val="00C87E97"/>
    <w:rsid w:val="00C87EC8"/>
    <w:rsid w:val="00C91CB1"/>
    <w:rsid w:val="00C92854"/>
    <w:rsid w:val="00C93FA1"/>
    <w:rsid w:val="00C9471A"/>
    <w:rsid w:val="00C94959"/>
    <w:rsid w:val="00C958AD"/>
    <w:rsid w:val="00C95C44"/>
    <w:rsid w:val="00C96643"/>
    <w:rsid w:val="00CA14F1"/>
    <w:rsid w:val="00CA2060"/>
    <w:rsid w:val="00CA2EDB"/>
    <w:rsid w:val="00CA5534"/>
    <w:rsid w:val="00CA5A7C"/>
    <w:rsid w:val="00CA6741"/>
    <w:rsid w:val="00CA76FC"/>
    <w:rsid w:val="00CB06EA"/>
    <w:rsid w:val="00CB0F89"/>
    <w:rsid w:val="00CB267F"/>
    <w:rsid w:val="00CB4250"/>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900"/>
    <w:rsid w:val="00CE3E8E"/>
    <w:rsid w:val="00CE4F19"/>
    <w:rsid w:val="00CE5519"/>
    <w:rsid w:val="00CE556A"/>
    <w:rsid w:val="00CE5838"/>
    <w:rsid w:val="00CE6D53"/>
    <w:rsid w:val="00CE7CEC"/>
    <w:rsid w:val="00CF42D3"/>
    <w:rsid w:val="00CF4827"/>
    <w:rsid w:val="00CF5991"/>
    <w:rsid w:val="00CF5C6E"/>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43E1"/>
    <w:rsid w:val="00E15141"/>
    <w:rsid w:val="00E156BF"/>
    <w:rsid w:val="00E15D5B"/>
    <w:rsid w:val="00E16F42"/>
    <w:rsid w:val="00E20F48"/>
    <w:rsid w:val="00E21828"/>
    <w:rsid w:val="00E231E4"/>
    <w:rsid w:val="00E27ACE"/>
    <w:rsid w:val="00E3061E"/>
    <w:rsid w:val="00E30A37"/>
    <w:rsid w:val="00E315E8"/>
    <w:rsid w:val="00E31E4A"/>
    <w:rsid w:val="00E33688"/>
    <w:rsid w:val="00E34447"/>
    <w:rsid w:val="00E34D3C"/>
    <w:rsid w:val="00E354CA"/>
    <w:rsid w:val="00E36E3A"/>
    <w:rsid w:val="00E3778E"/>
    <w:rsid w:val="00E40265"/>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4A69"/>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1C82"/>
    <w:rsid w:val="00ED2524"/>
    <w:rsid w:val="00ED4D80"/>
    <w:rsid w:val="00ED53E0"/>
    <w:rsid w:val="00ED7090"/>
    <w:rsid w:val="00EE00BA"/>
    <w:rsid w:val="00EE0DB8"/>
    <w:rsid w:val="00EE0E1C"/>
    <w:rsid w:val="00EE26DE"/>
    <w:rsid w:val="00EE351D"/>
    <w:rsid w:val="00EE582B"/>
    <w:rsid w:val="00EE5B59"/>
    <w:rsid w:val="00EE5C5F"/>
    <w:rsid w:val="00EE6CAC"/>
    <w:rsid w:val="00EE74DF"/>
    <w:rsid w:val="00EF185F"/>
    <w:rsid w:val="00EF678F"/>
    <w:rsid w:val="00EF6A71"/>
    <w:rsid w:val="00F0000C"/>
    <w:rsid w:val="00F03C74"/>
    <w:rsid w:val="00F043D3"/>
    <w:rsid w:val="00F05050"/>
    <w:rsid w:val="00F10684"/>
    <w:rsid w:val="00F114DC"/>
    <w:rsid w:val="00F115C8"/>
    <w:rsid w:val="00F11995"/>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94F"/>
    <w:rsid w:val="00F54F0F"/>
    <w:rsid w:val="00F565FC"/>
    <w:rsid w:val="00F6031F"/>
    <w:rsid w:val="00F62C03"/>
    <w:rsid w:val="00F62F9E"/>
    <w:rsid w:val="00F63955"/>
    <w:rsid w:val="00F648DE"/>
    <w:rsid w:val="00F65EB3"/>
    <w:rsid w:val="00F66025"/>
    <w:rsid w:val="00F67F48"/>
    <w:rsid w:val="00F71EA1"/>
    <w:rsid w:val="00F74A60"/>
    <w:rsid w:val="00F75FBE"/>
    <w:rsid w:val="00F76ED4"/>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316582"/>
  <w15:chartTrackingRefBased/>
  <w15:docId w15:val="{5DAB39E2-9C27-4F5B-B674-2A49E9A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20">
    <w:name w:val="見出し 2 (文字)"/>
    <w:aliases w:val="Head2A (文字),2 (文字),H2 (文字),h2 (文字)"/>
    <w:basedOn w:val="a0"/>
    <w:link w:val="2"/>
    <w:rsid w:val="0028056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974</Words>
  <Characters>5557</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 INC.</cp:lastModifiedBy>
  <cp:revision>3</cp:revision>
  <cp:lastPrinted>2006-02-09T00:55:00Z</cp:lastPrinted>
  <dcterms:created xsi:type="dcterms:W3CDTF">2020-02-14T07:37:00Z</dcterms:created>
  <dcterms:modified xsi:type="dcterms:W3CDTF">2020-02-14T07:37:00Z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