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A80F4" w14:textId="61BEE19B" w:rsidR="001841BA" w:rsidRPr="003A26BC" w:rsidRDefault="001C2AF5" w:rsidP="003A26BC">
      <w:pPr>
        <w:keepLines/>
        <w:widowControl/>
        <w:tabs>
          <w:tab w:val="left" w:pos="567"/>
        </w:tabs>
        <w:adjustRightInd w:val="0"/>
        <w:snapToGrid w:val="0"/>
        <w:spacing w:after="0" w:line="276" w:lineRule="auto"/>
        <w:jc w:val="left"/>
        <w:rPr>
          <w:rFonts w:eastAsia="SimSun" w:cs="Arial"/>
          <w:b/>
          <w:kern w:val="0"/>
          <w:sz w:val="28"/>
          <w:szCs w:val="28"/>
          <w:lang w:val="en-US" w:eastAsia="en-US"/>
        </w:rPr>
      </w:pPr>
      <w:r w:rsidRPr="003A26BC">
        <w:rPr>
          <w:rFonts w:eastAsia="SimSun" w:cs="Arial"/>
          <w:b/>
          <w:kern w:val="0"/>
          <w:sz w:val="28"/>
          <w:szCs w:val="28"/>
          <w:lang w:val="en-US" w:eastAsia="en-US"/>
        </w:rPr>
        <w:t>3GPP TSG-RAN</w:t>
      </w:r>
      <w:r w:rsidR="00140571">
        <w:rPr>
          <w:rFonts w:eastAsia="SimSun" w:cs="Arial"/>
          <w:b/>
          <w:kern w:val="0"/>
          <w:sz w:val="28"/>
          <w:szCs w:val="28"/>
          <w:lang w:val="en-US" w:eastAsia="en-US"/>
        </w:rPr>
        <w:t>2</w:t>
      </w:r>
      <w:r w:rsidR="003A26BC" w:rsidRPr="003A26BC">
        <w:rPr>
          <w:rFonts w:eastAsia="SimSun" w:cs="Arial"/>
          <w:b/>
          <w:kern w:val="0"/>
          <w:sz w:val="28"/>
          <w:szCs w:val="28"/>
          <w:lang w:val="en-US" w:eastAsia="en-US"/>
        </w:rPr>
        <w:t xml:space="preserve"> Meeting </w:t>
      </w:r>
      <w:r w:rsidRPr="003A26BC">
        <w:rPr>
          <w:rFonts w:eastAsia="SimSun" w:cs="Arial"/>
          <w:b/>
          <w:kern w:val="0"/>
          <w:sz w:val="28"/>
          <w:szCs w:val="28"/>
          <w:lang w:val="en-US" w:eastAsia="en-US"/>
        </w:rPr>
        <w:t>#</w:t>
      </w:r>
      <w:r w:rsidR="00D70268">
        <w:rPr>
          <w:rFonts w:eastAsia="SimSun" w:cs="Arial"/>
          <w:b/>
          <w:kern w:val="0"/>
          <w:sz w:val="28"/>
          <w:szCs w:val="28"/>
          <w:lang w:val="en-US" w:eastAsia="en-US"/>
        </w:rPr>
        <w:t>107-bis</w:t>
      </w:r>
      <w:r w:rsidR="00CB447F"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Pr="003A26BC">
        <w:rPr>
          <w:rFonts w:eastAsia="SimSun" w:cs="Arial"/>
          <w:b/>
          <w:kern w:val="0"/>
          <w:sz w:val="28"/>
          <w:szCs w:val="28"/>
          <w:lang w:val="en-US" w:eastAsia="en-US"/>
        </w:rPr>
        <w:t xml:space="preserve">    </w:t>
      </w:r>
      <w:r w:rsidRPr="003A26BC">
        <w:rPr>
          <w:rFonts w:eastAsia="SimSun" w:cs="Arial"/>
          <w:b/>
          <w:kern w:val="0"/>
          <w:sz w:val="28"/>
          <w:szCs w:val="28"/>
          <w:lang w:val="en-US" w:eastAsia="en-US"/>
        </w:rPr>
        <w:tab/>
        <w:t xml:space="preserve"> </w:t>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00140571">
        <w:rPr>
          <w:rFonts w:eastAsia="SimSun" w:cs="Arial"/>
          <w:b/>
          <w:kern w:val="0"/>
          <w:sz w:val="28"/>
          <w:szCs w:val="28"/>
          <w:lang w:val="en-US" w:eastAsia="en-US"/>
        </w:rPr>
        <w:t xml:space="preserve"> </w:t>
      </w:r>
      <w:r w:rsidR="00BF7DF9" w:rsidRPr="00BF7DF9">
        <w:rPr>
          <w:rFonts w:eastAsia="SimSun" w:cs="Arial"/>
          <w:b/>
          <w:kern w:val="0"/>
          <w:sz w:val="28"/>
          <w:szCs w:val="28"/>
          <w:lang w:val="en-US" w:eastAsia="en-US"/>
        </w:rPr>
        <w:t>R2-1913368</w:t>
      </w:r>
    </w:p>
    <w:p w14:paraId="0701DC79" w14:textId="163333C9" w:rsidR="001841BA" w:rsidRDefault="00D70268" w:rsidP="003A26BC">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Chongqing</w:t>
      </w:r>
      <w:r w:rsidR="001C2AF5" w:rsidRPr="003A26BC">
        <w:rPr>
          <w:rFonts w:eastAsia="SimSun" w:cs="Arial"/>
          <w:b/>
          <w:kern w:val="0"/>
          <w:sz w:val="28"/>
          <w:szCs w:val="28"/>
          <w:lang w:val="en-US" w:eastAsia="en-US"/>
        </w:rPr>
        <w:t xml:space="preserve">, </w:t>
      </w:r>
      <w:r>
        <w:rPr>
          <w:rFonts w:eastAsia="SimSun" w:cs="Arial"/>
          <w:b/>
          <w:kern w:val="0"/>
          <w:sz w:val="28"/>
          <w:szCs w:val="28"/>
          <w:lang w:val="en-US" w:eastAsia="en-US"/>
        </w:rPr>
        <w:t>China</w:t>
      </w:r>
      <w:r w:rsidR="003A26BC" w:rsidRPr="003A26BC">
        <w:rPr>
          <w:rFonts w:eastAsia="SimSun" w:cs="Arial"/>
          <w:b/>
          <w:kern w:val="0"/>
          <w:sz w:val="28"/>
          <w:szCs w:val="28"/>
          <w:lang w:val="en-US" w:eastAsia="en-US"/>
        </w:rPr>
        <w:t xml:space="preserve">, </w:t>
      </w:r>
      <w:r>
        <w:rPr>
          <w:rFonts w:eastAsia="SimSun" w:cs="Arial"/>
          <w:b/>
          <w:kern w:val="0"/>
          <w:sz w:val="28"/>
          <w:szCs w:val="28"/>
          <w:lang w:val="en-US" w:eastAsia="en-US"/>
        </w:rPr>
        <w:t>14</w:t>
      </w:r>
      <w:r w:rsidR="003A26BC" w:rsidRPr="003A26BC">
        <w:rPr>
          <w:rFonts w:eastAsia="SimSun" w:cs="Arial"/>
          <w:b/>
          <w:kern w:val="0"/>
          <w:sz w:val="28"/>
          <w:szCs w:val="28"/>
          <w:lang w:val="en-US" w:eastAsia="en-US"/>
        </w:rPr>
        <w:t>–</w:t>
      </w:r>
      <w:r>
        <w:rPr>
          <w:rFonts w:eastAsia="SimSun" w:cs="Arial"/>
          <w:b/>
          <w:kern w:val="0"/>
          <w:sz w:val="28"/>
          <w:szCs w:val="28"/>
          <w:lang w:val="en-US" w:eastAsia="en-US"/>
        </w:rPr>
        <w:t>18</w:t>
      </w:r>
      <w:r w:rsidR="001C2AF5" w:rsidRPr="003A26BC">
        <w:rPr>
          <w:rFonts w:eastAsia="SimSun" w:cs="Arial"/>
          <w:b/>
          <w:kern w:val="0"/>
          <w:sz w:val="28"/>
          <w:szCs w:val="28"/>
          <w:lang w:val="en-US" w:eastAsia="en-US"/>
        </w:rPr>
        <w:t xml:space="preserve"> </w:t>
      </w:r>
      <w:proofErr w:type="gramStart"/>
      <w:r>
        <w:rPr>
          <w:rFonts w:eastAsia="SimSun" w:cs="Arial"/>
          <w:b/>
          <w:kern w:val="0"/>
          <w:sz w:val="28"/>
          <w:szCs w:val="28"/>
          <w:lang w:val="en-US" w:eastAsia="en-US"/>
        </w:rPr>
        <w:t>October</w:t>
      </w:r>
      <w:r w:rsidR="001C2AF5" w:rsidRPr="003A26BC">
        <w:rPr>
          <w:rFonts w:eastAsia="SimSun" w:cs="Arial"/>
          <w:b/>
          <w:kern w:val="0"/>
          <w:sz w:val="28"/>
          <w:szCs w:val="28"/>
          <w:lang w:val="en-US" w:eastAsia="en-US"/>
        </w:rPr>
        <w:t>,</w:t>
      </w:r>
      <w:proofErr w:type="gramEnd"/>
      <w:r w:rsidR="001C2AF5" w:rsidRPr="003A26BC">
        <w:rPr>
          <w:rFonts w:eastAsia="SimSun" w:cs="Arial"/>
          <w:b/>
          <w:kern w:val="0"/>
          <w:sz w:val="28"/>
          <w:szCs w:val="28"/>
          <w:lang w:val="en-US" w:eastAsia="en-US"/>
        </w:rPr>
        <w:t xml:space="preserve"> </w:t>
      </w:r>
      <w:r>
        <w:rPr>
          <w:rFonts w:eastAsia="SimSun" w:cs="Arial"/>
          <w:b/>
          <w:kern w:val="0"/>
          <w:sz w:val="28"/>
          <w:szCs w:val="28"/>
          <w:lang w:val="en-US" w:eastAsia="en-US"/>
        </w:rPr>
        <w:t>2019</w:t>
      </w:r>
      <w:r w:rsidR="001C2AF5" w:rsidRPr="003A26BC">
        <w:rPr>
          <w:rFonts w:eastAsia="SimSun" w:cs="Arial"/>
          <w:b/>
          <w:kern w:val="0"/>
          <w:sz w:val="28"/>
          <w:szCs w:val="28"/>
          <w:lang w:val="en-US" w:eastAsia="en-US"/>
        </w:rPr>
        <w:tab/>
      </w:r>
      <w:r w:rsidR="001C2AF5">
        <w:rPr>
          <w:rFonts w:cs="Arial"/>
          <w:b/>
          <w:bCs/>
          <w:kern w:val="0"/>
          <w:sz w:val="28"/>
          <w:szCs w:val="28"/>
        </w:rPr>
        <w:tab/>
        <w:t xml:space="preserve">      </w:t>
      </w:r>
      <w:r w:rsidR="001C2AF5">
        <w:rPr>
          <w:rFonts w:cs="Arial"/>
          <w:b/>
          <w:bCs/>
          <w:color w:val="D9D9D9" w:themeColor="background1" w:themeShade="D9"/>
          <w:kern w:val="0"/>
          <w:sz w:val="20"/>
          <w:szCs w:val="28"/>
        </w:rPr>
        <w:t xml:space="preserve">   </w:t>
      </w:r>
    </w:p>
    <w:p w14:paraId="0BC81CE6" w14:textId="1C72FE37" w:rsidR="001841BA" w:rsidRDefault="001C2AF5" w:rsidP="003A26BC">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w:t>
      </w:r>
      <w:r w:rsidR="00140571">
        <w:rPr>
          <w:rFonts w:cs="Arial"/>
          <w:b/>
          <w:bCs/>
          <w:snapToGrid w:val="0"/>
          <w:kern w:val="0"/>
          <w:sz w:val="28"/>
          <w:szCs w:val="28"/>
        </w:rPr>
        <w:t>, Sanechips</w:t>
      </w:r>
      <w:r w:rsidR="00962289">
        <w:rPr>
          <w:rFonts w:cs="Arial"/>
          <w:b/>
          <w:bCs/>
          <w:snapToGrid w:val="0"/>
          <w:kern w:val="0"/>
          <w:sz w:val="28"/>
          <w:szCs w:val="28"/>
        </w:rPr>
        <w:t>, Qualcomm</w:t>
      </w:r>
      <w:r w:rsidR="00DA72EF">
        <w:rPr>
          <w:rFonts w:cs="Arial"/>
          <w:b/>
          <w:bCs/>
          <w:snapToGrid w:val="0"/>
          <w:kern w:val="0"/>
          <w:sz w:val="28"/>
          <w:szCs w:val="28"/>
        </w:rPr>
        <w:t>, Fujitsu</w:t>
      </w:r>
    </w:p>
    <w:p w14:paraId="1709523D" w14:textId="596FDD81" w:rsidR="001841BA" w:rsidRDefault="001C2AF5">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D70268">
        <w:rPr>
          <w:rFonts w:cs="Arial"/>
          <w:b/>
          <w:bCs/>
          <w:snapToGrid w:val="0"/>
          <w:kern w:val="0"/>
          <w:sz w:val="28"/>
          <w:szCs w:val="28"/>
        </w:rPr>
        <w:t>Support of CFRA with 2-step RACH</w:t>
      </w:r>
      <w:r>
        <w:rPr>
          <w:rFonts w:cs="Arial"/>
          <w:b/>
          <w:bCs/>
          <w:snapToGrid w:val="0"/>
          <w:kern w:val="0"/>
          <w:sz w:val="28"/>
          <w:szCs w:val="28"/>
        </w:rPr>
        <w:t xml:space="preserve"> </w:t>
      </w:r>
    </w:p>
    <w:p w14:paraId="5BA4A7DB" w14:textId="489C9767"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D70268">
        <w:rPr>
          <w:rFonts w:cs="Arial"/>
          <w:b/>
          <w:bCs/>
          <w:snapToGrid w:val="0"/>
          <w:kern w:val="0"/>
          <w:sz w:val="28"/>
          <w:szCs w:val="28"/>
        </w:rPr>
        <w:t>6.13.6</w:t>
      </w:r>
    </w:p>
    <w:p w14:paraId="56C85127" w14:textId="77777777"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DDE21C7"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04533"/>
      <w:bookmarkStart w:id="4" w:name="_Toc18413600"/>
      <w:r>
        <w:rPr>
          <w:rFonts w:cs="Arial"/>
          <w:b w:val="0"/>
          <w:bCs w:val="0"/>
          <w:kern w:val="0"/>
          <w:sz w:val="32"/>
          <w:szCs w:val="36"/>
        </w:rPr>
        <w:t>Introduction</w:t>
      </w:r>
      <w:bookmarkEnd w:id="2"/>
      <w:bookmarkEnd w:id="3"/>
      <w:bookmarkEnd w:id="4"/>
    </w:p>
    <w:p w14:paraId="4481D607" w14:textId="6A1B1C38" w:rsidR="00063E16" w:rsidRDefault="00D70268" w:rsidP="00063E16">
      <w:pPr>
        <w:pStyle w:val="NormalWeb"/>
        <w:spacing w:before="75" w:beforeAutospacing="0" w:after="75" w:afterAutospacing="0" w:line="315" w:lineRule="atLeast"/>
        <w:rPr>
          <w:rFonts w:cs="Arial"/>
          <w:color w:val="000000"/>
          <w:sz w:val="21"/>
        </w:rPr>
      </w:pPr>
      <w:r>
        <w:rPr>
          <w:rFonts w:cs="Arial"/>
          <w:color w:val="000000"/>
          <w:sz w:val="21"/>
        </w:rPr>
        <w:t xml:space="preserve">At RAN#85, the work item for 2-step RACH has been updated adding the CFRA support for HO </w:t>
      </w:r>
      <w:r>
        <w:rPr>
          <w:rFonts w:cs="Arial"/>
          <w:color w:val="000000"/>
          <w:sz w:val="21"/>
        </w:rPr>
        <w:fldChar w:fldCharType="begin"/>
      </w:r>
      <w:r>
        <w:rPr>
          <w:rFonts w:cs="Arial"/>
          <w:color w:val="000000"/>
          <w:sz w:val="21"/>
        </w:rPr>
        <w:instrText xml:space="preserve"> REF _Ref20391630 \r \h </w:instrText>
      </w:r>
      <w:r>
        <w:rPr>
          <w:rFonts w:cs="Arial"/>
          <w:color w:val="000000"/>
          <w:sz w:val="21"/>
        </w:rPr>
      </w:r>
      <w:r>
        <w:rPr>
          <w:rFonts w:cs="Arial"/>
          <w:color w:val="000000"/>
          <w:sz w:val="21"/>
        </w:rPr>
        <w:fldChar w:fldCharType="separate"/>
      </w:r>
      <w:r>
        <w:rPr>
          <w:rFonts w:cs="Arial"/>
          <w:color w:val="000000"/>
          <w:sz w:val="21"/>
        </w:rPr>
        <w:t>[1]</w:t>
      </w:r>
      <w:r>
        <w:rPr>
          <w:rFonts w:cs="Arial"/>
          <w:color w:val="000000"/>
          <w:sz w:val="21"/>
        </w:rPr>
        <w:fldChar w:fldCharType="end"/>
      </w:r>
      <w:r>
        <w:rPr>
          <w:rFonts w:cs="Arial"/>
          <w:color w:val="000000"/>
          <w:sz w:val="21"/>
        </w:rPr>
        <w:t xml:space="preserve">. </w:t>
      </w:r>
      <w:r w:rsidR="00063E16">
        <w:rPr>
          <w:rFonts w:cs="Arial"/>
          <w:color w:val="000000"/>
          <w:sz w:val="21"/>
        </w:rPr>
        <w:t xml:space="preserve">So far, the progress in RAN2 for 2-step RACH assumed only the CBRA. CFRA to support HO in case of 2-step RACH would need some further </w:t>
      </w:r>
      <w:r w:rsidR="00A343FF">
        <w:rPr>
          <w:rFonts w:cs="Arial"/>
          <w:color w:val="000000"/>
          <w:sz w:val="21"/>
        </w:rPr>
        <w:t>work</w:t>
      </w:r>
      <w:r w:rsidR="00063E16">
        <w:rPr>
          <w:rFonts w:cs="Arial"/>
          <w:color w:val="000000"/>
          <w:sz w:val="21"/>
        </w:rPr>
        <w:t xml:space="preserve"> in RAN2. The main open issues are:</w:t>
      </w:r>
    </w:p>
    <w:p w14:paraId="43FCB611" w14:textId="3D134409" w:rsidR="00063E16" w:rsidRPr="00D70268" w:rsidRDefault="00063E16" w:rsidP="00063E16">
      <w:pPr>
        <w:pStyle w:val="NormalWeb"/>
        <w:numPr>
          <w:ilvl w:val="0"/>
          <w:numId w:val="14"/>
        </w:numPr>
        <w:spacing w:before="75" w:beforeAutospacing="0" w:after="75" w:afterAutospacing="0" w:line="315" w:lineRule="atLeast"/>
        <w:rPr>
          <w:rFonts w:cs="Arial"/>
          <w:b/>
          <w:bCs/>
          <w:color w:val="000000"/>
          <w:sz w:val="21"/>
          <w:u w:val="single"/>
        </w:rPr>
      </w:pPr>
      <w:r w:rsidRPr="00D70268">
        <w:rPr>
          <w:rFonts w:cs="Arial"/>
          <w:b/>
          <w:bCs/>
          <w:color w:val="000000"/>
          <w:sz w:val="21"/>
          <w:u w:val="single"/>
        </w:rPr>
        <w:t>CFRA procedure related aspects</w:t>
      </w:r>
      <w:r>
        <w:rPr>
          <w:rFonts w:cs="Arial"/>
          <w:b/>
          <w:bCs/>
          <w:color w:val="000000"/>
          <w:sz w:val="21"/>
          <w:u w:val="single"/>
        </w:rPr>
        <w:t xml:space="preserve"> (impacts mainly MAC layer)</w:t>
      </w:r>
    </w:p>
    <w:p w14:paraId="50E176C0" w14:textId="77777777" w:rsidR="00063E16" w:rsidRDefault="00063E16"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RA type selection</w:t>
      </w:r>
    </w:p>
    <w:p w14:paraId="74959603" w14:textId="77777777" w:rsidR="00063E16" w:rsidRDefault="00063E16"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Inclusion of C-RNTI in MSGA</w:t>
      </w:r>
    </w:p>
    <w:p w14:paraId="29A8F15E" w14:textId="77777777" w:rsidR="00063E16" w:rsidRDefault="00063E16"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Support of fallback</w:t>
      </w:r>
    </w:p>
    <w:p w14:paraId="51407BCA" w14:textId="4D40AD18" w:rsidR="00063E16" w:rsidRPr="00D70268" w:rsidRDefault="00063E16" w:rsidP="00063E16">
      <w:pPr>
        <w:pStyle w:val="NormalWeb"/>
        <w:numPr>
          <w:ilvl w:val="0"/>
          <w:numId w:val="14"/>
        </w:numPr>
        <w:spacing w:before="75" w:beforeAutospacing="0" w:after="75" w:afterAutospacing="0" w:line="315" w:lineRule="atLeast"/>
        <w:rPr>
          <w:rFonts w:cs="Arial"/>
          <w:b/>
          <w:bCs/>
          <w:color w:val="000000"/>
          <w:sz w:val="21"/>
          <w:u w:val="single"/>
        </w:rPr>
      </w:pPr>
      <w:r w:rsidRPr="00D70268">
        <w:rPr>
          <w:rFonts w:cs="Arial"/>
          <w:b/>
          <w:bCs/>
          <w:color w:val="000000"/>
          <w:sz w:val="21"/>
          <w:u w:val="single"/>
        </w:rPr>
        <w:t>CFRA resource configuration</w:t>
      </w:r>
      <w:r>
        <w:rPr>
          <w:rFonts w:cs="Arial"/>
          <w:b/>
          <w:bCs/>
          <w:color w:val="000000"/>
          <w:sz w:val="21"/>
          <w:u w:val="single"/>
        </w:rPr>
        <w:t xml:space="preserve"> (impacts mainly RRC but also some implications on MAC)</w:t>
      </w:r>
    </w:p>
    <w:p w14:paraId="31D9C9A7" w14:textId="77777777" w:rsidR="00063E16" w:rsidRDefault="00063E16"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How to configure the associated PUSCH resource</w:t>
      </w:r>
    </w:p>
    <w:p w14:paraId="0B19DA45" w14:textId="77777777" w:rsidR="00063E16" w:rsidRDefault="00063E16"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RA prioritisation and configuration of prioritised RA parameters</w:t>
      </w:r>
    </w:p>
    <w:p w14:paraId="0E2BACA1" w14:textId="198EE0E7" w:rsidR="00063E16" w:rsidRDefault="00063E16"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 xml:space="preserve">Support of 4-step and 2-step CFRA </w:t>
      </w:r>
    </w:p>
    <w:p w14:paraId="44607C00" w14:textId="1956B40E" w:rsidR="00063E16" w:rsidRDefault="00063E16" w:rsidP="00063E16">
      <w:pPr>
        <w:pStyle w:val="NormalWeb"/>
        <w:numPr>
          <w:ilvl w:val="1"/>
          <w:numId w:val="14"/>
        </w:numPr>
        <w:spacing w:before="75" w:beforeAutospacing="0" w:after="75" w:afterAutospacing="0" w:line="315" w:lineRule="atLeast"/>
        <w:rPr>
          <w:rFonts w:cs="Arial"/>
          <w:color w:val="000000"/>
          <w:sz w:val="21"/>
        </w:rPr>
      </w:pPr>
      <w:bookmarkStart w:id="5" w:name="_Hlk20396212"/>
      <w:r w:rsidRPr="00063E16">
        <w:rPr>
          <w:rFonts w:cs="Arial"/>
          <w:color w:val="000000"/>
          <w:sz w:val="21"/>
        </w:rPr>
        <w:t xml:space="preserve">Support of 2-step CFRA and 2-step/4-step CBRA </w:t>
      </w:r>
    </w:p>
    <w:bookmarkEnd w:id="5"/>
    <w:p w14:paraId="6BC0D7CC" w14:textId="77777777" w:rsidR="00063E16" w:rsidRDefault="00063E16" w:rsidP="00063E16">
      <w:pPr>
        <w:pStyle w:val="NormalWeb"/>
        <w:spacing w:before="75" w:beforeAutospacing="0" w:after="75" w:afterAutospacing="0" w:line="315" w:lineRule="atLeast"/>
        <w:rPr>
          <w:rFonts w:cs="Arial"/>
          <w:color w:val="000000"/>
          <w:sz w:val="21"/>
        </w:rPr>
      </w:pPr>
    </w:p>
    <w:p w14:paraId="06CCFA85" w14:textId="31E9A738" w:rsidR="00063E16" w:rsidRPr="00063E16" w:rsidRDefault="00063E16" w:rsidP="00063E16">
      <w:pPr>
        <w:pStyle w:val="NormalWeb"/>
        <w:spacing w:before="75" w:beforeAutospacing="0" w:after="75" w:afterAutospacing="0" w:line="315" w:lineRule="atLeast"/>
        <w:rPr>
          <w:rFonts w:cs="Arial"/>
          <w:color w:val="000000"/>
          <w:sz w:val="21"/>
        </w:rPr>
      </w:pPr>
      <w:r>
        <w:rPr>
          <w:rFonts w:cs="Arial"/>
          <w:color w:val="000000"/>
          <w:sz w:val="21"/>
        </w:rPr>
        <w:t xml:space="preserve">In this </w:t>
      </w:r>
      <w:proofErr w:type="spellStart"/>
      <w:r>
        <w:rPr>
          <w:rFonts w:cs="Arial"/>
          <w:color w:val="000000"/>
          <w:sz w:val="21"/>
        </w:rPr>
        <w:t>tdoc</w:t>
      </w:r>
      <w:proofErr w:type="spellEnd"/>
      <w:r>
        <w:rPr>
          <w:rFonts w:cs="Arial"/>
          <w:color w:val="000000"/>
          <w:sz w:val="21"/>
        </w:rPr>
        <w:t xml:space="preserve"> we discuss the above open issues and propose way forward on these. </w:t>
      </w:r>
    </w:p>
    <w:p w14:paraId="6C0AEAF1" w14:textId="40F8ED48" w:rsidR="001841BA" w:rsidRDefault="002039A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CFRA procedure related aspects</w:t>
      </w:r>
    </w:p>
    <w:p w14:paraId="388A035B" w14:textId="46B16DB8" w:rsidR="007D386D" w:rsidRDefault="007D386D" w:rsidP="007D386D">
      <w:pPr>
        <w:pStyle w:val="NormalWeb"/>
        <w:spacing w:before="75" w:beforeAutospacing="0" w:after="75" w:afterAutospacing="0" w:line="315" w:lineRule="atLeast"/>
        <w:rPr>
          <w:rFonts w:cs="Arial"/>
          <w:color w:val="000000"/>
          <w:sz w:val="21"/>
        </w:rPr>
      </w:pPr>
      <w:r>
        <w:rPr>
          <w:rFonts w:cs="Arial"/>
          <w:color w:val="000000"/>
          <w:sz w:val="21"/>
        </w:rPr>
        <w:t xml:space="preserve">As agreed at RP#85, the objective of the WID </w:t>
      </w:r>
      <w:r w:rsidR="00A343FF">
        <w:rPr>
          <w:rFonts w:cs="Arial"/>
          <w:color w:val="000000"/>
          <w:sz w:val="21"/>
        </w:rPr>
        <w:t>includes</w:t>
      </w:r>
      <w:r>
        <w:rPr>
          <w:rFonts w:cs="Arial"/>
          <w:color w:val="000000"/>
          <w:sz w:val="21"/>
        </w:rPr>
        <w:t xml:space="preserve"> specif</w:t>
      </w:r>
      <w:r w:rsidR="00A343FF">
        <w:rPr>
          <w:rFonts w:cs="Arial"/>
          <w:color w:val="000000"/>
          <w:sz w:val="21"/>
        </w:rPr>
        <w:t>ication of</w:t>
      </w:r>
      <w:r>
        <w:rPr>
          <w:rFonts w:cs="Arial"/>
          <w:color w:val="000000"/>
          <w:sz w:val="21"/>
        </w:rPr>
        <w:t xml:space="preserve"> </w:t>
      </w:r>
      <w:r w:rsidR="00063E16">
        <w:rPr>
          <w:rFonts w:cs="Arial"/>
          <w:color w:val="000000"/>
          <w:sz w:val="21"/>
        </w:rPr>
        <w:t>CFRA for</w:t>
      </w:r>
      <w:r>
        <w:rPr>
          <w:rFonts w:cs="Arial"/>
          <w:color w:val="000000"/>
          <w:sz w:val="21"/>
        </w:rPr>
        <w:t xml:space="preserve"> HO. Hence, </w:t>
      </w:r>
      <w:r w:rsidR="00063E16">
        <w:rPr>
          <w:rFonts w:cs="Arial"/>
          <w:color w:val="000000"/>
          <w:sz w:val="21"/>
        </w:rPr>
        <w:t xml:space="preserve">2-step RACH </w:t>
      </w:r>
      <w:r>
        <w:rPr>
          <w:rFonts w:cs="Arial"/>
          <w:color w:val="000000"/>
          <w:sz w:val="21"/>
        </w:rPr>
        <w:t xml:space="preserve">CFRA </w:t>
      </w:r>
      <w:r w:rsidR="00063E16">
        <w:rPr>
          <w:rFonts w:cs="Arial"/>
          <w:color w:val="000000"/>
          <w:sz w:val="21"/>
        </w:rPr>
        <w:t xml:space="preserve">is only applicable to connected mode. </w:t>
      </w:r>
      <w:r w:rsidR="001A475B">
        <w:rPr>
          <w:rFonts w:cs="Arial"/>
          <w:color w:val="000000"/>
          <w:sz w:val="21"/>
        </w:rPr>
        <w:t>The UE will include the HO complete message along with</w:t>
      </w:r>
      <w:r>
        <w:rPr>
          <w:rFonts w:cs="Arial"/>
          <w:color w:val="000000"/>
          <w:sz w:val="21"/>
        </w:rPr>
        <w:t xml:space="preserve"> other data (as per the logical channel prioritisation) in the MSGA. </w:t>
      </w:r>
      <w:r w:rsidR="00063E16">
        <w:rPr>
          <w:rFonts w:cs="Arial"/>
          <w:color w:val="000000"/>
          <w:sz w:val="21"/>
        </w:rPr>
        <w:t>So,</w:t>
      </w:r>
      <w:r>
        <w:rPr>
          <w:rFonts w:cs="Arial"/>
          <w:color w:val="000000"/>
          <w:sz w:val="21"/>
        </w:rPr>
        <w:t xml:space="preserve"> based on </w:t>
      </w:r>
      <w:r w:rsidR="00063E16">
        <w:rPr>
          <w:rFonts w:cs="Arial"/>
          <w:color w:val="000000"/>
          <w:sz w:val="21"/>
        </w:rPr>
        <w:t>the agreements for connected mode for 2-step CBRA</w:t>
      </w:r>
      <w:r>
        <w:rPr>
          <w:rFonts w:cs="Arial"/>
          <w:color w:val="000000"/>
          <w:sz w:val="21"/>
        </w:rPr>
        <w:t xml:space="preserve">, the overall procedure for 2-step CFRA will look as in </w:t>
      </w:r>
      <w:r>
        <w:rPr>
          <w:rFonts w:cs="Arial"/>
          <w:color w:val="000000"/>
          <w:sz w:val="21"/>
        </w:rPr>
        <w:fldChar w:fldCharType="begin"/>
      </w:r>
      <w:r>
        <w:rPr>
          <w:rFonts w:cs="Arial"/>
          <w:color w:val="000000"/>
          <w:sz w:val="21"/>
        </w:rPr>
        <w:instrText xml:space="preserve"> REF _Ref20395792 \h </w:instrText>
      </w:r>
      <w:r>
        <w:rPr>
          <w:rFonts w:cs="Arial"/>
          <w:color w:val="000000"/>
          <w:sz w:val="21"/>
        </w:rPr>
      </w:r>
      <w:r>
        <w:rPr>
          <w:rFonts w:cs="Arial"/>
          <w:color w:val="000000"/>
          <w:sz w:val="21"/>
        </w:rPr>
        <w:fldChar w:fldCharType="separate"/>
      </w:r>
      <w:r>
        <w:t xml:space="preserve">Figure </w:t>
      </w:r>
      <w:r>
        <w:rPr>
          <w:noProof/>
        </w:rPr>
        <w:t>1</w:t>
      </w:r>
      <w:r>
        <w:rPr>
          <w:rFonts w:cs="Arial"/>
          <w:color w:val="000000"/>
          <w:sz w:val="21"/>
        </w:rPr>
        <w:fldChar w:fldCharType="end"/>
      </w:r>
      <w:r>
        <w:rPr>
          <w:rFonts w:cs="Arial"/>
          <w:color w:val="000000"/>
          <w:sz w:val="21"/>
        </w:rPr>
        <w:t xml:space="preserve">.  </w:t>
      </w:r>
    </w:p>
    <w:p w14:paraId="20F1DA9F" w14:textId="77777777" w:rsidR="007D386D" w:rsidRDefault="007D386D" w:rsidP="007D386D">
      <w:pPr>
        <w:pStyle w:val="NormalWeb"/>
        <w:keepNext/>
        <w:spacing w:before="75" w:beforeAutospacing="0" w:after="75" w:afterAutospacing="0" w:line="315" w:lineRule="atLeast"/>
        <w:jc w:val="center"/>
      </w:pPr>
      <w:r>
        <w:object w:dxaOrig="4142" w:dyaOrig="2900" w14:anchorId="44CA0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144.5pt" o:ole="">
            <v:imagedata r:id="rId9" o:title=""/>
          </v:shape>
          <o:OLEObject Type="Embed" ProgID="Visio.Drawing.11" ShapeID="_x0000_i1025" DrawAspect="Content" ObjectID="_1631632262" r:id="rId10"/>
        </w:object>
      </w:r>
    </w:p>
    <w:p w14:paraId="424315CB" w14:textId="29FCE6A9" w:rsidR="00063E16" w:rsidRDefault="007D386D" w:rsidP="007D386D">
      <w:pPr>
        <w:pStyle w:val="Caption"/>
        <w:jc w:val="center"/>
      </w:pPr>
      <w:bookmarkStart w:id="6" w:name="_Ref20395792"/>
      <w:r>
        <w:t xml:space="preserve">Figure </w:t>
      </w:r>
      <w:r w:rsidR="001E69C8">
        <w:fldChar w:fldCharType="begin"/>
      </w:r>
      <w:r w:rsidR="001E69C8">
        <w:instrText xml:space="preserve"> SEQ Figure \* ARABIC </w:instrText>
      </w:r>
      <w:r w:rsidR="001E69C8">
        <w:fldChar w:fldCharType="separate"/>
      </w:r>
      <w:r>
        <w:rPr>
          <w:noProof/>
        </w:rPr>
        <w:t>1</w:t>
      </w:r>
      <w:r w:rsidR="001E69C8">
        <w:rPr>
          <w:noProof/>
        </w:rPr>
        <w:fldChar w:fldCharType="end"/>
      </w:r>
      <w:bookmarkEnd w:id="6"/>
      <w:r>
        <w:t>: Overall procedure for HO with 2-step CFRA</w:t>
      </w:r>
    </w:p>
    <w:p w14:paraId="5A53E81F" w14:textId="533BB442" w:rsidR="007D386D" w:rsidRDefault="007D386D" w:rsidP="007D386D">
      <w:r>
        <w:t xml:space="preserve">Based on the above, the following proposal is made: </w:t>
      </w:r>
    </w:p>
    <w:p w14:paraId="6175D230" w14:textId="2E464CC6" w:rsidR="002554F9" w:rsidRPr="002554F9" w:rsidRDefault="007D386D" w:rsidP="002554F9">
      <w:pPr>
        <w:pStyle w:val="3GPPProposal"/>
      </w:pPr>
      <w:bookmarkStart w:id="7" w:name="_Toc21019508"/>
      <w:r w:rsidRPr="002554F9">
        <w:t xml:space="preserve">For HO with 2-step CFRA, the UE will monitor the PDCCH of the </w:t>
      </w:r>
      <w:r w:rsidR="00F15D20" w:rsidRPr="002554F9">
        <w:t>target cell</w:t>
      </w:r>
      <w:r w:rsidRPr="002554F9">
        <w:t xml:space="preserve"> for the</w:t>
      </w:r>
      <w:r w:rsidR="00F15D20" w:rsidRPr="002554F9">
        <w:t xml:space="preserve"> </w:t>
      </w:r>
      <w:r w:rsidRPr="002554F9">
        <w:t xml:space="preserve">response from the </w:t>
      </w:r>
      <w:proofErr w:type="spellStart"/>
      <w:r w:rsidRPr="002554F9">
        <w:t>gNB</w:t>
      </w:r>
      <w:proofErr w:type="spellEnd"/>
      <w:r w:rsidRPr="002554F9">
        <w:t xml:space="preserve"> identified by the C-RNTI while the </w:t>
      </w:r>
      <w:proofErr w:type="spellStart"/>
      <w:r w:rsidRPr="00E70163">
        <w:rPr>
          <w:i/>
          <w:iCs/>
        </w:rPr>
        <w:t>msgB-ResponseWindow</w:t>
      </w:r>
      <w:proofErr w:type="spellEnd"/>
      <w:r w:rsidRPr="002554F9">
        <w:t xml:space="preserve"> is running</w:t>
      </w:r>
      <w:r w:rsidR="00E37046">
        <w:t xml:space="preserve">. The </w:t>
      </w:r>
      <w:r w:rsidR="003A4054">
        <w:t>RA procedure</w:t>
      </w:r>
      <w:r w:rsidR="00E37046">
        <w:t xml:space="preserve"> is considered successful upon reception</w:t>
      </w:r>
      <w:r w:rsidR="003A4054">
        <w:t xml:space="preserve"> of</w:t>
      </w:r>
      <w:r w:rsidR="00E37046">
        <w:t xml:space="preserve"> a transmission addressed to the C-RNTI</w:t>
      </w:r>
      <w:r w:rsidR="003A4054">
        <w:t xml:space="preserve"> containing </w:t>
      </w:r>
      <w:r w:rsidR="001B2A41">
        <w:t xml:space="preserve">at least the </w:t>
      </w:r>
      <w:proofErr w:type="gramStart"/>
      <w:r w:rsidR="003A4054">
        <w:t>12 bit</w:t>
      </w:r>
      <w:proofErr w:type="gramEnd"/>
      <w:r w:rsidR="00E37046">
        <w:t xml:space="preserve"> TAC MAC CE.</w:t>
      </w:r>
      <w:bookmarkEnd w:id="7"/>
      <w:r w:rsidR="00E37046">
        <w:t xml:space="preserve"> </w:t>
      </w:r>
    </w:p>
    <w:p w14:paraId="6308F580" w14:textId="2F652410" w:rsidR="00387C45" w:rsidRPr="002039AE" w:rsidRDefault="002039AE" w:rsidP="002554F9">
      <w:r w:rsidRPr="002039AE">
        <w:t>The other procedure related open issues are discussed in the following sub-sections.</w:t>
      </w:r>
    </w:p>
    <w:p w14:paraId="701B49F1" w14:textId="0977D2C8" w:rsidR="002039AE" w:rsidRDefault="002039AE" w:rsidP="002039AE">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Ref20729211"/>
      <w:r>
        <w:rPr>
          <w:rFonts w:cs="Arial"/>
          <w:b w:val="0"/>
          <w:bCs w:val="0"/>
          <w:kern w:val="0"/>
          <w:sz w:val="32"/>
          <w:szCs w:val="36"/>
        </w:rPr>
        <w:t>RA type selection</w:t>
      </w:r>
      <w:bookmarkEnd w:id="8"/>
    </w:p>
    <w:p w14:paraId="46A029BA" w14:textId="4B290042" w:rsidR="00F15D20" w:rsidRDefault="00F15D20" w:rsidP="00F15D20">
      <w:r>
        <w:t xml:space="preserve">In 2-step CBRA, the RACH type will be determined in the RA initiation phase based on a configured RSRP threshold. For the 2-step CFRA, we need to understand whether the same approach can be applied or not. </w:t>
      </w:r>
    </w:p>
    <w:p w14:paraId="096DAAED" w14:textId="2303E143" w:rsidR="00F15D20" w:rsidRDefault="00F15D20" w:rsidP="00F15D20">
      <w:r>
        <w:t>Once the CFRA preamble is reserved for 2-step RACH, both the preamble and the associated PUSCH resources will be reserved for the UE. Thus, the PUSCH resource will be occupied even if the 4-step CBRA is selected</w:t>
      </w:r>
      <w:r w:rsidR="00A343FF">
        <w:t xml:space="preserve"> by the UE</w:t>
      </w:r>
      <w:r>
        <w:t xml:space="preserve">. It should also be noted that the CFRA PUSCH resources for HO will be configured by the target </w:t>
      </w:r>
      <w:proofErr w:type="spellStart"/>
      <w:r>
        <w:t>gNB</w:t>
      </w:r>
      <w:proofErr w:type="spellEnd"/>
      <w:r>
        <w:t xml:space="preserve"> and this configuration can be provided based on the measurement results obtained from the UE. Hence, it can be assumed that the configured CFRA resources are only provided if appropriate (i.e. if the UE is </w:t>
      </w:r>
      <w:r w:rsidR="00A343FF">
        <w:t>within a given range of the target cell etc</w:t>
      </w:r>
      <w:r>
        <w:t>). Further, considering that the performance for preamble is the same for 2-step CFRA and 4-step CBRA, we think the RSRP threshold based RACH type selection is not needed in the initiation phase of RA procedure</w:t>
      </w:r>
      <w:r w:rsidR="00A343FF">
        <w:t xml:space="preserve"> </w:t>
      </w:r>
      <w:r>
        <w:t>and</w:t>
      </w:r>
      <w:r w:rsidR="00A343FF">
        <w:t xml:space="preserve"> the</w:t>
      </w:r>
      <w:r>
        <w:t xml:space="preserve"> UE should select 2-step CFRA, if the 2-step CFRA is configured. </w:t>
      </w:r>
    </w:p>
    <w:p w14:paraId="54DDEBF1" w14:textId="5EDBDDF2" w:rsidR="002039AE" w:rsidRDefault="00F9225C" w:rsidP="002554F9">
      <w:pPr>
        <w:pStyle w:val="3GPPProposal"/>
      </w:pPr>
      <w:bookmarkStart w:id="9" w:name="_Toc21019509"/>
      <w:r>
        <w:t>There is no need to have a</w:t>
      </w:r>
      <w:r w:rsidR="0005035A">
        <w:t xml:space="preserve">n </w:t>
      </w:r>
      <w:r>
        <w:t>RSRP based threshold for selecting 2-step CFRA</w:t>
      </w:r>
      <w:r w:rsidR="0005035A">
        <w:t xml:space="preserve"> (i.e. if a qualified SSB/CSI-RS is found for the configured CFRA resource, then the UE performs 2-step CFRA)</w:t>
      </w:r>
      <w:bookmarkEnd w:id="9"/>
    </w:p>
    <w:p w14:paraId="355C1814" w14:textId="5221567E" w:rsidR="00390122" w:rsidRDefault="00F9225C" w:rsidP="00B43928">
      <w:r>
        <w:t xml:space="preserve">Then the next question is what happens if there is no qualified SSB/CSI-RS corresponding to the configured CFRA resources. </w:t>
      </w:r>
      <w:r w:rsidR="00A343FF">
        <w:t xml:space="preserve">Unlike the RSRP threshold which is dependent largely on the distance between the UE and the garget </w:t>
      </w:r>
      <w:proofErr w:type="spellStart"/>
      <w:r w:rsidR="00A343FF">
        <w:t>gNB</w:t>
      </w:r>
      <w:proofErr w:type="spellEnd"/>
      <w:r w:rsidR="00A343FF">
        <w:t xml:space="preserve">, the qualified beam in the target cell may be subject to a bit more variation (especially in FR2). </w:t>
      </w:r>
      <w:r>
        <w:t xml:space="preserve">In case of 4-step CFRA, the network is allowed to configure CFRA only on </w:t>
      </w:r>
      <w:r>
        <w:lastRenderedPageBreak/>
        <w:t xml:space="preserve">selected beams and the same can be true also for 2-step CFRA. Then, it is possible that the UE cannot find a qualified SSB/CSI-RS resource for 2-step CFRA. In this case, </w:t>
      </w:r>
      <w:r w:rsidR="00390122">
        <w:t xml:space="preserve">the UE can simply perform RA type selection between 2-step and 4-step CBRA as already agreed for the 2-step CBRA procedure. So, based on this, the following is proposed: </w:t>
      </w:r>
    </w:p>
    <w:p w14:paraId="58BBA951" w14:textId="77777777" w:rsidR="0005035A" w:rsidRDefault="00390122" w:rsidP="0005035A">
      <w:pPr>
        <w:pStyle w:val="3GPPProposal"/>
      </w:pPr>
      <w:bookmarkStart w:id="10" w:name="_Toc21019510"/>
      <w:r w:rsidRPr="00390122">
        <w:t>For 2-step CFRA MSGA transmission, if no qualified SSB/CSI-RS with 2-step CFRA resource can be detected</w:t>
      </w:r>
      <w:r w:rsidR="00A20BFA">
        <w:t>, the UE switches to CBRA mode</w:t>
      </w:r>
      <w:r w:rsidR="0005035A">
        <w:t>.</w:t>
      </w:r>
      <w:bookmarkEnd w:id="10"/>
      <w:r w:rsidR="0005035A">
        <w:t xml:space="preserve"> </w:t>
      </w:r>
    </w:p>
    <w:p w14:paraId="196D307F" w14:textId="1AD3B741" w:rsidR="00390122" w:rsidRDefault="0005035A" w:rsidP="0005035A">
      <w:pPr>
        <w:pStyle w:val="3GPPProposal"/>
      </w:pPr>
      <w:bookmarkStart w:id="11" w:name="_Toc21019511"/>
      <w:r>
        <w:t>Upon switching to CBRA mode per above (i.e. no qualified SSB/CSI-RS found), the UE</w:t>
      </w:r>
      <w:r w:rsidR="00A20BFA">
        <w:t xml:space="preserve"> </w:t>
      </w:r>
      <w:r w:rsidR="00390122">
        <w:t>performs</w:t>
      </w:r>
      <w:r w:rsidR="00390122" w:rsidRPr="00390122">
        <w:t xml:space="preserve"> RA type selection (between 2-step CBRA and 4-step CBRA</w:t>
      </w:r>
      <w:r w:rsidR="00390122">
        <w:t xml:space="preserve">, per the current </w:t>
      </w:r>
      <w:r w:rsidR="00A20BFA">
        <w:t>agreements</w:t>
      </w:r>
      <w:r w:rsidR="00390122" w:rsidRPr="00390122">
        <w:t>)</w:t>
      </w:r>
      <w:r>
        <w:t xml:space="preserve"> i</w:t>
      </w:r>
      <w:r w:rsidR="00390122" w:rsidRPr="00390122">
        <w:t xml:space="preserve">f 2-step </w:t>
      </w:r>
      <w:r w:rsidR="00A20BFA">
        <w:t>CBRA resources exist</w:t>
      </w:r>
      <w:r w:rsidR="00390122" w:rsidRPr="00390122">
        <w:t>; otherwise (i.e. only 4-step CBRA is configured), the UE selects 4-step CBRA</w:t>
      </w:r>
      <w:bookmarkEnd w:id="11"/>
    </w:p>
    <w:p w14:paraId="2B282F3D" w14:textId="6F6C76ED" w:rsidR="00A20BFA" w:rsidRDefault="00A20BFA" w:rsidP="00A20BFA">
      <w:r>
        <w:t xml:space="preserve">Then the next question is </w:t>
      </w:r>
      <w:r w:rsidR="00620473">
        <w:t xml:space="preserve">whether the UE </w:t>
      </w:r>
      <w:proofErr w:type="gramStart"/>
      <w:r w:rsidR="00620473">
        <w:t>is allowed to</w:t>
      </w:r>
      <w:proofErr w:type="gramEnd"/>
      <w:r w:rsidR="00620473">
        <w:t xml:space="preserve"> switch back to 2-step CFRA during the same RACH procedure. During the 2-step CBRA discussion, we agreed that RA type selection between 2-step CBRA and 4-step CBRA only happens once (i.e. once UE switches to 4-step CBRA – after “N” times failing to send MSGA – the UE doesn’t switch back to 2-step CBRA). This decision was taken as companies felt that there is no need to optimise for such error cases. Similarly, even in case of 2-step CFRA, we think that once the UE switches to 4-step CBRA (per proposal 3 above), then the UE shall not switch back to 2-step CFRA. </w:t>
      </w:r>
    </w:p>
    <w:p w14:paraId="28972D26" w14:textId="551626EC" w:rsidR="00620473" w:rsidRPr="00390122" w:rsidRDefault="00620473" w:rsidP="00620473">
      <w:pPr>
        <w:pStyle w:val="3GPPProposal"/>
      </w:pPr>
      <w:bookmarkStart w:id="12" w:name="_Toc21019512"/>
      <w:r>
        <w:t xml:space="preserve">If the 2-step CFRA is configured for the UE and the UE switches to 4-step CBRA (per Proposal </w:t>
      </w:r>
      <w:r w:rsidR="0005035A">
        <w:t>4</w:t>
      </w:r>
      <w:r>
        <w:t xml:space="preserve"> above), then the UE continues with 4-step CBRA procedure (i.e. it doesn’t switch back to 2-step CFRA).</w:t>
      </w:r>
      <w:bookmarkEnd w:id="12"/>
      <w:r>
        <w:t xml:space="preserve">  </w:t>
      </w:r>
    </w:p>
    <w:p w14:paraId="4F8D8F32" w14:textId="60B1599C" w:rsidR="002039AE" w:rsidRDefault="002039AE" w:rsidP="002039AE">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Inclusion of C-RNTI in MSGA</w:t>
      </w:r>
    </w:p>
    <w:p w14:paraId="0EC7A671" w14:textId="18D8F9C0" w:rsidR="002039AE" w:rsidRDefault="00724904" w:rsidP="00F15D20">
      <w:r>
        <w:t xml:space="preserve">In case of CBRA, C-RNTI is included in MSGA for connected mode UE to enable the </w:t>
      </w:r>
      <w:proofErr w:type="spellStart"/>
      <w:r>
        <w:t>gNB</w:t>
      </w:r>
      <w:proofErr w:type="spellEnd"/>
      <w:r>
        <w:t xml:space="preserve"> to identify the UE</w:t>
      </w:r>
      <w:r w:rsidR="00F15D20">
        <w:t>.</w:t>
      </w:r>
      <w:r>
        <w:t xml:space="preserve"> However, it is arguable whether C-RNTI is needed for case of CFRA as the </w:t>
      </w:r>
      <w:proofErr w:type="spellStart"/>
      <w:r>
        <w:t>gNB</w:t>
      </w:r>
      <w:proofErr w:type="spellEnd"/>
      <w:r>
        <w:t xml:space="preserve"> can identify the UE based on the received dedicated preamble. However, if no qualified SSB/CSI-RS can be detected for the CFRA resources, then the UE may need to switch to CBRA</w:t>
      </w:r>
      <w:r w:rsidR="00A343FF">
        <w:t xml:space="preserve"> (see section </w:t>
      </w:r>
      <w:r w:rsidR="00A343FF">
        <w:fldChar w:fldCharType="begin"/>
      </w:r>
      <w:r w:rsidR="00A343FF">
        <w:instrText xml:space="preserve"> REF _Ref20729211 \r \h </w:instrText>
      </w:r>
      <w:r w:rsidR="00A343FF">
        <w:fldChar w:fldCharType="separate"/>
      </w:r>
      <w:r w:rsidR="00A343FF">
        <w:t>2.1</w:t>
      </w:r>
      <w:r w:rsidR="00A343FF">
        <w:fldChar w:fldCharType="end"/>
      </w:r>
      <w:r w:rsidR="00A343FF">
        <w:t>)</w:t>
      </w:r>
      <w:r>
        <w:t>. In this case, it will be preferable if the UE doesn’t need to regenerate the contents of the MSGA payload</w:t>
      </w:r>
      <w:r w:rsidR="00A343FF">
        <w:t xml:space="preserve"> (since C-RNTI will need to be included if switch to CBRA happens)</w:t>
      </w:r>
      <w:r>
        <w:t xml:space="preserve">. In order to keep the overall procedure simple, we propose that the UE anyway includes the C-RNTI in MSGA payload even in the case of CFRA. </w:t>
      </w:r>
    </w:p>
    <w:p w14:paraId="0AE62C27" w14:textId="1CDA6664" w:rsidR="00724904" w:rsidRPr="002039AE" w:rsidRDefault="00724904" w:rsidP="002554F9">
      <w:pPr>
        <w:pStyle w:val="3GPPProposal"/>
      </w:pPr>
      <w:bookmarkStart w:id="13" w:name="_Toc21019513"/>
      <w:r>
        <w:t>In 2-step CFRA, the UE includes the C-RNTI MAC CE in MSGA payload (along with HO complete and other data based on logical channel prioritisation)</w:t>
      </w:r>
      <w:bookmarkEnd w:id="13"/>
    </w:p>
    <w:p w14:paraId="175542F3" w14:textId="0196CAB2" w:rsidR="002039AE" w:rsidRDefault="002039AE" w:rsidP="002039AE">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Support of fallback</w:t>
      </w:r>
    </w:p>
    <w:p w14:paraId="10EAC344" w14:textId="0276F0F3" w:rsidR="00724904" w:rsidRDefault="00724904" w:rsidP="00724904">
      <w:r>
        <w:t>In case</w:t>
      </w:r>
      <w:r w:rsidR="00A343FF">
        <w:t xml:space="preserve"> of</w:t>
      </w:r>
      <w:r>
        <w:t xml:space="preserve"> 2-step CBRA in connected mode, the UE monitors both the C-RNTI and MSGB-RNTI. The MSGB-RNTI is monitored for the reception of the </w:t>
      </w:r>
      <w:proofErr w:type="spellStart"/>
      <w:r w:rsidRPr="00A343FF">
        <w:rPr>
          <w:i/>
          <w:iCs/>
        </w:rPr>
        <w:t>fallbackRAR</w:t>
      </w:r>
      <w:proofErr w:type="spellEnd"/>
      <w:r>
        <w:t xml:space="preserve">. The fallback procedure is applicable when the </w:t>
      </w:r>
      <w:proofErr w:type="spellStart"/>
      <w:r>
        <w:t>gNB</w:t>
      </w:r>
      <w:proofErr w:type="spellEnd"/>
      <w:r>
        <w:t xml:space="preserve"> detects the preamble but not the payload in case of CBRA. However, since the </w:t>
      </w:r>
      <w:proofErr w:type="spellStart"/>
      <w:r>
        <w:t>gNB</w:t>
      </w:r>
      <w:proofErr w:type="spellEnd"/>
      <w:r>
        <w:t xml:space="preserve"> can identify the UE using the received preamble, it can schedule the UE using C-RNTI even if the MSGA payload is </w:t>
      </w:r>
      <w:r>
        <w:lastRenderedPageBreak/>
        <w:t xml:space="preserve">lost. Thus, there is no need to support fallback operation for CFRA. Hence, the UE doesn’t need to monitor the MSGB-RNTI in case of 2-step CFRA. </w:t>
      </w:r>
    </w:p>
    <w:p w14:paraId="02939767" w14:textId="28B3AE44" w:rsidR="00724904" w:rsidRDefault="00724904" w:rsidP="002554F9">
      <w:pPr>
        <w:pStyle w:val="3GPPProposal"/>
      </w:pPr>
      <w:bookmarkStart w:id="14" w:name="_Toc21019514"/>
      <w:r>
        <w:t>In case of 2-step CFRA, once MSGA is transmitted, the UE doesn’t monitor the MSGB-RNTI</w:t>
      </w:r>
      <w:r w:rsidR="00FB021B">
        <w:t xml:space="preserve"> (i.e. no fallback)</w:t>
      </w:r>
      <w:bookmarkEnd w:id="14"/>
    </w:p>
    <w:p w14:paraId="375F8446" w14:textId="14252382" w:rsidR="002039AE" w:rsidRDefault="002039AE" w:rsidP="002039A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CFRA resource configuration</w:t>
      </w:r>
    </w:p>
    <w:p w14:paraId="7A029530" w14:textId="048C6AB5" w:rsidR="002039AE" w:rsidRDefault="002039AE" w:rsidP="002039AE">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Configuration of the associated PUSCH resources</w:t>
      </w:r>
    </w:p>
    <w:p w14:paraId="35D16651" w14:textId="77400C57" w:rsidR="000B76C7" w:rsidRDefault="000B76C7" w:rsidP="0010421B">
      <w:pPr>
        <w:rPr>
          <w:rFonts w:eastAsia="SimSun"/>
          <w:lang w:val="en-US" w:eastAsia="zh-CN"/>
        </w:rPr>
      </w:pPr>
      <w:r>
        <w:rPr>
          <w:rFonts w:eastAsia="SimSun"/>
          <w:lang w:val="en-US" w:eastAsia="zh-CN"/>
        </w:rPr>
        <w:t xml:space="preserve">In case of 4-step RACH, CFRA resources could be associated with SSB or CSI-RS. Similar approach can be adopted also for 2-step CFRA. So, we propose the following: </w:t>
      </w:r>
    </w:p>
    <w:p w14:paraId="6F266235" w14:textId="2B92C204" w:rsidR="000B76C7" w:rsidRDefault="000B76C7" w:rsidP="000B76C7">
      <w:pPr>
        <w:pStyle w:val="3GPPProposal"/>
        <w:rPr>
          <w:lang w:val="en-US" w:eastAsia="zh-CN"/>
        </w:rPr>
      </w:pPr>
      <w:bookmarkStart w:id="15" w:name="_Toc21019515"/>
      <w:r>
        <w:rPr>
          <w:lang w:val="en-US" w:eastAsia="zh-CN"/>
        </w:rPr>
        <w:t>Both SSB and CSI-RS based 2-step CFRA will be supported</w:t>
      </w:r>
      <w:bookmarkEnd w:id="15"/>
    </w:p>
    <w:p w14:paraId="09E538F5" w14:textId="00B18895" w:rsidR="0010421B" w:rsidRDefault="0010421B" w:rsidP="0010421B">
      <w:pPr>
        <w:rPr>
          <w:rFonts w:eastAsia="SimSun"/>
        </w:rPr>
      </w:pPr>
      <w:r>
        <w:rPr>
          <w:rFonts w:eastAsia="SimSun"/>
          <w:lang w:val="en-US" w:eastAsia="zh-CN"/>
        </w:rPr>
        <w:t>Based on the current design for MSGA, there will be</w:t>
      </w:r>
      <w:r>
        <w:rPr>
          <w:rFonts w:eastAsia="SimSun" w:hint="eastAsia"/>
          <w:lang w:val="en-US" w:eastAsia="zh-CN"/>
        </w:rPr>
        <w:t xml:space="preserve"> two resource pools for 2-step </w:t>
      </w:r>
      <w:r>
        <w:rPr>
          <w:rFonts w:eastAsia="SimSun"/>
          <w:lang w:val="en-US" w:eastAsia="zh-CN"/>
        </w:rPr>
        <w:t>RACH</w:t>
      </w:r>
      <w:r>
        <w:rPr>
          <w:rFonts w:eastAsia="SimSun" w:hint="eastAsia"/>
          <w:lang w:val="en-US" w:eastAsia="zh-CN"/>
        </w:rPr>
        <w:t>:</w:t>
      </w:r>
    </w:p>
    <w:p w14:paraId="39C6CD92" w14:textId="55B1FA12" w:rsidR="0010421B" w:rsidRDefault="004438BD" w:rsidP="0010421B">
      <w:pPr>
        <w:widowControl/>
        <w:numPr>
          <w:ilvl w:val="0"/>
          <w:numId w:val="15"/>
        </w:numPr>
        <w:adjustRightInd w:val="0"/>
        <w:spacing w:line="300" w:lineRule="auto"/>
        <w:jc w:val="left"/>
        <w:rPr>
          <w:rFonts w:eastAsia="SimSun"/>
        </w:rPr>
      </w:pPr>
      <w:r>
        <w:rPr>
          <w:rFonts w:eastAsia="SimSun"/>
          <w:u w:val="single"/>
          <w:lang w:val="en-US" w:eastAsia="zh-CN"/>
        </w:rPr>
        <w:t>Preamble Resource Pool</w:t>
      </w:r>
      <w:r w:rsidR="0010421B">
        <w:rPr>
          <w:rFonts w:eastAsia="SimSun"/>
          <w:lang w:val="en-US" w:eastAsia="zh-CN"/>
        </w:rPr>
        <w:t xml:space="preserve">: </w:t>
      </w:r>
      <w:r>
        <w:rPr>
          <w:rFonts w:eastAsia="SimSun"/>
          <w:lang w:val="en-US" w:eastAsia="zh-CN"/>
        </w:rPr>
        <w:t xml:space="preserve">This is a set of PRACH occasions and preambles similar to the 4-step RACH. The Preamble Resource pool for </w:t>
      </w:r>
      <w:r w:rsidR="0010421B">
        <w:rPr>
          <w:rFonts w:eastAsia="SimSun" w:hint="eastAsia"/>
          <w:lang w:val="en-US" w:eastAsia="zh-CN"/>
        </w:rPr>
        <w:t>2-step RACH can either share the resource pool with 4-step RACH or have a separate resource pool for 2-step RACH specificall</w:t>
      </w:r>
      <w:r>
        <w:rPr>
          <w:rFonts w:eastAsia="SimSun"/>
          <w:lang w:val="en-US" w:eastAsia="zh-CN"/>
        </w:rPr>
        <w:t xml:space="preserve">y according to current RAN1 agreements. </w:t>
      </w:r>
    </w:p>
    <w:p w14:paraId="1AC92738" w14:textId="20B1868F" w:rsidR="0010421B" w:rsidRDefault="004438BD" w:rsidP="0010421B">
      <w:pPr>
        <w:widowControl/>
        <w:numPr>
          <w:ilvl w:val="0"/>
          <w:numId w:val="15"/>
        </w:numPr>
        <w:adjustRightInd w:val="0"/>
        <w:spacing w:line="300" w:lineRule="auto"/>
        <w:jc w:val="left"/>
        <w:rPr>
          <w:rFonts w:eastAsia="SimSun"/>
        </w:rPr>
      </w:pPr>
      <w:r>
        <w:rPr>
          <w:rFonts w:eastAsia="SimSun"/>
          <w:u w:val="single"/>
          <w:lang w:val="en-US" w:eastAsia="zh-CN"/>
        </w:rPr>
        <w:t>PUSCH Resource Pool</w:t>
      </w:r>
      <w:r w:rsidR="0010421B">
        <w:rPr>
          <w:rFonts w:eastAsia="SimSun"/>
          <w:lang w:val="en-US" w:eastAsia="zh-CN"/>
        </w:rPr>
        <w:t xml:space="preserve">: </w:t>
      </w:r>
      <w:r w:rsidR="000B76C7">
        <w:rPr>
          <w:rFonts w:eastAsia="SimSun"/>
          <w:lang w:val="en-US" w:eastAsia="zh-CN"/>
        </w:rPr>
        <w:t xml:space="preserve">The PUSCH resource pool will contain one or more PUSCH Resource Units (PRUs), which are used to transmit the MSGA payload. </w:t>
      </w:r>
      <w:r>
        <w:rPr>
          <w:rFonts w:eastAsia="SimSun"/>
          <w:lang w:val="en-US" w:eastAsia="zh-CN"/>
        </w:rPr>
        <w:t xml:space="preserve">Each PRU will be mapped to one or more preambles in the PRACH resource pool. </w:t>
      </w:r>
      <w:r w:rsidR="0010421B">
        <w:rPr>
          <w:rFonts w:eastAsia="SimSun"/>
          <w:lang w:val="en-US" w:eastAsia="zh-CN"/>
        </w:rPr>
        <w:t>A</w:t>
      </w:r>
      <w:r w:rsidR="0010421B">
        <w:rPr>
          <w:rFonts w:eastAsia="SimSun" w:hint="eastAsia"/>
          <w:lang w:val="en-US" w:eastAsia="zh-CN"/>
        </w:rPr>
        <w:t xml:space="preserve"> mapping rule defined in RAN1 will be </w:t>
      </w:r>
      <w:r>
        <w:rPr>
          <w:rFonts w:eastAsia="SimSun"/>
          <w:lang w:val="en-US" w:eastAsia="zh-CN"/>
        </w:rPr>
        <w:t>used for this purpose</w:t>
      </w:r>
      <w:r w:rsidR="0010421B">
        <w:rPr>
          <w:rFonts w:eastAsia="SimSun" w:hint="eastAsia"/>
          <w:lang w:val="en-US" w:eastAsia="zh-CN"/>
        </w:rPr>
        <w:t xml:space="preserve">. </w:t>
      </w:r>
    </w:p>
    <w:p w14:paraId="31F24644" w14:textId="3103C41E" w:rsidR="0010421B" w:rsidRDefault="004438BD" w:rsidP="0010421B">
      <w:pPr>
        <w:rPr>
          <w:rFonts w:eastAsia="SimSun"/>
        </w:rPr>
      </w:pPr>
      <w:r>
        <w:rPr>
          <w:rFonts w:eastAsia="SimSun"/>
          <w:lang w:val="en-US" w:eastAsia="zh-CN"/>
        </w:rPr>
        <w:t xml:space="preserve">In case of 2-step CBRA, preamble resource pool and the PUSH resource pool configuration will be provided in the SIB1. The UE then determines the PRU mapped to a given preamble based on the mapping rules which will be defined in the RAN1 specs. In case of CFRA, we can reuse the same framework. However, there is no need to signal the PRUs associated with the CFRA preambles in SIB1. Instead, the </w:t>
      </w:r>
      <w:r w:rsidR="00C05311">
        <w:rPr>
          <w:rFonts w:eastAsia="SimSun"/>
          <w:lang w:val="en-US" w:eastAsia="zh-CN"/>
        </w:rPr>
        <w:t xml:space="preserve">configuration for the </w:t>
      </w:r>
      <w:r>
        <w:rPr>
          <w:rFonts w:eastAsia="SimSun"/>
          <w:lang w:val="en-US" w:eastAsia="zh-CN"/>
        </w:rPr>
        <w:t xml:space="preserve">PRUs for CFRA can be included directly in dedicated signaling (i.e. the HO command) along with the dedicated preamble. </w:t>
      </w:r>
    </w:p>
    <w:p w14:paraId="29CFE445" w14:textId="5ECA0A31" w:rsidR="003C6ECA" w:rsidRDefault="004438BD" w:rsidP="0007761F">
      <w:pPr>
        <w:pStyle w:val="3GPPProposal"/>
      </w:pPr>
      <w:bookmarkStart w:id="16" w:name="_Toc21019516"/>
      <w:r>
        <w:t xml:space="preserve">The PUSCH resource for 2-step CFRA </w:t>
      </w:r>
      <w:r w:rsidR="00DE57A3">
        <w:t xml:space="preserve">associated with the dedicated preamble </w:t>
      </w:r>
      <w:r>
        <w:t xml:space="preserve">will be </w:t>
      </w:r>
      <w:r w:rsidR="00DE57A3">
        <w:t>configured</w:t>
      </w:r>
      <w:r>
        <w:t xml:space="preserve"> to the UE via dedicated signalling (i.e. will not be included in SIB1).</w:t>
      </w:r>
      <w:bookmarkEnd w:id="16"/>
      <w:r>
        <w:t xml:space="preserve"> </w:t>
      </w:r>
    </w:p>
    <w:p w14:paraId="4EDD79EE" w14:textId="791605DF" w:rsidR="002039AE" w:rsidRDefault="002039AE" w:rsidP="002039AE">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RA prioritisation</w:t>
      </w:r>
    </w:p>
    <w:p w14:paraId="0E0F0671" w14:textId="2A23F724" w:rsidR="00E87EF1" w:rsidRDefault="00E87EF1" w:rsidP="00E87EF1">
      <w:pPr>
        <w:rPr>
          <w:rFonts w:eastAsia="SimSun"/>
        </w:rPr>
      </w:pPr>
      <w:r>
        <w:rPr>
          <w:rFonts w:eastAsia="SimSun" w:hint="eastAsia"/>
          <w:lang w:val="en-US" w:eastAsia="zh-CN"/>
        </w:rPr>
        <w:t xml:space="preserve">In 4-step RACH, RA prioritization is supported by allowing separate configuration of </w:t>
      </w:r>
      <w:proofErr w:type="spellStart"/>
      <w:r w:rsidRPr="00E87EF1">
        <w:rPr>
          <w:rFonts w:eastAsia="SimSun" w:hint="eastAsia"/>
          <w:i/>
          <w:iCs/>
          <w:lang w:val="en-US" w:eastAsia="zh-CN"/>
        </w:rPr>
        <w:t>powerRampingStepHighPriority</w:t>
      </w:r>
      <w:proofErr w:type="spellEnd"/>
      <w:r>
        <w:rPr>
          <w:rFonts w:eastAsia="SimSun" w:hint="eastAsia"/>
          <w:lang w:val="en-US" w:eastAsia="zh-CN"/>
        </w:rPr>
        <w:t xml:space="preserve"> and </w:t>
      </w:r>
      <w:proofErr w:type="spellStart"/>
      <w:r w:rsidRPr="00E87EF1">
        <w:rPr>
          <w:rFonts w:eastAsia="SimSun" w:hint="eastAsia"/>
          <w:i/>
          <w:iCs/>
          <w:lang w:val="en-US" w:eastAsia="zh-CN"/>
        </w:rPr>
        <w:t>scalingFactorBI</w:t>
      </w:r>
      <w:proofErr w:type="spellEnd"/>
      <w:r>
        <w:rPr>
          <w:rFonts w:eastAsia="SimSun" w:hint="eastAsia"/>
          <w:lang w:val="en-US" w:eastAsia="zh-CN"/>
        </w:rPr>
        <w:t xml:space="preserve"> for 4-step RACH. Similar</w:t>
      </w:r>
      <w:r>
        <w:rPr>
          <w:rFonts w:eastAsia="SimSun"/>
          <w:lang w:val="en-US" w:eastAsia="zh-CN"/>
        </w:rPr>
        <w:t xml:space="preserve">ly, </w:t>
      </w:r>
      <w:r>
        <w:rPr>
          <w:rFonts w:eastAsia="SimSun" w:hint="eastAsia"/>
          <w:lang w:val="en-US" w:eastAsia="zh-CN"/>
        </w:rPr>
        <w:t xml:space="preserve">we think the RA prioritization shall be supported for 2-step RACH as well, and the parameters supported in 4-step RACH </w:t>
      </w:r>
      <w:r>
        <w:rPr>
          <w:rFonts w:eastAsia="SimSun"/>
          <w:lang w:val="en-US" w:eastAsia="zh-CN"/>
        </w:rPr>
        <w:lastRenderedPageBreak/>
        <w:t xml:space="preserve">configuration </w:t>
      </w:r>
      <w:r>
        <w:rPr>
          <w:rFonts w:eastAsia="SimSun" w:hint="eastAsia"/>
          <w:lang w:val="en-US" w:eastAsia="zh-CN"/>
        </w:rPr>
        <w:t>can be considered as baseline.</w:t>
      </w:r>
    </w:p>
    <w:p w14:paraId="219B787A" w14:textId="062DC194" w:rsidR="002039AE" w:rsidRPr="002039AE" w:rsidRDefault="00E87EF1" w:rsidP="00576499">
      <w:pPr>
        <w:pStyle w:val="3GPPProposal"/>
      </w:pPr>
      <w:bookmarkStart w:id="17" w:name="_Toc21019517"/>
      <w:r w:rsidRPr="00F714F7">
        <w:rPr>
          <w:rFonts w:hint="eastAsia"/>
          <w:lang w:val="en-US" w:eastAsia="zh-CN"/>
        </w:rPr>
        <w:t>The RA prioritization is supported for 2-step RACH in HO, and the following parameters can be configured for 2-step RACH to prioritize the RA procedure for HO</w:t>
      </w:r>
      <w:r w:rsidRPr="00F714F7">
        <w:rPr>
          <w:lang w:val="en-US" w:eastAsia="zh-CN"/>
        </w:rPr>
        <w:t xml:space="preserve"> </w:t>
      </w:r>
      <w:proofErr w:type="spellStart"/>
      <w:r w:rsidRPr="00F714F7">
        <w:rPr>
          <w:rFonts w:hint="eastAsia"/>
          <w:i/>
          <w:iCs/>
          <w:lang w:val="en-US" w:eastAsia="zh-CN"/>
        </w:rPr>
        <w:t>powerRampingStepHighPriority</w:t>
      </w:r>
      <w:proofErr w:type="spellEnd"/>
      <w:r w:rsidR="00DE57A3">
        <w:rPr>
          <w:lang w:val="en-US" w:eastAsia="zh-CN"/>
        </w:rPr>
        <w:t xml:space="preserve">, </w:t>
      </w:r>
      <w:proofErr w:type="spellStart"/>
      <w:r w:rsidRPr="00F714F7">
        <w:rPr>
          <w:rFonts w:hint="eastAsia"/>
          <w:i/>
          <w:iCs/>
          <w:lang w:val="en-US" w:eastAsia="zh-CN"/>
        </w:rPr>
        <w:t>scalingFactorBI</w:t>
      </w:r>
      <w:bookmarkEnd w:id="17"/>
      <w:proofErr w:type="spellEnd"/>
    </w:p>
    <w:p w14:paraId="373F68A3" w14:textId="19108B5B" w:rsidR="002039AE" w:rsidRPr="00B82A50" w:rsidRDefault="002039AE" w:rsidP="00B82A50">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B82A50">
        <w:rPr>
          <w:rFonts w:cs="Arial"/>
          <w:b w:val="0"/>
          <w:bCs w:val="0"/>
          <w:kern w:val="0"/>
          <w:sz w:val="32"/>
          <w:szCs w:val="36"/>
        </w:rPr>
        <w:t xml:space="preserve">Support of </w:t>
      </w:r>
      <w:r w:rsidR="00B066E8">
        <w:rPr>
          <w:rFonts w:cs="Arial"/>
          <w:b w:val="0"/>
          <w:bCs w:val="0"/>
          <w:kern w:val="0"/>
          <w:sz w:val="32"/>
          <w:szCs w:val="36"/>
        </w:rPr>
        <w:t xml:space="preserve">various RA types on a given </w:t>
      </w:r>
      <w:r w:rsidRPr="00B82A50">
        <w:rPr>
          <w:rFonts w:cs="Arial"/>
          <w:b w:val="0"/>
          <w:bCs w:val="0"/>
          <w:kern w:val="0"/>
          <w:sz w:val="32"/>
          <w:szCs w:val="36"/>
        </w:rPr>
        <w:t>BWP</w:t>
      </w:r>
    </w:p>
    <w:p w14:paraId="448308BA" w14:textId="0E0C9959" w:rsidR="00F714F7" w:rsidRPr="00F714F7" w:rsidRDefault="00F714F7" w:rsidP="00F714F7">
      <w:r w:rsidRPr="00F714F7">
        <w:t>Considering</w:t>
      </w:r>
      <w:r>
        <w:t xml:space="preserve"> that</w:t>
      </w:r>
      <w:r w:rsidRPr="00F714F7">
        <w:t xml:space="preserve"> the performance of preamble </w:t>
      </w:r>
      <w:r>
        <w:t xml:space="preserve">can be similar </w:t>
      </w:r>
      <w:r w:rsidRPr="00F714F7">
        <w:t xml:space="preserve">for 2-step RACH and 4-step RACH, and once the UE specific PUSCH resource is reserved for </w:t>
      </w:r>
      <w:r>
        <w:t>MSGA</w:t>
      </w:r>
      <w:r w:rsidRPr="00F714F7">
        <w:t xml:space="preserve"> transmission, it will be wasted </w:t>
      </w:r>
      <w:r>
        <w:t>if</w:t>
      </w:r>
      <w:r w:rsidRPr="00F714F7">
        <w:t xml:space="preserve"> the 4-step CFRA is selected by UE, we do not see any benefit to allow </w:t>
      </w:r>
      <w:r>
        <w:t>simultaneous</w:t>
      </w:r>
      <w:r w:rsidRPr="00F714F7">
        <w:t xml:space="preserve"> configuration of 2-step CFRA resource and 4-step CFRA resource on the same BWP. Therefore, </w:t>
      </w:r>
      <w:r>
        <w:t>the following is proposed</w:t>
      </w:r>
      <w:r w:rsidRPr="00F714F7">
        <w:t>:</w:t>
      </w:r>
    </w:p>
    <w:p w14:paraId="5897203D" w14:textId="519C6868" w:rsidR="002039AE" w:rsidRPr="002039AE" w:rsidRDefault="001B2A41" w:rsidP="00F714F7">
      <w:pPr>
        <w:pStyle w:val="3GPPProposal"/>
      </w:pPr>
      <w:bookmarkStart w:id="18" w:name="_Toc21019518"/>
      <w:r w:rsidRPr="001B2A41">
        <w:t xml:space="preserve">The NW can either configure 2-step CFRA resource or 4-step CFRA resource for HO (i.e. NW does not configure </w:t>
      </w:r>
      <w:proofErr w:type="gramStart"/>
      <w:r w:rsidRPr="001B2A41">
        <w:t>both of them</w:t>
      </w:r>
      <w:proofErr w:type="gramEnd"/>
      <w:r w:rsidRPr="001B2A41">
        <w:t xml:space="preserve"> simultaneously in the </w:t>
      </w:r>
      <w:r w:rsidRPr="001B2A41">
        <w:rPr>
          <w:i/>
          <w:iCs/>
        </w:rPr>
        <w:t>RACH-</w:t>
      </w:r>
      <w:proofErr w:type="spellStart"/>
      <w:r w:rsidRPr="001B2A41">
        <w:rPr>
          <w:i/>
          <w:iCs/>
        </w:rPr>
        <w:t>ConfigDedicated</w:t>
      </w:r>
      <w:proofErr w:type="spellEnd"/>
      <w:r w:rsidRPr="001B2A41">
        <w:t>)</w:t>
      </w:r>
      <w:bookmarkEnd w:id="18"/>
    </w:p>
    <w:p w14:paraId="6F23F34B" w14:textId="77777777" w:rsidR="001A0F6F" w:rsidRDefault="001A0F6F" w:rsidP="001A0F6F">
      <w:r>
        <w:t xml:space="preserve">In 4-step RACH, the 4-step CFRA can only be configured on the BWP with 4-step CBRA resource, in which case, if no qualified SSB/CSI-RS with 4-step CFRA resource can be detected, the UE can fallback to 4-step CBRA without BWP switch. </w:t>
      </w:r>
    </w:p>
    <w:p w14:paraId="5139863F" w14:textId="61ED8E4A" w:rsidR="001A0F6F" w:rsidRDefault="001A0F6F" w:rsidP="001A0F6F">
      <w:r>
        <w:t xml:space="preserve">In case of 2-step RACH, the question is whether NW is allowed to configure 2-step CFRA on the BWP without 2-step CBRA resource. It should be noted that in case of 2-step CFRA, if no qualified SSB/CSI-RS with 2-step CFRA resources can be detected, the UE can still fallback to 4-step CBRA. Considering that the 4-step CBRA resource will always be </w:t>
      </w:r>
      <w:r w:rsidR="00B066E8">
        <w:t>configured</w:t>
      </w:r>
      <w:r>
        <w:t xml:space="preserve"> in the cell to support the legacy UE, we propose </w:t>
      </w:r>
      <w:r w:rsidR="00B066E8">
        <w:t>the following</w:t>
      </w:r>
      <w:r>
        <w:t>:</w:t>
      </w:r>
    </w:p>
    <w:p w14:paraId="4B8A2CB6" w14:textId="3672FD13" w:rsidR="005D5E8E" w:rsidRPr="00A20BFA" w:rsidRDefault="001B2A41" w:rsidP="00A20BFA">
      <w:pPr>
        <w:pStyle w:val="3GPPProposal"/>
      </w:pPr>
      <w:bookmarkStart w:id="19" w:name="_Toc21019519"/>
      <w:r w:rsidRPr="001B2A41">
        <w:t xml:space="preserve">NW </w:t>
      </w:r>
      <w:proofErr w:type="gramStart"/>
      <w:r w:rsidRPr="001B2A41">
        <w:t>is allowed to</w:t>
      </w:r>
      <w:proofErr w:type="gramEnd"/>
      <w:r w:rsidRPr="001B2A41">
        <w:t xml:space="preserve"> configure 2-step CFRA regardless of the presence of the 2-step CBRA resources (i.e. 2-step CFRA can be configured to be used on the </w:t>
      </w:r>
      <w:proofErr w:type="spellStart"/>
      <w:r w:rsidRPr="001B2A41">
        <w:rPr>
          <w:i/>
          <w:iCs/>
        </w:rPr>
        <w:t>firstActiveBWP</w:t>
      </w:r>
      <w:proofErr w:type="spellEnd"/>
      <w:r w:rsidRPr="001B2A41">
        <w:t xml:space="preserve"> with and without 2-step CBRA resources)</w:t>
      </w:r>
      <w:bookmarkEnd w:id="19"/>
      <w:r w:rsidR="001A0F6F">
        <w:t xml:space="preserve"> </w:t>
      </w:r>
    </w:p>
    <w:p w14:paraId="11F6C8DA" w14:textId="4FE3CDE2" w:rsidR="001841BA" w:rsidRDefault="0014057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C18A720" w14:textId="739CDE4F" w:rsidR="006A008F" w:rsidRPr="00140571" w:rsidRDefault="00140571" w:rsidP="0040782D">
      <w:r w:rsidRPr="00140571">
        <w:t>The following proposals are made:</w:t>
      </w:r>
    </w:p>
    <w:p w14:paraId="50DAFEF1" w14:textId="41AC9275" w:rsidR="001E69C8" w:rsidRPr="001E69C8" w:rsidRDefault="0040782D">
      <w:pPr>
        <w:pStyle w:val="TOC1"/>
        <w:tabs>
          <w:tab w:val="left" w:pos="1470"/>
        </w:tabs>
        <w:spacing w:before="78" w:after="78"/>
        <w:rPr>
          <w:rFonts w:asciiTheme="minorHAnsi" w:hAnsiTheme="minorHAnsi" w:cstheme="minorBidi"/>
          <w:b/>
          <w:bCs/>
          <w:noProof/>
          <w:kern w:val="0"/>
          <w:sz w:val="22"/>
          <w:szCs w:val="22"/>
        </w:rPr>
      </w:pPr>
      <w:r w:rsidRPr="00E70163">
        <w:rPr>
          <w:b/>
          <w:bCs/>
        </w:rPr>
        <w:fldChar w:fldCharType="begin"/>
      </w:r>
      <w:r w:rsidRPr="00E70163">
        <w:rPr>
          <w:b/>
          <w:bCs/>
        </w:rPr>
        <w:instrText xml:space="preserve"> TOC \n \h \z \t "3GPPProposal,1" </w:instrText>
      </w:r>
      <w:r w:rsidRPr="00E70163">
        <w:rPr>
          <w:b/>
          <w:bCs/>
        </w:rPr>
        <w:fldChar w:fldCharType="separate"/>
      </w:r>
      <w:bookmarkStart w:id="20" w:name="_GoBack"/>
      <w:r w:rsidR="001E69C8" w:rsidRPr="001E69C8">
        <w:rPr>
          <w:rStyle w:val="Hyperlink"/>
          <w:b/>
          <w:bCs/>
          <w:noProof/>
        </w:rPr>
        <w:fldChar w:fldCharType="begin"/>
      </w:r>
      <w:r w:rsidR="001E69C8" w:rsidRPr="001E69C8">
        <w:rPr>
          <w:rStyle w:val="Hyperlink"/>
          <w:b/>
          <w:bCs/>
          <w:noProof/>
        </w:rPr>
        <w:instrText xml:space="preserve"> </w:instrText>
      </w:r>
      <w:r w:rsidR="001E69C8" w:rsidRPr="001E69C8">
        <w:rPr>
          <w:b/>
          <w:bCs/>
          <w:noProof/>
        </w:rPr>
        <w:instrText>HYPERLINK \l "_Toc21019508"</w:instrText>
      </w:r>
      <w:r w:rsidR="001E69C8" w:rsidRPr="001E69C8">
        <w:rPr>
          <w:rStyle w:val="Hyperlink"/>
          <w:b/>
          <w:bCs/>
          <w:noProof/>
        </w:rPr>
        <w:instrText xml:space="preserve"> </w:instrText>
      </w:r>
      <w:r w:rsidR="001E69C8" w:rsidRPr="001E69C8">
        <w:rPr>
          <w:rStyle w:val="Hyperlink"/>
          <w:b/>
          <w:bCs/>
          <w:noProof/>
        </w:rPr>
      </w:r>
      <w:r w:rsidR="001E69C8" w:rsidRPr="001E69C8">
        <w:rPr>
          <w:rStyle w:val="Hyperlink"/>
          <w:b/>
          <w:bCs/>
          <w:noProof/>
        </w:rPr>
        <w:fldChar w:fldCharType="separate"/>
      </w:r>
      <w:r w:rsidR="001E69C8" w:rsidRPr="001E69C8">
        <w:rPr>
          <w:rStyle w:val="Hyperlink"/>
          <w:b/>
          <w:bCs/>
          <w:noProof/>
        </w:rPr>
        <w:t>Proposal 1:</w:t>
      </w:r>
      <w:r w:rsidR="001E69C8" w:rsidRPr="001E69C8">
        <w:rPr>
          <w:rFonts w:asciiTheme="minorHAnsi" w:hAnsiTheme="minorHAnsi" w:cstheme="minorBidi"/>
          <w:b/>
          <w:bCs/>
          <w:noProof/>
          <w:kern w:val="0"/>
          <w:sz w:val="22"/>
          <w:szCs w:val="22"/>
        </w:rPr>
        <w:tab/>
      </w:r>
      <w:r w:rsidR="001E69C8" w:rsidRPr="001E69C8">
        <w:rPr>
          <w:rStyle w:val="Hyperlink"/>
          <w:b/>
          <w:bCs/>
          <w:noProof/>
        </w:rPr>
        <w:t xml:space="preserve">For HO with 2-step CFRA, the UE will monitor the PDCCH of the target cell for the response from the gNB identified by the C-RNTI while the </w:t>
      </w:r>
      <w:r w:rsidR="001E69C8" w:rsidRPr="001E69C8">
        <w:rPr>
          <w:rStyle w:val="Hyperlink"/>
          <w:b/>
          <w:bCs/>
          <w:i/>
          <w:iCs/>
          <w:noProof/>
        </w:rPr>
        <w:t>msgB-ResponseWindow</w:t>
      </w:r>
      <w:r w:rsidR="001E69C8" w:rsidRPr="001E69C8">
        <w:rPr>
          <w:rStyle w:val="Hyperlink"/>
          <w:b/>
          <w:bCs/>
          <w:noProof/>
        </w:rPr>
        <w:t xml:space="preserve"> is running. The RA procedure is considered successful upon reception of a transmission addressed to the C-RNTI containing at least the 12 bit TAC MAC CE.</w:t>
      </w:r>
      <w:r w:rsidR="001E69C8" w:rsidRPr="001E69C8">
        <w:rPr>
          <w:rStyle w:val="Hyperlink"/>
          <w:b/>
          <w:bCs/>
          <w:noProof/>
        </w:rPr>
        <w:fldChar w:fldCharType="end"/>
      </w:r>
    </w:p>
    <w:p w14:paraId="7C734B40" w14:textId="606241D5" w:rsidR="001E69C8" w:rsidRPr="001E69C8" w:rsidRDefault="001E69C8">
      <w:pPr>
        <w:pStyle w:val="TOC1"/>
        <w:tabs>
          <w:tab w:val="left" w:pos="1470"/>
        </w:tabs>
        <w:spacing w:before="78" w:after="78"/>
        <w:rPr>
          <w:rFonts w:asciiTheme="minorHAnsi" w:hAnsiTheme="minorHAnsi" w:cstheme="minorBidi"/>
          <w:b/>
          <w:bCs/>
          <w:noProof/>
          <w:kern w:val="0"/>
          <w:sz w:val="22"/>
          <w:szCs w:val="22"/>
        </w:rPr>
      </w:pPr>
      <w:hyperlink w:anchor="_Toc21019509" w:history="1">
        <w:r w:rsidRPr="001E69C8">
          <w:rPr>
            <w:rStyle w:val="Hyperlink"/>
            <w:b/>
            <w:bCs/>
            <w:noProof/>
          </w:rPr>
          <w:t>Proposal 2:</w:t>
        </w:r>
        <w:r w:rsidRPr="001E69C8">
          <w:rPr>
            <w:rFonts w:asciiTheme="minorHAnsi" w:hAnsiTheme="minorHAnsi" w:cstheme="minorBidi"/>
            <w:b/>
            <w:bCs/>
            <w:noProof/>
            <w:kern w:val="0"/>
            <w:sz w:val="22"/>
            <w:szCs w:val="22"/>
          </w:rPr>
          <w:tab/>
        </w:r>
        <w:r w:rsidRPr="001E69C8">
          <w:rPr>
            <w:rStyle w:val="Hyperlink"/>
            <w:b/>
            <w:bCs/>
            <w:noProof/>
          </w:rPr>
          <w:t>There is no need to have an RSRP based threshold for selecting 2-step CFRA (i.e. if a qualified SSB/CSI-RS is found for the configured CFRA resource, then the UE performs 2-step CFRA)</w:t>
        </w:r>
      </w:hyperlink>
    </w:p>
    <w:p w14:paraId="6E1ABF12" w14:textId="5ADA74EA" w:rsidR="001E69C8" w:rsidRPr="001E69C8" w:rsidRDefault="001E69C8">
      <w:pPr>
        <w:pStyle w:val="TOC1"/>
        <w:tabs>
          <w:tab w:val="left" w:pos="1470"/>
        </w:tabs>
        <w:spacing w:before="78" w:after="78"/>
        <w:rPr>
          <w:rFonts w:asciiTheme="minorHAnsi" w:hAnsiTheme="minorHAnsi" w:cstheme="minorBidi"/>
          <w:b/>
          <w:bCs/>
          <w:noProof/>
          <w:kern w:val="0"/>
          <w:sz w:val="22"/>
          <w:szCs w:val="22"/>
        </w:rPr>
      </w:pPr>
      <w:hyperlink w:anchor="_Toc21019510" w:history="1">
        <w:r w:rsidRPr="001E69C8">
          <w:rPr>
            <w:rStyle w:val="Hyperlink"/>
            <w:b/>
            <w:bCs/>
            <w:noProof/>
          </w:rPr>
          <w:t>Proposal 3:</w:t>
        </w:r>
        <w:r w:rsidRPr="001E69C8">
          <w:rPr>
            <w:rFonts w:asciiTheme="minorHAnsi" w:hAnsiTheme="minorHAnsi" w:cstheme="minorBidi"/>
            <w:b/>
            <w:bCs/>
            <w:noProof/>
            <w:kern w:val="0"/>
            <w:sz w:val="22"/>
            <w:szCs w:val="22"/>
          </w:rPr>
          <w:tab/>
        </w:r>
        <w:r w:rsidRPr="001E69C8">
          <w:rPr>
            <w:rStyle w:val="Hyperlink"/>
            <w:b/>
            <w:bCs/>
            <w:noProof/>
          </w:rPr>
          <w:t>For 2-step CFRA MSGA transmission, if no qualified SSB/CSI-RS with 2-step CFRA resource can be detected, the UE switches to CBRA mode.</w:t>
        </w:r>
      </w:hyperlink>
    </w:p>
    <w:p w14:paraId="13211A3D" w14:textId="40E2135C" w:rsidR="001E69C8" w:rsidRPr="001E69C8" w:rsidRDefault="001E69C8">
      <w:pPr>
        <w:pStyle w:val="TOC1"/>
        <w:tabs>
          <w:tab w:val="left" w:pos="1470"/>
        </w:tabs>
        <w:spacing w:before="78" w:after="78"/>
        <w:rPr>
          <w:rFonts w:asciiTheme="minorHAnsi" w:hAnsiTheme="minorHAnsi" w:cstheme="minorBidi"/>
          <w:b/>
          <w:bCs/>
          <w:noProof/>
          <w:kern w:val="0"/>
          <w:sz w:val="22"/>
          <w:szCs w:val="22"/>
        </w:rPr>
      </w:pPr>
      <w:hyperlink w:anchor="_Toc21019511" w:history="1">
        <w:r w:rsidRPr="001E69C8">
          <w:rPr>
            <w:rStyle w:val="Hyperlink"/>
            <w:b/>
            <w:bCs/>
            <w:noProof/>
          </w:rPr>
          <w:t>Proposal 4:</w:t>
        </w:r>
        <w:r w:rsidRPr="001E69C8">
          <w:rPr>
            <w:rFonts w:asciiTheme="minorHAnsi" w:hAnsiTheme="minorHAnsi" w:cstheme="minorBidi"/>
            <w:b/>
            <w:bCs/>
            <w:noProof/>
            <w:kern w:val="0"/>
            <w:sz w:val="22"/>
            <w:szCs w:val="22"/>
          </w:rPr>
          <w:tab/>
        </w:r>
        <w:r w:rsidRPr="001E69C8">
          <w:rPr>
            <w:rStyle w:val="Hyperlink"/>
            <w:b/>
            <w:bCs/>
            <w:noProof/>
          </w:rPr>
          <w:t>Upon switching to CBRA mode per above (i.e. no qualified SSB/CSI-RS found), the UE performs RA type selection (between 2-step CBRA and 4-step CBRA, per the current agreements) if 2-step CBRA resources exist; otherwise (i.e. only 4-step CBRA is configured), the UE selects 4-step CBRA</w:t>
        </w:r>
      </w:hyperlink>
    </w:p>
    <w:p w14:paraId="77F86402" w14:textId="6CA97317" w:rsidR="001E69C8" w:rsidRPr="001E69C8" w:rsidRDefault="001E69C8">
      <w:pPr>
        <w:pStyle w:val="TOC1"/>
        <w:tabs>
          <w:tab w:val="left" w:pos="1470"/>
        </w:tabs>
        <w:spacing w:before="78" w:after="78"/>
        <w:rPr>
          <w:rFonts w:asciiTheme="minorHAnsi" w:hAnsiTheme="minorHAnsi" w:cstheme="minorBidi"/>
          <w:b/>
          <w:bCs/>
          <w:noProof/>
          <w:kern w:val="0"/>
          <w:sz w:val="22"/>
          <w:szCs w:val="22"/>
        </w:rPr>
      </w:pPr>
      <w:hyperlink w:anchor="_Toc21019512" w:history="1">
        <w:r w:rsidRPr="001E69C8">
          <w:rPr>
            <w:rStyle w:val="Hyperlink"/>
            <w:b/>
            <w:bCs/>
            <w:noProof/>
          </w:rPr>
          <w:t>Proposal 5:</w:t>
        </w:r>
        <w:r w:rsidRPr="001E69C8">
          <w:rPr>
            <w:rFonts w:asciiTheme="minorHAnsi" w:hAnsiTheme="minorHAnsi" w:cstheme="minorBidi"/>
            <w:b/>
            <w:bCs/>
            <w:noProof/>
            <w:kern w:val="0"/>
            <w:sz w:val="22"/>
            <w:szCs w:val="22"/>
          </w:rPr>
          <w:tab/>
        </w:r>
        <w:r w:rsidRPr="001E69C8">
          <w:rPr>
            <w:rStyle w:val="Hyperlink"/>
            <w:b/>
            <w:bCs/>
            <w:noProof/>
          </w:rPr>
          <w:t>If the 2-step CFRA is configured for the UE and the UE switches to 4-step CBRA (per Proposal 4 above), then the UE continues with 4-step CBRA procedure (i.e. it doesn’t switch back to 2-step CFRA).</w:t>
        </w:r>
      </w:hyperlink>
    </w:p>
    <w:p w14:paraId="0F21965E" w14:textId="16173603" w:rsidR="001E69C8" w:rsidRPr="001E69C8" w:rsidRDefault="001E69C8">
      <w:pPr>
        <w:pStyle w:val="TOC1"/>
        <w:tabs>
          <w:tab w:val="left" w:pos="1470"/>
        </w:tabs>
        <w:spacing w:before="78" w:after="78"/>
        <w:rPr>
          <w:rFonts w:asciiTheme="minorHAnsi" w:hAnsiTheme="minorHAnsi" w:cstheme="minorBidi"/>
          <w:b/>
          <w:bCs/>
          <w:noProof/>
          <w:kern w:val="0"/>
          <w:sz w:val="22"/>
          <w:szCs w:val="22"/>
        </w:rPr>
      </w:pPr>
      <w:hyperlink w:anchor="_Toc21019513" w:history="1">
        <w:r w:rsidRPr="001E69C8">
          <w:rPr>
            <w:rStyle w:val="Hyperlink"/>
            <w:b/>
            <w:bCs/>
            <w:noProof/>
          </w:rPr>
          <w:t>Proposal 6:</w:t>
        </w:r>
        <w:r w:rsidRPr="001E69C8">
          <w:rPr>
            <w:rFonts w:asciiTheme="minorHAnsi" w:hAnsiTheme="minorHAnsi" w:cstheme="minorBidi"/>
            <w:b/>
            <w:bCs/>
            <w:noProof/>
            <w:kern w:val="0"/>
            <w:sz w:val="22"/>
            <w:szCs w:val="22"/>
          </w:rPr>
          <w:tab/>
        </w:r>
        <w:r w:rsidRPr="001E69C8">
          <w:rPr>
            <w:rStyle w:val="Hyperlink"/>
            <w:b/>
            <w:bCs/>
            <w:noProof/>
          </w:rPr>
          <w:t>In 2-step CFRA, the UE includes the C-RNTI MAC CE in MSGA payload (along with HO complete and other data based on logical channel prioritisation)</w:t>
        </w:r>
      </w:hyperlink>
    </w:p>
    <w:p w14:paraId="16924E85" w14:textId="27686311" w:rsidR="001E69C8" w:rsidRPr="001E69C8" w:rsidRDefault="001E69C8">
      <w:pPr>
        <w:pStyle w:val="TOC1"/>
        <w:tabs>
          <w:tab w:val="left" w:pos="1470"/>
        </w:tabs>
        <w:spacing w:before="78" w:after="78"/>
        <w:rPr>
          <w:rFonts w:asciiTheme="minorHAnsi" w:hAnsiTheme="minorHAnsi" w:cstheme="minorBidi"/>
          <w:b/>
          <w:bCs/>
          <w:noProof/>
          <w:kern w:val="0"/>
          <w:sz w:val="22"/>
          <w:szCs w:val="22"/>
        </w:rPr>
      </w:pPr>
      <w:hyperlink w:anchor="_Toc21019514" w:history="1">
        <w:r w:rsidRPr="001E69C8">
          <w:rPr>
            <w:rStyle w:val="Hyperlink"/>
            <w:b/>
            <w:bCs/>
            <w:noProof/>
          </w:rPr>
          <w:t>Proposal 7:</w:t>
        </w:r>
        <w:r w:rsidRPr="001E69C8">
          <w:rPr>
            <w:rFonts w:asciiTheme="minorHAnsi" w:hAnsiTheme="minorHAnsi" w:cstheme="minorBidi"/>
            <w:b/>
            <w:bCs/>
            <w:noProof/>
            <w:kern w:val="0"/>
            <w:sz w:val="22"/>
            <w:szCs w:val="22"/>
          </w:rPr>
          <w:tab/>
        </w:r>
        <w:r w:rsidRPr="001E69C8">
          <w:rPr>
            <w:rStyle w:val="Hyperlink"/>
            <w:b/>
            <w:bCs/>
            <w:noProof/>
          </w:rPr>
          <w:t>In case of 2-step CFRA, once MSGA is transmitted, the UE doesn’t monitor the MSGB-RNTI (i.e. no fallback)</w:t>
        </w:r>
      </w:hyperlink>
    </w:p>
    <w:p w14:paraId="05DB0AE7" w14:textId="137DC62D" w:rsidR="001E69C8" w:rsidRPr="001E69C8" w:rsidRDefault="001E69C8">
      <w:pPr>
        <w:pStyle w:val="TOC1"/>
        <w:tabs>
          <w:tab w:val="left" w:pos="1470"/>
        </w:tabs>
        <w:spacing w:before="78" w:after="78"/>
        <w:rPr>
          <w:rFonts w:asciiTheme="minorHAnsi" w:hAnsiTheme="minorHAnsi" w:cstheme="minorBidi"/>
          <w:b/>
          <w:bCs/>
          <w:noProof/>
          <w:kern w:val="0"/>
          <w:sz w:val="22"/>
          <w:szCs w:val="22"/>
        </w:rPr>
      </w:pPr>
      <w:hyperlink w:anchor="_Toc21019515" w:history="1">
        <w:r w:rsidRPr="001E69C8">
          <w:rPr>
            <w:rStyle w:val="Hyperlink"/>
            <w:b/>
            <w:bCs/>
            <w:noProof/>
          </w:rPr>
          <w:t>Proposal 8:</w:t>
        </w:r>
        <w:r w:rsidRPr="001E69C8">
          <w:rPr>
            <w:rFonts w:asciiTheme="minorHAnsi" w:hAnsiTheme="minorHAnsi" w:cstheme="minorBidi"/>
            <w:b/>
            <w:bCs/>
            <w:noProof/>
            <w:kern w:val="0"/>
            <w:sz w:val="22"/>
            <w:szCs w:val="22"/>
          </w:rPr>
          <w:tab/>
        </w:r>
        <w:r w:rsidRPr="001E69C8">
          <w:rPr>
            <w:rStyle w:val="Hyperlink"/>
            <w:b/>
            <w:bCs/>
            <w:noProof/>
          </w:rPr>
          <w:t>Both SSB and CSI-RS based 2-step CFRA will be supported</w:t>
        </w:r>
      </w:hyperlink>
    </w:p>
    <w:p w14:paraId="3F3DF771" w14:textId="3A29EE35" w:rsidR="001E69C8" w:rsidRPr="001E69C8" w:rsidRDefault="001E69C8">
      <w:pPr>
        <w:pStyle w:val="TOC1"/>
        <w:tabs>
          <w:tab w:val="left" w:pos="1470"/>
        </w:tabs>
        <w:spacing w:before="78" w:after="78"/>
        <w:rPr>
          <w:rFonts w:asciiTheme="minorHAnsi" w:hAnsiTheme="minorHAnsi" w:cstheme="minorBidi"/>
          <w:b/>
          <w:bCs/>
          <w:noProof/>
          <w:kern w:val="0"/>
          <w:sz w:val="22"/>
          <w:szCs w:val="22"/>
        </w:rPr>
      </w:pPr>
      <w:hyperlink w:anchor="_Toc21019516" w:history="1">
        <w:r w:rsidRPr="001E69C8">
          <w:rPr>
            <w:rStyle w:val="Hyperlink"/>
            <w:b/>
            <w:bCs/>
            <w:noProof/>
          </w:rPr>
          <w:t>Proposal 9:</w:t>
        </w:r>
        <w:r w:rsidRPr="001E69C8">
          <w:rPr>
            <w:rFonts w:asciiTheme="minorHAnsi" w:hAnsiTheme="minorHAnsi" w:cstheme="minorBidi"/>
            <w:b/>
            <w:bCs/>
            <w:noProof/>
            <w:kern w:val="0"/>
            <w:sz w:val="22"/>
            <w:szCs w:val="22"/>
          </w:rPr>
          <w:tab/>
        </w:r>
        <w:r w:rsidRPr="001E69C8">
          <w:rPr>
            <w:rStyle w:val="Hyperlink"/>
            <w:b/>
            <w:bCs/>
            <w:noProof/>
          </w:rPr>
          <w:t>The PUSCH resource for 2-step CFRA associated with the dedicated preamble will be configured to the UE via dedicated signalling (i.e. will not be included in SIB1).</w:t>
        </w:r>
      </w:hyperlink>
    </w:p>
    <w:p w14:paraId="474A7461" w14:textId="3A4ADCEA" w:rsidR="001E69C8" w:rsidRPr="001E69C8" w:rsidRDefault="001E69C8">
      <w:pPr>
        <w:pStyle w:val="TOC1"/>
        <w:tabs>
          <w:tab w:val="left" w:pos="1470"/>
        </w:tabs>
        <w:spacing w:before="78" w:after="78"/>
        <w:rPr>
          <w:rFonts w:asciiTheme="minorHAnsi" w:hAnsiTheme="minorHAnsi" w:cstheme="minorBidi"/>
          <w:b/>
          <w:bCs/>
          <w:noProof/>
          <w:kern w:val="0"/>
          <w:sz w:val="22"/>
          <w:szCs w:val="22"/>
        </w:rPr>
      </w:pPr>
      <w:hyperlink w:anchor="_Toc21019517" w:history="1">
        <w:r w:rsidRPr="001E69C8">
          <w:rPr>
            <w:rStyle w:val="Hyperlink"/>
            <w:b/>
            <w:bCs/>
            <w:noProof/>
          </w:rPr>
          <w:t>Proposal 10:</w:t>
        </w:r>
        <w:r w:rsidRPr="001E69C8">
          <w:rPr>
            <w:rFonts w:asciiTheme="minorHAnsi" w:hAnsiTheme="minorHAnsi" w:cstheme="minorBidi"/>
            <w:b/>
            <w:bCs/>
            <w:noProof/>
            <w:kern w:val="0"/>
            <w:sz w:val="22"/>
            <w:szCs w:val="22"/>
          </w:rPr>
          <w:tab/>
        </w:r>
        <w:r w:rsidRPr="001E69C8">
          <w:rPr>
            <w:rStyle w:val="Hyperlink"/>
            <w:b/>
            <w:bCs/>
            <w:noProof/>
          </w:rPr>
          <w:t xml:space="preserve">The RA prioritization is supported for 2-step RACH in HO, and the following parameters can be configured for 2-step RACH to prioritize the RA procedure for HO </w:t>
        </w:r>
        <w:r w:rsidRPr="001E69C8">
          <w:rPr>
            <w:rStyle w:val="Hyperlink"/>
            <w:b/>
            <w:bCs/>
            <w:i/>
            <w:iCs/>
            <w:noProof/>
          </w:rPr>
          <w:t>powerRampingStepHighPriority</w:t>
        </w:r>
        <w:r w:rsidRPr="001E69C8">
          <w:rPr>
            <w:rStyle w:val="Hyperlink"/>
            <w:b/>
            <w:bCs/>
            <w:noProof/>
          </w:rPr>
          <w:t xml:space="preserve">, </w:t>
        </w:r>
        <w:r w:rsidRPr="001E69C8">
          <w:rPr>
            <w:rStyle w:val="Hyperlink"/>
            <w:b/>
            <w:bCs/>
            <w:i/>
            <w:iCs/>
            <w:noProof/>
          </w:rPr>
          <w:t>scalingFactorBI</w:t>
        </w:r>
      </w:hyperlink>
    </w:p>
    <w:p w14:paraId="0E5F8E46" w14:textId="472D815D" w:rsidR="001E69C8" w:rsidRPr="001E69C8" w:rsidRDefault="001E69C8">
      <w:pPr>
        <w:pStyle w:val="TOC1"/>
        <w:tabs>
          <w:tab w:val="left" w:pos="1470"/>
        </w:tabs>
        <w:spacing w:before="78" w:after="78"/>
        <w:rPr>
          <w:rFonts w:asciiTheme="minorHAnsi" w:hAnsiTheme="minorHAnsi" w:cstheme="minorBidi"/>
          <w:b/>
          <w:bCs/>
          <w:noProof/>
          <w:kern w:val="0"/>
          <w:sz w:val="22"/>
          <w:szCs w:val="22"/>
        </w:rPr>
      </w:pPr>
      <w:hyperlink w:anchor="_Toc21019518" w:history="1">
        <w:r w:rsidRPr="001E69C8">
          <w:rPr>
            <w:rStyle w:val="Hyperlink"/>
            <w:b/>
            <w:bCs/>
            <w:noProof/>
          </w:rPr>
          <w:t>Proposal 11:</w:t>
        </w:r>
        <w:r w:rsidRPr="001E69C8">
          <w:rPr>
            <w:rFonts w:asciiTheme="minorHAnsi" w:hAnsiTheme="minorHAnsi" w:cstheme="minorBidi"/>
            <w:b/>
            <w:bCs/>
            <w:noProof/>
            <w:kern w:val="0"/>
            <w:sz w:val="22"/>
            <w:szCs w:val="22"/>
          </w:rPr>
          <w:tab/>
        </w:r>
        <w:r w:rsidRPr="001E69C8">
          <w:rPr>
            <w:rStyle w:val="Hyperlink"/>
            <w:b/>
            <w:bCs/>
            <w:noProof/>
          </w:rPr>
          <w:t xml:space="preserve">The NW can either configure 2-step CFRA resource or 4-step CFRA resource for HO (i.e. NW does not configure both of them simultaneously in the </w:t>
        </w:r>
        <w:r w:rsidRPr="001E69C8">
          <w:rPr>
            <w:rStyle w:val="Hyperlink"/>
            <w:b/>
            <w:bCs/>
            <w:i/>
            <w:iCs/>
            <w:noProof/>
          </w:rPr>
          <w:t>RACH-ConfigDedicated</w:t>
        </w:r>
        <w:r w:rsidRPr="001E69C8">
          <w:rPr>
            <w:rStyle w:val="Hyperlink"/>
            <w:b/>
            <w:bCs/>
            <w:noProof/>
          </w:rPr>
          <w:t>)</w:t>
        </w:r>
      </w:hyperlink>
    </w:p>
    <w:p w14:paraId="02E1CF87" w14:textId="283153DA" w:rsidR="001E69C8" w:rsidRDefault="001E69C8">
      <w:pPr>
        <w:pStyle w:val="TOC1"/>
        <w:tabs>
          <w:tab w:val="left" w:pos="1470"/>
        </w:tabs>
        <w:spacing w:before="78" w:after="78"/>
        <w:rPr>
          <w:rFonts w:asciiTheme="minorHAnsi" w:hAnsiTheme="minorHAnsi" w:cstheme="minorBidi"/>
          <w:noProof/>
          <w:kern w:val="0"/>
          <w:sz w:val="22"/>
          <w:szCs w:val="22"/>
        </w:rPr>
      </w:pPr>
      <w:hyperlink w:anchor="_Toc21019519" w:history="1">
        <w:r w:rsidRPr="001E69C8">
          <w:rPr>
            <w:rStyle w:val="Hyperlink"/>
            <w:b/>
            <w:bCs/>
            <w:noProof/>
          </w:rPr>
          <w:t>Proposal 12:</w:t>
        </w:r>
        <w:r w:rsidRPr="001E69C8">
          <w:rPr>
            <w:rFonts w:asciiTheme="minorHAnsi" w:hAnsiTheme="minorHAnsi" w:cstheme="minorBidi"/>
            <w:b/>
            <w:bCs/>
            <w:noProof/>
            <w:kern w:val="0"/>
            <w:sz w:val="22"/>
            <w:szCs w:val="22"/>
          </w:rPr>
          <w:tab/>
        </w:r>
        <w:r w:rsidRPr="001E69C8">
          <w:rPr>
            <w:rStyle w:val="Hyperlink"/>
            <w:b/>
            <w:bCs/>
            <w:noProof/>
          </w:rPr>
          <w:t xml:space="preserve">NW is allowed to configure 2-step CFRA regardless of the presence of the 2-step CBRA resources (i.e. 2-step CFRA can be configured to be used on the </w:t>
        </w:r>
        <w:r w:rsidRPr="001E69C8">
          <w:rPr>
            <w:rStyle w:val="Hyperlink"/>
            <w:b/>
            <w:bCs/>
            <w:i/>
            <w:iCs/>
            <w:noProof/>
          </w:rPr>
          <w:t>firstActiveBWP</w:t>
        </w:r>
        <w:r w:rsidRPr="001E69C8">
          <w:rPr>
            <w:rStyle w:val="Hyperlink"/>
            <w:b/>
            <w:bCs/>
            <w:noProof/>
          </w:rPr>
          <w:t xml:space="preserve"> with and without 2-step CBRA resources)</w:t>
        </w:r>
      </w:hyperlink>
      <w:bookmarkEnd w:id="20"/>
    </w:p>
    <w:p w14:paraId="6972FFF4" w14:textId="6055A655" w:rsidR="00E63D20" w:rsidRPr="00E63D20" w:rsidRDefault="0040782D" w:rsidP="007A34E8">
      <w:pPr>
        <w:pStyle w:val="TOC1"/>
        <w:tabs>
          <w:tab w:val="left" w:pos="1470"/>
        </w:tabs>
        <w:spacing w:before="78" w:after="78"/>
      </w:pPr>
      <w:r w:rsidRPr="00E70163">
        <w:rPr>
          <w:b/>
          <w:bCs/>
        </w:rPr>
        <w:fldChar w:fldCharType="end"/>
      </w:r>
    </w:p>
    <w:p w14:paraId="3ABBC943"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1" w:name="_Toc18403976"/>
      <w:bookmarkStart w:id="22" w:name="_Toc18404543"/>
      <w:bookmarkStart w:id="23" w:name="_Toc18413612"/>
      <w:r>
        <w:rPr>
          <w:rFonts w:cs="Arial"/>
          <w:b w:val="0"/>
          <w:bCs w:val="0"/>
          <w:kern w:val="0"/>
          <w:sz w:val="32"/>
          <w:szCs w:val="36"/>
        </w:rPr>
        <w:t>References</w:t>
      </w:r>
      <w:bookmarkEnd w:id="21"/>
      <w:bookmarkEnd w:id="22"/>
      <w:bookmarkEnd w:id="23"/>
    </w:p>
    <w:p w14:paraId="706156CD" w14:textId="5EFB5C40" w:rsidR="00FA18A4" w:rsidRDefault="00D70268">
      <w:pPr>
        <w:pStyle w:val="NormalWeb"/>
        <w:numPr>
          <w:ilvl w:val="0"/>
          <w:numId w:val="7"/>
        </w:numPr>
        <w:spacing w:before="75" w:beforeAutospacing="0" w:after="75" w:afterAutospacing="0" w:line="315" w:lineRule="atLeast"/>
        <w:rPr>
          <w:rFonts w:cs="Arial"/>
          <w:color w:val="000000"/>
          <w:sz w:val="21"/>
        </w:rPr>
      </w:pPr>
      <w:bookmarkStart w:id="24" w:name="_Ref20391630"/>
      <w:r w:rsidRPr="00D70268">
        <w:rPr>
          <w:rFonts w:cs="Arial"/>
          <w:color w:val="000000"/>
          <w:sz w:val="21"/>
        </w:rPr>
        <w:t>RP-192330</w:t>
      </w:r>
      <w:r>
        <w:rPr>
          <w:rFonts w:cs="Arial"/>
          <w:color w:val="000000"/>
          <w:sz w:val="21"/>
        </w:rPr>
        <w:t xml:space="preserve">, </w:t>
      </w:r>
      <w:r w:rsidRPr="00D70268">
        <w:rPr>
          <w:rFonts w:cs="Arial"/>
          <w:color w:val="000000"/>
          <w:sz w:val="21"/>
        </w:rPr>
        <w:t>Revised work item proposal: 2-step RACH for NR</w:t>
      </w:r>
      <w:r>
        <w:rPr>
          <w:rFonts w:cs="Arial"/>
          <w:color w:val="000000"/>
          <w:sz w:val="21"/>
        </w:rPr>
        <w:t>, ZTE Corporation, RAN#85</w:t>
      </w:r>
      <w:bookmarkEnd w:id="24"/>
    </w:p>
    <w:p w14:paraId="26CA8B73" w14:textId="0F204553" w:rsidR="001841BA" w:rsidRDefault="001841BA" w:rsidP="008D4A09">
      <w:pPr>
        <w:pStyle w:val="NormalWeb"/>
        <w:spacing w:before="75" w:beforeAutospacing="0" w:after="75" w:afterAutospacing="0" w:line="315" w:lineRule="atLeast"/>
        <w:ind w:left="360"/>
        <w:rPr>
          <w:rFonts w:cs="Arial"/>
          <w:color w:val="000000"/>
          <w:sz w:val="21"/>
        </w:rPr>
      </w:pPr>
    </w:p>
    <w:p w14:paraId="43548B53" w14:textId="77777777" w:rsidR="001841BA" w:rsidRDefault="001841BA"/>
    <w:sectPr w:rsidR="001841BA" w:rsidSect="00140571">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306FF" w14:textId="77777777" w:rsidR="001F0A3C" w:rsidRDefault="001F0A3C">
      <w:pPr>
        <w:spacing w:after="0" w:line="240" w:lineRule="auto"/>
      </w:pPr>
      <w:r>
        <w:separator/>
      </w:r>
    </w:p>
  </w:endnote>
  <w:endnote w:type="continuationSeparator" w:id="0">
    <w:p w14:paraId="24027FEC" w14:textId="77777777" w:rsidR="001F0A3C" w:rsidRDefault="001F0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E3F8" w14:textId="77777777" w:rsidR="00430542" w:rsidRDefault="004305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B18B6B" w14:textId="77777777" w:rsidR="00430542" w:rsidRDefault="004305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679E" w14:textId="77777777" w:rsidR="00430542" w:rsidRDefault="0043054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01F0D" w14:textId="77777777" w:rsidR="001F0A3C" w:rsidRDefault="001F0A3C">
      <w:pPr>
        <w:spacing w:after="0" w:line="240" w:lineRule="auto"/>
      </w:pPr>
      <w:r>
        <w:separator/>
      </w:r>
    </w:p>
  </w:footnote>
  <w:footnote w:type="continuationSeparator" w:id="0">
    <w:p w14:paraId="5F667051" w14:textId="77777777" w:rsidR="001F0A3C" w:rsidRDefault="001F0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5839D" w14:textId="77777777" w:rsidR="00430542" w:rsidRDefault="0043054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64EE8"/>
    <w:multiLevelType w:val="singleLevel"/>
    <w:tmpl w:val="FC464EE8"/>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283F1A"/>
    <w:multiLevelType w:val="hybridMultilevel"/>
    <w:tmpl w:val="997473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B2244"/>
    <w:multiLevelType w:val="hybridMultilevel"/>
    <w:tmpl w:val="7A407A0A"/>
    <w:lvl w:ilvl="0" w:tplc="766A3B38">
      <w:start w:val="1"/>
      <w:numFmt w:val="bullet"/>
      <w:lvlText w:val=""/>
      <w:lvlJc w:val="left"/>
      <w:pPr>
        <w:tabs>
          <w:tab w:val="num" w:pos="720"/>
        </w:tabs>
        <w:ind w:left="720" w:hanging="360"/>
      </w:pPr>
      <w:rPr>
        <w:rFonts w:ascii="Symbol" w:hAnsi="Symbol" w:hint="default"/>
      </w:rPr>
    </w:lvl>
    <w:lvl w:ilvl="1" w:tplc="6130E3AE">
      <w:numFmt w:val="bullet"/>
      <w:lvlText w:val="o"/>
      <w:lvlJc w:val="left"/>
      <w:pPr>
        <w:tabs>
          <w:tab w:val="num" w:pos="1440"/>
        </w:tabs>
        <w:ind w:left="1440" w:hanging="360"/>
      </w:pPr>
      <w:rPr>
        <w:rFonts w:ascii="Courier New" w:hAnsi="Courier New" w:hint="default"/>
      </w:rPr>
    </w:lvl>
    <w:lvl w:ilvl="2" w:tplc="36608A6C">
      <w:numFmt w:val="bullet"/>
      <w:lvlText w:val=""/>
      <w:lvlJc w:val="left"/>
      <w:pPr>
        <w:tabs>
          <w:tab w:val="num" w:pos="2160"/>
        </w:tabs>
        <w:ind w:left="2160" w:hanging="360"/>
      </w:pPr>
      <w:rPr>
        <w:rFonts w:ascii="Wingdings" w:hAnsi="Wingdings" w:hint="default"/>
      </w:rPr>
    </w:lvl>
    <w:lvl w:ilvl="3" w:tplc="E6D2A4A2">
      <w:start w:val="1"/>
      <w:numFmt w:val="bullet"/>
      <w:lvlText w:val=""/>
      <w:lvlJc w:val="left"/>
      <w:pPr>
        <w:tabs>
          <w:tab w:val="num" w:pos="2880"/>
        </w:tabs>
        <w:ind w:left="2880" w:hanging="360"/>
      </w:pPr>
      <w:rPr>
        <w:rFonts w:ascii="Symbol" w:hAnsi="Symbol" w:hint="default"/>
      </w:rPr>
    </w:lvl>
    <w:lvl w:ilvl="4" w:tplc="5FD2752A" w:tentative="1">
      <w:start w:val="1"/>
      <w:numFmt w:val="bullet"/>
      <w:lvlText w:val=""/>
      <w:lvlJc w:val="left"/>
      <w:pPr>
        <w:tabs>
          <w:tab w:val="num" w:pos="3600"/>
        </w:tabs>
        <w:ind w:left="3600" w:hanging="360"/>
      </w:pPr>
      <w:rPr>
        <w:rFonts w:ascii="Symbol" w:hAnsi="Symbol" w:hint="default"/>
      </w:rPr>
    </w:lvl>
    <w:lvl w:ilvl="5" w:tplc="356A8618" w:tentative="1">
      <w:start w:val="1"/>
      <w:numFmt w:val="bullet"/>
      <w:lvlText w:val=""/>
      <w:lvlJc w:val="left"/>
      <w:pPr>
        <w:tabs>
          <w:tab w:val="num" w:pos="4320"/>
        </w:tabs>
        <w:ind w:left="4320" w:hanging="360"/>
      </w:pPr>
      <w:rPr>
        <w:rFonts w:ascii="Symbol" w:hAnsi="Symbol" w:hint="default"/>
      </w:rPr>
    </w:lvl>
    <w:lvl w:ilvl="6" w:tplc="EE9095B4" w:tentative="1">
      <w:start w:val="1"/>
      <w:numFmt w:val="bullet"/>
      <w:lvlText w:val=""/>
      <w:lvlJc w:val="left"/>
      <w:pPr>
        <w:tabs>
          <w:tab w:val="num" w:pos="5040"/>
        </w:tabs>
        <w:ind w:left="5040" w:hanging="360"/>
      </w:pPr>
      <w:rPr>
        <w:rFonts w:ascii="Symbol" w:hAnsi="Symbol" w:hint="default"/>
      </w:rPr>
    </w:lvl>
    <w:lvl w:ilvl="7" w:tplc="97B69FBE" w:tentative="1">
      <w:start w:val="1"/>
      <w:numFmt w:val="bullet"/>
      <w:lvlText w:val=""/>
      <w:lvlJc w:val="left"/>
      <w:pPr>
        <w:tabs>
          <w:tab w:val="num" w:pos="5760"/>
        </w:tabs>
        <w:ind w:left="5760" w:hanging="360"/>
      </w:pPr>
      <w:rPr>
        <w:rFonts w:ascii="Symbol" w:hAnsi="Symbol" w:hint="default"/>
      </w:rPr>
    </w:lvl>
    <w:lvl w:ilvl="8" w:tplc="D678417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BF41D4"/>
    <w:multiLevelType w:val="hybridMultilevel"/>
    <w:tmpl w:val="53A2ECFA"/>
    <w:lvl w:ilvl="0" w:tplc="C83AEB40">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A70D6B"/>
    <w:multiLevelType w:val="hybridMultilevel"/>
    <w:tmpl w:val="001A3A60"/>
    <w:lvl w:ilvl="0" w:tplc="EBBACB42">
      <w:start w:val="1"/>
      <w:numFmt w:val="decimal"/>
      <w:pStyle w:val="3GPPProposal"/>
      <w:lvlText w:val="Proposal %1:"/>
      <w:lvlJc w:val="left"/>
      <w:pPr>
        <w:ind w:left="0" w:hanging="360"/>
      </w:pPr>
      <w:rPr>
        <w:rFonts w:hint="default"/>
        <w:b/>
        <w:bCs w:val="0"/>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 w15:restartNumberingAfterBreak="0">
    <w:nsid w:val="2DCD3BEA"/>
    <w:multiLevelType w:val="hybridMultilevel"/>
    <w:tmpl w:val="7B480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5807BB"/>
    <w:multiLevelType w:val="hybridMultilevel"/>
    <w:tmpl w:val="822C707E"/>
    <w:lvl w:ilvl="0" w:tplc="04F21742">
      <w:start w:val="1"/>
      <w:numFmt w:val="decimal"/>
      <w:pStyle w:val="3GPPObservation"/>
      <w:lvlText w:val="Observation %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2D263F1"/>
    <w:multiLevelType w:val="multilevel"/>
    <w:tmpl w:val="32D263F1"/>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485735"/>
    <w:multiLevelType w:val="hybridMultilevel"/>
    <w:tmpl w:val="A794546E"/>
    <w:lvl w:ilvl="0" w:tplc="08090001">
      <w:start w:val="1"/>
      <w:numFmt w:val="bullet"/>
      <w:lvlText w:val=""/>
      <w:lvlJc w:val="left"/>
      <w:pPr>
        <w:ind w:left="2040" w:hanging="360"/>
      </w:pPr>
      <w:rPr>
        <w:rFonts w:ascii="Symbol" w:hAnsi="Symbol"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hint="default"/>
      </w:rPr>
    </w:lvl>
    <w:lvl w:ilvl="3" w:tplc="08090001" w:tentative="1">
      <w:start w:val="1"/>
      <w:numFmt w:val="bullet"/>
      <w:lvlText w:val=""/>
      <w:lvlJc w:val="left"/>
      <w:pPr>
        <w:ind w:left="4200" w:hanging="360"/>
      </w:pPr>
      <w:rPr>
        <w:rFonts w:ascii="Symbol" w:hAnsi="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hint="default"/>
      </w:rPr>
    </w:lvl>
    <w:lvl w:ilvl="6" w:tplc="08090001" w:tentative="1">
      <w:start w:val="1"/>
      <w:numFmt w:val="bullet"/>
      <w:lvlText w:val=""/>
      <w:lvlJc w:val="left"/>
      <w:pPr>
        <w:ind w:left="6360" w:hanging="360"/>
      </w:pPr>
      <w:rPr>
        <w:rFonts w:ascii="Symbol" w:hAnsi="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hint="default"/>
      </w:rPr>
    </w:lvl>
  </w:abstractNum>
  <w:abstractNum w:abstractNumId="11" w15:restartNumberingAfterBreak="0">
    <w:nsid w:val="4FCF7E72"/>
    <w:multiLevelType w:val="multilevel"/>
    <w:tmpl w:val="4FCF7E72"/>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85465"/>
    <w:multiLevelType w:val="hybridMultilevel"/>
    <w:tmpl w:val="CFF46A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471CAD"/>
    <w:multiLevelType w:val="multilevel"/>
    <w:tmpl w:val="69471CAD"/>
    <w:lvl w:ilvl="0">
      <w:numFmt w:val="bullet"/>
      <w:lvlText w:val="-"/>
      <w:lvlJc w:val="left"/>
      <w:pPr>
        <w:ind w:left="780" w:hanging="360"/>
      </w:pPr>
      <w:rPr>
        <w:rFonts w:ascii="Arial" w:eastAsia="Calibri"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2F20D2F"/>
    <w:multiLevelType w:val="hybridMultilevel"/>
    <w:tmpl w:val="9A9CBCAE"/>
    <w:lvl w:ilvl="0" w:tplc="C83AEB40">
      <w:start w:val="5"/>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
  </w:num>
  <w:num w:numId="4">
    <w:abstractNumId w:val="11"/>
  </w:num>
  <w:num w:numId="5">
    <w:abstractNumId w:val="9"/>
  </w:num>
  <w:num w:numId="6">
    <w:abstractNumId w:val="14"/>
  </w:num>
  <w:num w:numId="7">
    <w:abstractNumId w:val="15"/>
  </w:num>
  <w:num w:numId="8">
    <w:abstractNumId w:val="4"/>
  </w:num>
  <w:num w:numId="9">
    <w:abstractNumId w:val="3"/>
  </w:num>
  <w:num w:numId="10">
    <w:abstractNumId w:val="6"/>
  </w:num>
  <w:num w:numId="11">
    <w:abstractNumId w:val="8"/>
  </w:num>
  <w:num w:numId="12">
    <w:abstractNumId w:val="10"/>
  </w:num>
  <w:num w:numId="13">
    <w:abstractNumId w:val="7"/>
  </w:num>
  <w:num w:numId="14">
    <w:abstractNumId w:val="16"/>
  </w:num>
  <w:num w:numId="15">
    <w:abstractNumId w:val="0"/>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421"/>
    <w:rsid w:val="00037973"/>
    <w:rsid w:val="00040A63"/>
    <w:rsid w:val="0004105F"/>
    <w:rsid w:val="00042E6F"/>
    <w:rsid w:val="00043923"/>
    <w:rsid w:val="00043FCA"/>
    <w:rsid w:val="00044EB3"/>
    <w:rsid w:val="00045EDE"/>
    <w:rsid w:val="000467E2"/>
    <w:rsid w:val="00046E3D"/>
    <w:rsid w:val="0005035A"/>
    <w:rsid w:val="000563ED"/>
    <w:rsid w:val="000603D6"/>
    <w:rsid w:val="00063E16"/>
    <w:rsid w:val="0007093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6C7"/>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7D37"/>
    <w:rsid w:val="00100030"/>
    <w:rsid w:val="0010421B"/>
    <w:rsid w:val="00111739"/>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549"/>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0F6F"/>
    <w:rsid w:val="001A384E"/>
    <w:rsid w:val="001A4015"/>
    <w:rsid w:val="001A475B"/>
    <w:rsid w:val="001A6AFD"/>
    <w:rsid w:val="001B21A1"/>
    <w:rsid w:val="001B2A41"/>
    <w:rsid w:val="001B337C"/>
    <w:rsid w:val="001B5AE5"/>
    <w:rsid w:val="001B7027"/>
    <w:rsid w:val="001B7C67"/>
    <w:rsid w:val="001C0CED"/>
    <w:rsid w:val="001C1105"/>
    <w:rsid w:val="001C17C6"/>
    <w:rsid w:val="001C22DE"/>
    <w:rsid w:val="001C2385"/>
    <w:rsid w:val="001C2AF5"/>
    <w:rsid w:val="001C2B3C"/>
    <w:rsid w:val="001C2E86"/>
    <w:rsid w:val="001C3C4C"/>
    <w:rsid w:val="001C7F10"/>
    <w:rsid w:val="001D2914"/>
    <w:rsid w:val="001D2FB0"/>
    <w:rsid w:val="001E01CC"/>
    <w:rsid w:val="001E0341"/>
    <w:rsid w:val="001E1C36"/>
    <w:rsid w:val="001E3D8C"/>
    <w:rsid w:val="001E43EF"/>
    <w:rsid w:val="001E44CD"/>
    <w:rsid w:val="001E69C8"/>
    <w:rsid w:val="001E6F40"/>
    <w:rsid w:val="001F0A3C"/>
    <w:rsid w:val="001F31F0"/>
    <w:rsid w:val="001F3DF5"/>
    <w:rsid w:val="001F4346"/>
    <w:rsid w:val="00201FFE"/>
    <w:rsid w:val="00202C4B"/>
    <w:rsid w:val="002039AE"/>
    <w:rsid w:val="00203B88"/>
    <w:rsid w:val="00206380"/>
    <w:rsid w:val="002155FA"/>
    <w:rsid w:val="00216E24"/>
    <w:rsid w:val="0021701D"/>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4F9"/>
    <w:rsid w:val="00255974"/>
    <w:rsid w:val="00255E19"/>
    <w:rsid w:val="00256C2E"/>
    <w:rsid w:val="00257233"/>
    <w:rsid w:val="00260716"/>
    <w:rsid w:val="0026193E"/>
    <w:rsid w:val="00261A9C"/>
    <w:rsid w:val="00261E11"/>
    <w:rsid w:val="00262518"/>
    <w:rsid w:val="00263A3D"/>
    <w:rsid w:val="00264137"/>
    <w:rsid w:val="00264908"/>
    <w:rsid w:val="00266270"/>
    <w:rsid w:val="00270A1C"/>
    <w:rsid w:val="002717A2"/>
    <w:rsid w:val="00271ED8"/>
    <w:rsid w:val="002730ED"/>
    <w:rsid w:val="00273D5E"/>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1C0"/>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C45"/>
    <w:rsid w:val="00387F14"/>
    <w:rsid w:val="00390122"/>
    <w:rsid w:val="00391402"/>
    <w:rsid w:val="00391F87"/>
    <w:rsid w:val="00393338"/>
    <w:rsid w:val="00394FC5"/>
    <w:rsid w:val="00395A59"/>
    <w:rsid w:val="00396952"/>
    <w:rsid w:val="00397C52"/>
    <w:rsid w:val="003A150D"/>
    <w:rsid w:val="003A26BC"/>
    <w:rsid w:val="003A2A06"/>
    <w:rsid w:val="003A3ACC"/>
    <w:rsid w:val="003A4054"/>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6ECA"/>
    <w:rsid w:val="003D01E0"/>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8BD"/>
    <w:rsid w:val="00443D84"/>
    <w:rsid w:val="00444F7D"/>
    <w:rsid w:val="00445007"/>
    <w:rsid w:val="00446A9B"/>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57"/>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39CF"/>
    <w:rsid w:val="00534869"/>
    <w:rsid w:val="0053653D"/>
    <w:rsid w:val="005371D2"/>
    <w:rsid w:val="00537528"/>
    <w:rsid w:val="00542ED7"/>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C3376"/>
    <w:rsid w:val="005D3051"/>
    <w:rsid w:val="005D57F1"/>
    <w:rsid w:val="005D5E8E"/>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473"/>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0717"/>
    <w:rsid w:val="00701F6C"/>
    <w:rsid w:val="0070294E"/>
    <w:rsid w:val="00703480"/>
    <w:rsid w:val="0070393B"/>
    <w:rsid w:val="00704BC7"/>
    <w:rsid w:val="007051AF"/>
    <w:rsid w:val="00705FA1"/>
    <w:rsid w:val="00707E83"/>
    <w:rsid w:val="00711E45"/>
    <w:rsid w:val="00715037"/>
    <w:rsid w:val="007165B5"/>
    <w:rsid w:val="007165BE"/>
    <w:rsid w:val="007200FA"/>
    <w:rsid w:val="00723530"/>
    <w:rsid w:val="00724904"/>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34E8"/>
    <w:rsid w:val="007A44BC"/>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86D"/>
    <w:rsid w:val="007D5A25"/>
    <w:rsid w:val="007D5A65"/>
    <w:rsid w:val="007D7FB1"/>
    <w:rsid w:val="007E0F24"/>
    <w:rsid w:val="007E12CB"/>
    <w:rsid w:val="007E17B1"/>
    <w:rsid w:val="007E1E78"/>
    <w:rsid w:val="007E27C0"/>
    <w:rsid w:val="007E4716"/>
    <w:rsid w:val="007E5BA9"/>
    <w:rsid w:val="007E648F"/>
    <w:rsid w:val="007E6E32"/>
    <w:rsid w:val="007E771D"/>
    <w:rsid w:val="007F3DA7"/>
    <w:rsid w:val="007F4203"/>
    <w:rsid w:val="007F4720"/>
    <w:rsid w:val="007F502E"/>
    <w:rsid w:val="007F55FC"/>
    <w:rsid w:val="007F65F6"/>
    <w:rsid w:val="007F6A42"/>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2ACB"/>
    <w:rsid w:val="00835356"/>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2289"/>
    <w:rsid w:val="0096459F"/>
    <w:rsid w:val="009647C5"/>
    <w:rsid w:val="0096604F"/>
    <w:rsid w:val="00966280"/>
    <w:rsid w:val="009663C5"/>
    <w:rsid w:val="00971DDC"/>
    <w:rsid w:val="009737E4"/>
    <w:rsid w:val="009755AD"/>
    <w:rsid w:val="0097578C"/>
    <w:rsid w:val="009757E0"/>
    <w:rsid w:val="0097718E"/>
    <w:rsid w:val="009800B6"/>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5EF1"/>
    <w:rsid w:val="009E619C"/>
    <w:rsid w:val="009E7020"/>
    <w:rsid w:val="009E7045"/>
    <w:rsid w:val="009E748B"/>
    <w:rsid w:val="009F1449"/>
    <w:rsid w:val="009F19EF"/>
    <w:rsid w:val="009F2244"/>
    <w:rsid w:val="009F3D12"/>
    <w:rsid w:val="009F4BCF"/>
    <w:rsid w:val="00A03D3F"/>
    <w:rsid w:val="00A04BEB"/>
    <w:rsid w:val="00A04DE2"/>
    <w:rsid w:val="00A05412"/>
    <w:rsid w:val="00A11A20"/>
    <w:rsid w:val="00A11DFB"/>
    <w:rsid w:val="00A11F1E"/>
    <w:rsid w:val="00A14BA5"/>
    <w:rsid w:val="00A14E89"/>
    <w:rsid w:val="00A15C80"/>
    <w:rsid w:val="00A15DA4"/>
    <w:rsid w:val="00A17BB3"/>
    <w:rsid w:val="00A20607"/>
    <w:rsid w:val="00A20BFA"/>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43FF"/>
    <w:rsid w:val="00A44BE1"/>
    <w:rsid w:val="00A4500D"/>
    <w:rsid w:val="00A504A8"/>
    <w:rsid w:val="00A527D9"/>
    <w:rsid w:val="00A53CDD"/>
    <w:rsid w:val="00A542B8"/>
    <w:rsid w:val="00A54719"/>
    <w:rsid w:val="00A5709E"/>
    <w:rsid w:val="00A612B9"/>
    <w:rsid w:val="00A61D40"/>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66E8"/>
    <w:rsid w:val="00B07968"/>
    <w:rsid w:val="00B07B19"/>
    <w:rsid w:val="00B10FBA"/>
    <w:rsid w:val="00B1189C"/>
    <w:rsid w:val="00B12666"/>
    <w:rsid w:val="00B126DA"/>
    <w:rsid w:val="00B15903"/>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3928"/>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2A50"/>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BF7DF9"/>
    <w:rsid w:val="00C0085D"/>
    <w:rsid w:val="00C00E47"/>
    <w:rsid w:val="00C010AA"/>
    <w:rsid w:val="00C013EF"/>
    <w:rsid w:val="00C02D2A"/>
    <w:rsid w:val="00C0358E"/>
    <w:rsid w:val="00C05311"/>
    <w:rsid w:val="00C057BD"/>
    <w:rsid w:val="00C11D21"/>
    <w:rsid w:val="00C11EFC"/>
    <w:rsid w:val="00C156E7"/>
    <w:rsid w:val="00C1675F"/>
    <w:rsid w:val="00C2052B"/>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325"/>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447D"/>
    <w:rsid w:val="00CA501F"/>
    <w:rsid w:val="00CA59FA"/>
    <w:rsid w:val="00CA61CF"/>
    <w:rsid w:val="00CA759F"/>
    <w:rsid w:val="00CB08EB"/>
    <w:rsid w:val="00CB1749"/>
    <w:rsid w:val="00CB3A9F"/>
    <w:rsid w:val="00CB447F"/>
    <w:rsid w:val="00CB50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D4A"/>
    <w:rsid w:val="00D70268"/>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CC5"/>
    <w:rsid w:val="00D92C6A"/>
    <w:rsid w:val="00D95330"/>
    <w:rsid w:val="00DA12AB"/>
    <w:rsid w:val="00DA4C84"/>
    <w:rsid w:val="00DA72EF"/>
    <w:rsid w:val="00DA7973"/>
    <w:rsid w:val="00DB3689"/>
    <w:rsid w:val="00DB3767"/>
    <w:rsid w:val="00DB39E0"/>
    <w:rsid w:val="00DB7729"/>
    <w:rsid w:val="00DB7BB9"/>
    <w:rsid w:val="00DC22BE"/>
    <w:rsid w:val="00DC5F62"/>
    <w:rsid w:val="00DC73DC"/>
    <w:rsid w:val="00DC7FAF"/>
    <w:rsid w:val="00DD02BA"/>
    <w:rsid w:val="00DD100B"/>
    <w:rsid w:val="00DD34FE"/>
    <w:rsid w:val="00DD42F9"/>
    <w:rsid w:val="00DE1B4A"/>
    <w:rsid w:val="00DE2CFF"/>
    <w:rsid w:val="00DE3330"/>
    <w:rsid w:val="00DE57A3"/>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73DF"/>
    <w:rsid w:val="00E248EB"/>
    <w:rsid w:val="00E27FC2"/>
    <w:rsid w:val="00E31912"/>
    <w:rsid w:val="00E31B60"/>
    <w:rsid w:val="00E3324E"/>
    <w:rsid w:val="00E34D88"/>
    <w:rsid w:val="00E353DB"/>
    <w:rsid w:val="00E36375"/>
    <w:rsid w:val="00E37046"/>
    <w:rsid w:val="00E37A8B"/>
    <w:rsid w:val="00E40D48"/>
    <w:rsid w:val="00E40DBF"/>
    <w:rsid w:val="00E42C98"/>
    <w:rsid w:val="00E43798"/>
    <w:rsid w:val="00E43842"/>
    <w:rsid w:val="00E44765"/>
    <w:rsid w:val="00E468CA"/>
    <w:rsid w:val="00E47D3F"/>
    <w:rsid w:val="00E505FB"/>
    <w:rsid w:val="00E521EE"/>
    <w:rsid w:val="00E6166E"/>
    <w:rsid w:val="00E62764"/>
    <w:rsid w:val="00E62B3D"/>
    <w:rsid w:val="00E6315A"/>
    <w:rsid w:val="00E63986"/>
    <w:rsid w:val="00E63D20"/>
    <w:rsid w:val="00E65E86"/>
    <w:rsid w:val="00E66C3B"/>
    <w:rsid w:val="00E70163"/>
    <w:rsid w:val="00E71B00"/>
    <w:rsid w:val="00E73C7F"/>
    <w:rsid w:val="00E73D86"/>
    <w:rsid w:val="00E740D9"/>
    <w:rsid w:val="00E77D65"/>
    <w:rsid w:val="00E821B2"/>
    <w:rsid w:val="00E8224F"/>
    <w:rsid w:val="00E853FB"/>
    <w:rsid w:val="00E85E3C"/>
    <w:rsid w:val="00E87EF1"/>
    <w:rsid w:val="00E902C7"/>
    <w:rsid w:val="00E92E23"/>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5EF"/>
    <w:rsid w:val="00EC7D8F"/>
    <w:rsid w:val="00EC7E1A"/>
    <w:rsid w:val="00ED09F7"/>
    <w:rsid w:val="00ED0F55"/>
    <w:rsid w:val="00ED19D2"/>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5D20"/>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14F7"/>
    <w:rsid w:val="00F73D21"/>
    <w:rsid w:val="00F73DFD"/>
    <w:rsid w:val="00F74ED0"/>
    <w:rsid w:val="00F75B44"/>
    <w:rsid w:val="00F83547"/>
    <w:rsid w:val="00F83593"/>
    <w:rsid w:val="00F837F7"/>
    <w:rsid w:val="00F854ED"/>
    <w:rsid w:val="00F90E30"/>
    <w:rsid w:val="00F917E4"/>
    <w:rsid w:val="00F91B00"/>
    <w:rsid w:val="00F9225C"/>
    <w:rsid w:val="00F9424D"/>
    <w:rsid w:val="00F94D96"/>
    <w:rsid w:val="00F94DFC"/>
    <w:rsid w:val="00F96BAD"/>
    <w:rsid w:val="00FA18A4"/>
    <w:rsid w:val="00FA34B5"/>
    <w:rsid w:val="00FA6529"/>
    <w:rsid w:val="00FA7E04"/>
    <w:rsid w:val="00FB0158"/>
    <w:rsid w:val="00FB021B"/>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20705710"/>
    <w:rsid w:val="232660FF"/>
    <w:rsid w:val="2C7F2EA6"/>
    <w:rsid w:val="3090209F"/>
    <w:rsid w:val="3C3F7E0E"/>
    <w:rsid w:val="437906BF"/>
    <w:rsid w:val="44C70D28"/>
    <w:rsid w:val="4625557D"/>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2093EE0"/>
  <w15:docId w15:val="{93025A74-FAF6-4A8D-B8AD-1D0A2C7F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CommentSubject">
    <w:name w:val="annotation subject"/>
    <w:basedOn w:val="CommentText"/>
    <w:next w:val="CommentText"/>
    <w:link w:val="CommentSubjectChar"/>
    <w:semiHidden/>
    <w:pPr>
      <w:widowControl/>
      <w:spacing w:before="40"/>
    </w:pPr>
    <w:rPr>
      <w:rFonts w:eastAsia="MS Mincho"/>
      <w:b/>
      <w:bCs/>
      <w:kern w:val="0"/>
      <w:sz w:val="20"/>
      <w:szCs w:val="20"/>
    </w:rPr>
  </w:style>
  <w:style w:type="paragraph" w:styleId="CommentText">
    <w:name w:val="annotation text"/>
    <w:basedOn w:val="Normal"/>
    <w:link w:val="CommentTextChar"/>
    <w:uiPriority w:val="99"/>
    <w:unhideWhenUsed/>
    <w:qFormat/>
    <w:pPr>
      <w:jc w:val="left"/>
    </w:pPr>
  </w:style>
  <w:style w:type="paragraph" w:styleId="TOC7">
    <w:name w:val="toc 7"/>
    <w:basedOn w:val="Normal"/>
    <w:next w:val="Normal"/>
    <w:pPr>
      <w:tabs>
        <w:tab w:val="right" w:leader="dot" w:pos="9241"/>
      </w:tabs>
      <w:ind w:firstLineChars="500" w:firstLine="500"/>
      <w:jc w:val="left"/>
    </w:pPr>
    <w:rPr>
      <w:rFonts w:ascii="SimSun"/>
    </w:rPr>
  </w:style>
  <w:style w:type="paragraph" w:styleId="ListNumber2">
    <w:name w:val="List Number 2"/>
    <w:basedOn w:val="ListNumber"/>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rsid w:val="00703480"/>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lang w:val="en-US"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pPr>
      <w:ind w:left="1890" w:hanging="210"/>
      <w:jc w:val="left"/>
    </w:pPr>
    <w:rPr>
      <w:rFonts w:ascii="Calibri" w:hAnsi="Calibri"/>
      <w:sz w:val="20"/>
      <w:szCs w:val="20"/>
    </w:rPr>
  </w:style>
  <w:style w:type="paragraph" w:styleId="TableofFigures">
    <w:name w:val="table of figures"/>
    <w:basedOn w:val="Normal"/>
    <w:next w:val="Normal"/>
    <w:uiPriority w:val="99"/>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pPr>
      <w:tabs>
        <w:tab w:val="right" w:leader="dot" w:pos="9242"/>
      </w:tabs>
    </w:pPr>
    <w:rPr>
      <w:rFonts w:ascii="SimSun"/>
    </w:rPr>
  </w:style>
  <w:style w:type="paragraph" w:styleId="TOC9">
    <w:name w:val="toc 9"/>
    <w:basedOn w:val="Normal"/>
    <w:next w:val="Normal"/>
    <w:pPr>
      <w:ind w:left="1470"/>
      <w:jc w:val="left"/>
    </w:pPr>
    <w:rPr>
      <w:sz w:val="20"/>
      <w:szCs w:val="20"/>
    </w:rPr>
  </w:style>
  <w:style w:type="paragraph" w:styleId="NormalWeb">
    <w:name w:val="Normal (Web)"/>
    <w:basedOn w:val="Normal"/>
    <w:uiPriority w:val="99"/>
    <w:unhideWhenUsed/>
    <w:pPr>
      <w:widowControl/>
      <w:spacing w:before="100" w:beforeAutospacing="1" w:after="100" w:afterAutospacing="1"/>
      <w:jc w:val="left"/>
    </w:pPr>
    <w:rPr>
      <w:rFonts w:eastAsia="Calibri"/>
      <w:kern w:val="0"/>
      <w:sz w:val="24"/>
    </w:rPr>
  </w:style>
  <w:style w:type="paragraph" w:styleId="Index2">
    <w:name w:val="index 2"/>
    <w:basedOn w:val="Normal"/>
    <w:next w:val="Normal"/>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pPr>
      <w:tabs>
        <w:tab w:val="left" w:pos="360"/>
      </w:tabs>
    </w:pPr>
    <w:rPr>
      <w:rFonts w:ascii="SimSun" w:hAnsi="SimSun"/>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pPr>
      <w:jc w:val="center"/>
    </w:pPr>
    <w:rPr>
      <w:rFonts w:ascii="SimSun"/>
      <w:b/>
      <w:spacing w:val="20"/>
      <w:w w:val="135"/>
      <w:sz w:val="28"/>
      <w:lang w:val="en-US" w:eastAsia="zh-CN"/>
    </w:rPr>
  </w:style>
  <w:style w:type="paragraph" w:customStyle="1" w:styleId="a5">
    <w:name w:val="示例"/>
    <w:next w:val="a6"/>
    <w:qFormat/>
    <w:pPr>
      <w:widowControl w:val="0"/>
      <w:ind w:left="360" w:hanging="360"/>
      <w:jc w:val="both"/>
    </w:pPr>
    <w:rPr>
      <w:rFonts w:ascii="SimSun"/>
      <w:sz w:val="18"/>
      <w:szCs w:val="18"/>
      <w:lang w:val="en-US" w:eastAsia="zh-CN"/>
    </w:rPr>
  </w:style>
  <w:style w:type="paragraph" w:customStyle="1" w:styleId="a6">
    <w:name w:val="示例内容"/>
    <w:pPr>
      <w:ind w:firstLineChars="200" w:firstLine="200"/>
    </w:pPr>
    <w:rPr>
      <w:rFonts w:ascii="SimSun"/>
      <w:sz w:val="18"/>
      <w:szCs w:val="18"/>
      <w:lang w:val="en-US" w:eastAsia="zh-CN"/>
    </w:rPr>
  </w:style>
  <w:style w:type="paragraph" w:customStyle="1" w:styleId="a7">
    <w:name w:val="附录数字编号列项（二级）"/>
    <w:pPr>
      <w:tabs>
        <w:tab w:val="left" w:pos="363"/>
        <w:tab w:val="left" w:pos="840"/>
      </w:tabs>
      <w:ind w:firstLine="363"/>
    </w:pPr>
    <w:rPr>
      <w:rFonts w:ascii="SimSun"/>
      <w:lang w:val="en-US" w:eastAsia="zh-CN"/>
    </w:rPr>
  </w:style>
  <w:style w:type="paragraph" w:customStyle="1" w:styleId="a8">
    <w:name w:val="标准书眉_奇数页"/>
    <w:next w:val="Normal"/>
    <w:pPr>
      <w:tabs>
        <w:tab w:val="center" w:pos="4154"/>
        <w:tab w:val="right" w:pos="8306"/>
      </w:tabs>
      <w:spacing w:after="220"/>
      <w:jc w:val="right"/>
    </w:pPr>
    <w:rPr>
      <w:rFonts w:ascii="SimHei" w:eastAsia="SimHei"/>
      <w:lang w:val="en-US" w:eastAsia="zh-CN"/>
    </w:rPr>
  </w:style>
  <w:style w:type="paragraph" w:customStyle="1" w:styleId="a9">
    <w:name w:val="列项◆（三级）"/>
    <w:basedOn w:val="Normal"/>
    <w:pPr>
      <w:tabs>
        <w:tab w:val="left" w:pos="1260"/>
        <w:tab w:val="left" w:pos="1678"/>
      </w:tabs>
      <w:ind w:left="1259" w:hanging="419"/>
    </w:pPr>
    <w:rPr>
      <w:rFonts w:ascii="SimSu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pPr>
      <w:spacing w:beforeLines="50" w:afterLines="50"/>
      <w:outlineLvl w:val="2"/>
    </w:pPr>
    <w:rPr>
      <w:rFonts w:ascii="SimHei" w:eastAsia="SimHei"/>
      <w:lang w:val="en-US"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lang w:val="en-US" w:eastAsia="zh-CN"/>
    </w:rPr>
  </w:style>
  <w:style w:type="paragraph" w:customStyle="1" w:styleId="af">
    <w:name w:val="四级条标题"/>
    <w:basedOn w:val="aa"/>
    <w:next w:val="a"/>
    <w:pPr>
      <w:outlineLvl w:val="5"/>
    </w:pPr>
  </w:style>
  <w:style w:type="character" w:customStyle="1" w:styleId="FootnoteTextChar">
    <w:name w:val="Footnote Text Char"/>
    <w:basedOn w:val="DefaultParagraphFont"/>
    <w:link w:val="FootnoteText"/>
    <w:rPr>
      <w:rFonts w:ascii="SimSun"/>
      <w:kern w:val="2"/>
      <w:sz w:val="18"/>
      <w:szCs w:val="18"/>
    </w:rPr>
  </w:style>
  <w:style w:type="paragraph" w:customStyle="1" w:styleId="af0">
    <w:name w:val="章标题"/>
    <w:next w:val="a"/>
    <w:pPr>
      <w:spacing w:beforeLines="100" w:afterLines="100"/>
      <w:jc w:val="both"/>
      <w:outlineLvl w:val="1"/>
    </w:pPr>
    <w:rPr>
      <w:rFonts w:ascii="SimHei" w:eastAsia="SimHei"/>
      <w:lang w:val="en-US" w:eastAsia="zh-CN"/>
    </w:rPr>
  </w:style>
  <w:style w:type="paragraph" w:customStyle="1" w:styleId="af1">
    <w:name w:val="正文表标题"/>
    <w:next w:val="a"/>
    <w:pPr>
      <w:tabs>
        <w:tab w:val="left" w:pos="0"/>
        <w:tab w:val="left" w:pos="360"/>
      </w:tabs>
      <w:spacing w:beforeLines="50" w:afterLines="50"/>
      <w:ind w:left="720" w:hanging="357"/>
      <w:jc w:val="center"/>
    </w:pPr>
    <w:rPr>
      <w:rFonts w:ascii="SimHei" w:eastAsia="SimHei"/>
      <w:lang w:val="en-US" w:eastAsia="zh-CN"/>
    </w:rPr>
  </w:style>
  <w:style w:type="paragraph" w:customStyle="1" w:styleId="TT">
    <w:name w:val="TT"/>
    <w:basedOn w:val="Heading1"/>
    <w:next w:val="Normal"/>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pPr>
      <w:tabs>
        <w:tab w:val="left" w:pos="1296"/>
      </w:tabs>
      <w:ind w:left="1296" w:hanging="1296"/>
      <w:outlineLvl w:val="6"/>
    </w:pPr>
  </w:style>
  <w:style w:type="paragraph" w:customStyle="1" w:styleId="af4">
    <w:name w:val="附录四级条标题"/>
    <w:basedOn w:val="af5"/>
    <w:next w:val="a"/>
    <w:pPr>
      <w:outlineLvl w:val="5"/>
    </w:pPr>
  </w:style>
  <w:style w:type="paragraph" w:customStyle="1" w:styleId="af5">
    <w:name w:val="附录三级条标题"/>
    <w:basedOn w:val="af6"/>
    <w:next w:val="a"/>
    <w:pPr>
      <w:tabs>
        <w:tab w:val="left" w:pos="1008"/>
      </w:tabs>
      <w:ind w:left="1008" w:hanging="1008"/>
      <w:outlineLvl w:val="4"/>
    </w:pPr>
  </w:style>
  <w:style w:type="paragraph" w:customStyle="1" w:styleId="af6">
    <w:name w:val="附录二级条标题"/>
    <w:basedOn w:val="Normal"/>
    <w:next w:val="a"/>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pPr>
      <w:widowControl w:val="0"/>
      <w:textAlignment w:val="center"/>
    </w:pPr>
    <w:rPr>
      <w:rFonts w:ascii="SimHei" w:eastAsia="SimHei"/>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pPr>
      <w:spacing w:beforeLines="0" w:afterLines="0"/>
    </w:pPr>
    <w:rPr>
      <w:rFonts w:ascii="SimSun" w:eastAsia="SimSun"/>
    </w:rPr>
  </w:style>
  <w:style w:type="character" w:customStyle="1" w:styleId="Char1">
    <w:name w:val="纯文本 Char1"/>
    <w:basedOn w:val="DefaultParagraphFont"/>
    <w:semiHidden/>
    <w:rPr>
      <w:rFonts w:ascii="SimSun" w:hAnsi="Courier New" w:cs="Courier New"/>
      <w:kern w:val="2"/>
      <w:sz w:val="21"/>
      <w:szCs w:val="21"/>
    </w:rPr>
  </w:style>
  <w:style w:type="paragraph" w:customStyle="1" w:styleId="H6">
    <w:name w:val="H6"/>
    <w:basedOn w:val="Heading5"/>
    <w:next w:val="Normal"/>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pPr>
      <w:jc w:val="right"/>
    </w:pPr>
  </w:style>
  <w:style w:type="paragraph" w:customStyle="1" w:styleId="afb">
    <w:name w:val="发布日期"/>
    <w:rPr>
      <w:rFonts w:eastAsia="SimHei"/>
      <w:sz w:val="28"/>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eastAsia="MS Mincho"/>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style>
  <w:style w:type="paragraph" w:customStyle="1" w:styleId="afc">
    <w:name w:val="封面标准文稿类别"/>
    <w:basedOn w:val="afd"/>
    <w:pPr>
      <w:spacing w:line="240" w:lineRule="auto"/>
    </w:pPr>
    <w:rPr>
      <w:sz w:val="24"/>
    </w:rPr>
  </w:style>
  <w:style w:type="paragraph" w:customStyle="1" w:styleId="afd">
    <w:name w:val="封面一致性程度标识"/>
    <w:basedOn w:val="afe"/>
    <w:pPr>
      <w:spacing w:before="440"/>
    </w:pPr>
    <w:rPr>
      <w:rFonts w:ascii="SimSun" w:eastAsia="SimSun"/>
    </w:rPr>
  </w:style>
  <w:style w:type="paragraph" w:customStyle="1" w:styleId="afe">
    <w:name w:val="封面标准英文名称"/>
    <w:basedOn w:val="aff"/>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pPr>
      <w:outlineLvl w:val="6"/>
    </w:pPr>
  </w:style>
  <w:style w:type="paragraph" w:customStyle="1" w:styleId="aff1">
    <w:name w:val="封面标准代替信息"/>
    <w:pPr>
      <w:spacing w:before="57" w:line="280" w:lineRule="exact"/>
      <w:jc w:val="right"/>
    </w:pPr>
    <w:rPr>
      <w:rFonts w:ascii="SimSun"/>
      <w:lang w:val="en-US" w:eastAsia="zh-CN"/>
    </w:rPr>
  </w:style>
  <w:style w:type="character" w:customStyle="1" w:styleId="CommentTextChar">
    <w:name w:val="Comment Text Char"/>
    <w:basedOn w:val="DefaultParagraphFont"/>
    <w:link w:val="CommentText"/>
    <w:uiPriority w:val="99"/>
    <w:qFormat/>
    <w:rPr>
      <w:kern w:val="2"/>
      <w:sz w:val="21"/>
      <w:szCs w:val="24"/>
    </w:rPr>
  </w:style>
  <w:style w:type="character" w:customStyle="1" w:styleId="Char10">
    <w:name w:val="批注主题 Char1"/>
    <w:basedOn w:val="CommentTextChar"/>
    <w:semiHidden/>
    <w:rPr>
      <w:b/>
      <w:bCs/>
      <w:kern w:val="2"/>
      <w:sz w:val="21"/>
      <w:szCs w:val="24"/>
    </w:rPr>
  </w:style>
  <w:style w:type="paragraph" w:customStyle="1" w:styleId="20">
    <w:name w:val="封面标准英文名称2"/>
    <w:basedOn w:val="afe"/>
  </w:style>
  <w:style w:type="paragraph" w:customStyle="1" w:styleId="21">
    <w:name w:val="封面标准号2"/>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style>
  <w:style w:type="paragraph" w:customStyle="1" w:styleId="aff2">
    <w:name w:val="注×："/>
    <w:pPr>
      <w:widowControl w:val="0"/>
      <w:autoSpaceDE w:val="0"/>
      <w:autoSpaceDN w:val="0"/>
      <w:ind w:left="1287" w:hanging="360"/>
      <w:jc w:val="both"/>
    </w:pPr>
    <w:rPr>
      <w:rFonts w:ascii="SimSun"/>
      <w:sz w:val="18"/>
      <w:szCs w:val="18"/>
      <w:lang w:val="en-US" w:eastAsia="zh-CN"/>
    </w:rPr>
  </w:style>
  <w:style w:type="character" w:customStyle="1" w:styleId="Char11">
    <w:name w:val="正文文本 Char1"/>
    <w:basedOn w:val="DefaultParagraphFont"/>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eastAsia="MS Mincho"/>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eastAsia="MS Mincho"/>
      <w:sz w:val="32"/>
      <w:lang w:val="en-US" w:eastAsia="en-US"/>
    </w:rPr>
  </w:style>
  <w:style w:type="paragraph" w:customStyle="1" w:styleId="aff7">
    <w:name w:val="标准书眉一"/>
    <w:pPr>
      <w:jc w:val="both"/>
    </w:pPr>
    <w:rPr>
      <w:lang w:val="en-US" w:eastAsia="zh-CN"/>
    </w:rPr>
  </w:style>
  <w:style w:type="paragraph" w:customStyle="1" w:styleId="aff8">
    <w:name w:val="附录五级无"/>
    <w:basedOn w:val="af3"/>
    <w:pPr>
      <w:tabs>
        <w:tab w:val="clear" w:pos="360"/>
      </w:tabs>
      <w:spacing w:beforeLines="0" w:afterLines="0"/>
    </w:pPr>
    <w:rPr>
      <w:rFonts w:ascii="SimSun" w:eastAsia="SimSun"/>
      <w:szCs w:val="21"/>
    </w:rPr>
  </w:style>
  <w:style w:type="paragraph" w:customStyle="1" w:styleId="aff9">
    <w:name w:val="图的脚注"/>
    <w:next w:val="a"/>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rPr>
      <w:rFonts w:ascii="SimSun"/>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pPr>
      <w:tabs>
        <w:tab w:val="left" w:pos="1304"/>
      </w:tabs>
      <w:spacing w:beforeLines="50" w:afterLines="50"/>
      <w:ind w:left="1304" w:hanging="1304"/>
      <w:jc w:val="center"/>
    </w:pPr>
    <w:rPr>
      <w:rFonts w:ascii="SimHei" w:eastAsia="SimHei"/>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lang w:val="en-US" w:eastAsia="zh-CN"/>
    </w:rPr>
  </w:style>
  <w:style w:type="paragraph" w:customStyle="1" w:styleId="b30">
    <w:name w:val="b3"/>
    <w:basedOn w:val="Normal"/>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style>
  <w:style w:type="paragraph" w:customStyle="1" w:styleId="afff7">
    <w:name w:val="其他发布日期"/>
    <w:basedOn w:val="afb"/>
  </w:style>
  <w:style w:type="paragraph" w:customStyle="1" w:styleId="B4">
    <w:name w:val="B4"/>
    <w:basedOn w:val="List4"/>
    <w:link w:val="B4Char"/>
  </w:style>
  <w:style w:type="paragraph" w:customStyle="1" w:styleId="NO">
    <w:name w:val="NO"/>
    <w:basedOn w:val="Normal"/>
    <w:link w:val="NOZchn"/>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pPr>
      <w:ind w:firstLine="363"/>
      <w:jc w:val="both"/>
    </w:pPr>
    <w:rPr>
      <w:rFonts w:ascii="SimSun"/>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lang w:val="en-US" w:eastAsia="zh-CN"/>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pPr>
      <w:tabs>
        <w:tab w:val="clear" w:pos="360"/>
      </w:tabs>
      <w:spacing w:beforeLines="0" w:afterLines="0"/>
    </w:pPr>
    <w:rPr>
      <w:rFonts w:ascii="SimSun" w:eastAsia="SimSun"/>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
    <w:name w:val="字母编号列项（一级）"/>
    <w:pPr>
      <w:tabs>
        <w:tab w:val="left" w:pos="840"/>
      </w:tabs>
      <w:ind w:left="623" w:hanging="425"/>
      <w:jc w:val="both"/>
    </w:pPr>
    <w:rPr>
      <w:rFonts w:ascii="SimSun"/>
      <w:lang w:val="en-US" w:eastAsia="zh-CN"/>
    </w:rPr>
  </w:style>
  <w:style w:type="paragraph" w:customStyle="1" w:styleId="affff0">
    <w:name w:val="附录字母编号列项（一级）"/>
    <w:pPr>
      <w:tabs>
        <w:tab w:val="left" w:pos="839"/>
      </w:tabs>
      <w:ind w:firstLine="363"/>
    </w:pPr>
    <w:rPr>
      <w:rFonts w:ascii="SimSun"/>
      <w:lang w:val="en-US" w:eastAsia="zh-CN"/>
    </w:rPr>
  </w:style>
  <w:style w:type="paragraph" w:customStyle="1" w:styleId="NW">
    <w:name w:val="NW"/>
    <w:basedOn w:val="NO"/>
    <w:pPr>
      <w:spacing w:after="0"/>
    </w:pPr>
    <w:rPr>
      <w:rFonts w:eastAsia="MS Mincho"/>
      <w:lang w:eastAsia="en-US"/>
    </w:rPr>
  </w:style>
  <w:style w:type="paragraph" w:customStyle="1" w:styleId="affff1">
    <w:name w:val="目次、索引正文"/>
    <w:pPr>
      <w:spacing w:line="320" w:lineRule="exact"/>
      <w:jc w:val="both"/>
    </w:pPr>
    <w:rPr>
      <w:rFonts w:ascii="SimSun"/>
      <w:lang w:val="en-US" w:eastAsia="zh-CN"/>
    </w:rPr>
  </w:style>
  <w:style w:type="paragraph" w:customStyle="1" w:styleId="affff2">
    <w:name w:val="标准称谓"/>
    <w:next w:val="Normal"/>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rPr>
      <w:rFonts w:ascii="SimSun" w:eastAsia="SimSun"/>
    </w:rPr>
  </w:style>
  <w:style w:type="paragraph" w:customStyle="1" w:styleId="affff4">
    <w:name w:val="列项说明"/>
    <w:basedOn w:val="Normal"/>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pPr>
      <w:widowControl w:val="0"/>
      <w:tabs>
        <w:tab w:val="left" w:pos="839"/>
      </w:tabs>
      <w:ind w:left="839" w:hanging="419"/>
      <w:jc w:val="both"/>
    </w:pPr>
    <w:rPr>
      <w:rFonts w:ascii="SimSun"/>
      <w:lang w:val="en-US" w:eastAsia="zh-CN"/>
    </w:rPr>
  </w:style>
  <w:style w:type="paragraph" w:customStyle="1" w:styleId="23">
    <w:name w:val="封面标准文稿编辑信息2"/>
    <w:basedOn w:val="affffa"/>
  </w:style>
  <w:style w:type="paragraph" w:customStyle="1" w:styleId="affffa">
    <w:name w:val="封面标准文稿编辑信息"/>
    <w:basedOn w:val="afc"/>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sz w:val="40"/>
      <w:lang w:val="en-US" w:eastAsia="en-US"/>
    </w:rPr>
  </w:style>
  <w:style w:type="paragraph" w:customStyle="1" w:styleId="affffb">
    <w:name w:val="列项●（二级）"/>
    <w:pPr>
      <w:tabs>
        <w:tab w:val="left" w:pos="760"/>
        <w:tab w:val="left" w:pos="840"/>
      </w:tabs>
      <w:ind w:left="839" w:hanging="419"/>
      <w:jc w:val="both"/>
    </w:pPr>
    <w:rPr>
      <w:rFonts w:ascii="SimSun"/>
      <w:lang w:val="en-US" w:eastAsia="zh-CN"/>
    </w:rPr>
  </w:style>
  <w:style w:type="paragraph" w:customStyle="1" w:styleId="24">
    <w:name w:val="封面标准名称2"/>
    <w:basedOn w:val="aff"/>
    <w:pPr>
      <w:spacing w:beforeLines="630"/>
    </w:pPr>
  </w:style>
  <w:style w:type="paragraph" w:customStyle="1" w:styleId="affffc">
    <w:name w:val="前言、引言标题"/>
    <w:next w:val="a"/>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pPr>
      <w:widowControl/>
      <w:spacing w:before="40"/>
      <w:jc w:val="left"/>
    </w:pPr>
    <w:rPr>
      <w:rFonts w:eastAsia="Calibri" w:cs="Arial"/>
      <w:i/>
      <w:iCs/>
      <w:kern w:val="0"/>
      <w:sz w:val="18"/>
      <w:szCs w:val="18"/>
      <w:lang w:eastAsia="en-US"/>
    </w:rPr>
  </w:style>
  <w:style w:type="paragraph" w:customStyle="1" w:styleId="Revision1">
    <w:name w:val="Revision1"/>
    <w:uiPriority w:val="99"/>
    <w:semiHidden/>
    <w:rPr>
      <w:rFonts w:eastAsia="MS Mincho"/>
      <w:szCs w:val="24"/>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pPr>
      <w:ind w:leftChars="400" w:left="600" w:hangingChars="200" w:hanging="200"/>
    </w:pPr>
    <w:rPr>
      <w:rFonts w:ascii="SimSun"/>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pPr>
      <w:jc w:val="both"/>
    </w:pPr>
    <w:rPr>
      <w:lang w:val="en-US" w:eastAsia="zh-CN"/>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cs="Arial"/>
      <w:color w:val="0000FF"/>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eastAsia="MS Mincho"/>
      <w:b/>
      <w:sz w:val="34"/>
      <w:lang w:eastAsia="en-US"/>
    </w:rPr>
  </w:style>
  <w:style w:type="paragraph" w:customStyle="1" w:styleId="afffff5">
    <w:name w:val="标准书脚_偶数页"/>
    <w:pPr>
      <w:spacing w:before="120"/>
      <w:ind w:left="221"/>
    </w:pPr>
    <w:rPr>
      <w:rFonts w:ascii="SimSun"/>
      <w:sz w:val="18"/>
      <w:szCs w:val="18"/>
      <w:lang w:val="en-US"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rPr>
      <w:lang w:val="en-GB"/>
    </w:rPr>
  </w:style>
  <w:style w:type="character" w:customStyle="1" w:styleId="B4Char">
    <w:name w:val="B4 Char"/>
    <w:link w:val="B4"/>
    <w:rPr>
      <w:rFonts w:eastAsia="MS Mincho"/>
      <w:lang w:val="en-GB" w:eastAsia="en-US"/>
    </w:rPr>
  </w:style>
  <w:style w:type="paragraph" w:customStyle="1" w:styleId="Guidance">
    <w:name w:val="Guidance"/>
    <w:basedOn w:val="Normal"/>
    <w:link w:val="GuidanceChar"/>
    <w:pPr>
      <w:widowControl/>
      <w:spacing w:after="180"/>
      <w:jc w:val="left"/>
    </w:pPr>
    <w:rPr>
      <w:i/>
      <w:color w:val="0000FF"/>
      <w:kern w:val="0"/>
      <w:sz w:val="20"/>
      <w:szCs w:val="20"/>
      <w:lang w:eastAsia="en-US"/>
    </w:rPr>
  </w:style>
  <w:style w:type="character" w:customStyle="1" w:styleId="B1Zchn">
    <w:name w:val="B1 Zchn"/>
    <w:rPr>
      <w:lang w:eastAsia="en-US"/>
    </w:rPr>
  </w:style>
  <w:style w:type="character" w:customStyle="1" w:styleId="NOZchn">
    <w:name w:val="NO Zchn"/>
    <w:link w:val="NO"/>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style>
  <w:style w:type="paragraph" w:styleId="TOCHeading">
    <w:name w:val="TOC Heading"/>
    <w:basedOn w:val="Heading1"/>
    <w:next w:val="Normal"/>
    <w:uiPriority w:val="39"/>
    <w:unhideWhenUsed/>
    <w:qFormat/>
    <w:rsid w:val="006A008F"/>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rsid w:val="002554F9"/>
    <w:pPr>
      <w:numPr>
        <w:numId w:val="10"/>
      </w:numPr>
      <w:ind w:firstLineChars="0" w:firstLine="0"/>
      <w:jc w:val="left"/>
    </w:pPr>
    <w:rPr>
      <w:rFonts w:cs="Arial"/>
      <w:b/>
      <w:color w:val="000000"/>
    </w:rPr>
  </w:style>
  <w:style w:type="paragraph" w:customStyle="1" w:styleId="3GPPObservation">
    <w:name w:val="3GPPObservation"/>
    <w:basedOn w:val="ListParagraph"/>
    <w:link w:val="3GPPObservationChar"/>
    <w:qFormat/>
    <w:rsid w:val="00703480"/>
    <w:pPr>
      <w:numPr>
        <w:numId w:val="11"/>
      </w:numPr>
      <w:ind w:firstLineChars="0" w:firstLine="0"/>
    </w:pPr>
    <w:rPr>
      <w:rFonts w:cs="Arial"/>
      <w:color w:val="000000"/>
    </w:rPr>
  </w:style>
  <w:style w:type="character" w:customStyle="1" w:styleId="3GPPProposalChar">
    <w:name w:val="3GPPProposal Char"/>
    <w:basedOn w:val="ListParagraphChar"/>
    <w:link w:val="3GPPProposal"/>
    <w:rsid w:val="002554F9"/>
    <w:rPr>
      <w:rFonts w:cs="Arial"/>
      <w:b/>
      <w:color w:val="000000"/>
      <w:kern w:val="2"/>
      <w:sz w:val="21"/>
      <w:szCs w:val="24"/>
    </w:rPr>
  </w:style>
  <w:style w:type="character" w:customStyle="1" w:styleId="3GPPObservationChar">
    <w:name w:val="3GPPObservation Char"/>
    <w:basedOn w:val="ListParagraphChar"/>
    <w:link w:val="3GPPObservation"/>
    <w:rsid w:val="00703480"/>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42474">
      <w:bodyDiv w:val="1"/>
      <w:marLeft w:val="0"/>
      <w:marRight w:val="0"/>
      <w:marTop w:val="0"/>
      <w:marBottom w:val="0"/>
      <w:divBdr>
        <w:top w:val="none" w:sz="0" w:space="0" w:color="auto"/>
        <w:left w:val="none" w:sz="0" w:space="0" w:color="auto"/>
        <w:bottom w:val="none" w:sz="0" w:space="0" w:color="auto"/>
        <w:right w:val="none" w:sz="0" w:space="0" w:color="auto"/>
      </w:divBdr>
    </w:div>
    <w:div w:id="341931122">
      <w:bodyDiv w:val="1"/>
      <w:marLeft w:val="0"/>
      <w:marRight w:val="0"/>
      <w:marTop w:val="0"/>
      <w:marBottom w:val="0"/>
      <w:divBdr>
        <w:top w:val="none" w:sz="0" w:space="0" w:color="auto"/>
        <w:left w:val="none" w:sz="0" w:space="0" w:color="auto"/>
        <w:bottom w:val="none" w:sz="0" w:space="0" w:color="auto"/>
        <w:right w:val="none" w:sz="0" w:space="0" w:color="auto"/>
      </w:divBdr>
    </w:div>
    <w:div w:id="383717615">
      <w:bodyDiv w:val="1"/>
      <w:marLeft w:val="0"/>
      <w:marRight w:val="0"/>
      <w:marTop w:val="0"/>
      <w:marBottom w:val="0"/>
      <w:divBdr>
        <w:top w:val="none" w:sz="0" w:space="0" w:color="auto"/>
        <w:left w:val="none" w:sz="0" w:space="0" w:color="auto"/>
        <w:bottom w:val="none" w:sz="0" w:space="0" w:color="auto"/>
        <w:right w:val="none" w:sz="0" w:space="0" w:color="auto"/>
      </w:divBdr>
    </w:div>
    <w:div w:id="585578679">
      <w:bodyDiv w:val="1"/>
      <w:marLeft w:val="0"/>
      <w:marRight w:val="0"/>
      <w:marTop w:val="0"/>
      <w:marBottom w:val="0"/>
      <w:divBdr>
        <w:top w:val="none" w:sz="0" w:space="0" w:color="auto"/>
        <w:left w:val="none" w:sz="0" w:space="0" w:color="auto"/>
        <w:bottom w:val="none" w:sz="0" w:space="0" w:color="auto"/>
        <w:right w:val="none" w:sz="0" w:space="0" w:color="auto"/>
      </w:divBdr>
    </w:div>
    <w:div w:id="718288141">
      <w:bodyDiv w:val="1"/>
      <w:marLeft w:val="0"/>
      <w:marRight w:val="0"/>
      <w:marTop w:val="0"/>
      <w:marBottom w:val="0"/>
      <w:divBdr>
        <w:top w:val="none" w:sz="0" w:space="0" w:color="auto"/>
        <w:left w:val="none" w:sz="0" w:space="0" w:color="auto"/>
        <w:bottom w:val="none" w:sz="0" w:space="0" w:color="auto"/>
        <w:right w:val="none" w:sz="0" w:space="0" w:color="auto"/>
      </w:divBdr>
    </w:div>
    <w:div w:id="968321449">
      <w:bodyDiv w:val="1"/>
      <w:marLeft w:val="0"/>
      <w:marRight w:val="0"/>
      <w:marTop w:val="0"/>
      <w:marBottom w:val="0"/>
      <w:divBdr>
        <w:top w:val="none" w:sz="0" w:space="0" w:color="auto"/>
        <w:left w:val="none" w:sz="0" w:space="0" w:color="auto"/>
        <w:bottom w:val="none" w:sz="0" w:space="0" w:color="auto"/>
        <w:right w:val="none" w:sz="0" w:space="0" w:color="auto"/>
      </w:divBdr>
    </w:div>
    <w:div w:id="1994214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4576D9-2656-40F9-B45F-8E34D5BB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2006</Words>
  <Characters>11438</Characters>
  <Application>Microsoft Office Word</Application>
  <DocSecurity>0</DocSecurity>
  <Lines>95</Lines>
  <Paragraphs>26</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Hewlett-Packard Company</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15</cp:revision>
  <cp:lastPrinted>2113-01-01T00:00:00Z</cp:lastPrinted>
  <dcterms:created xsi:type="dcterms:W3CDTF">2019-09-27T13:55:00Z</dcterms:created>
  <dcterms:modified xsi:type="dcterms:W3CDTF">2019-10-03T17:25:00Z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