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1C2F" w14:textId="77777777" w:rsidR="00825A7A" w:rsidRDefault="00825A7A" w:rsidP="00825A7A">
      <w:pPr>
        <w:pStyle w:val="CRCoverPage"/>
        <w:tabs>
          <w:tab w:val="right" w:pos="8640"/>
        </w:tabs>
        <w:spacing w:after="0"/>
        <w:ind w:right="1260"/>
        <w:rPr>
          <w:b/>
          <w:noProof/>
          <w:sz w:val="24"/>
        </w:rPr>
      </w:pPr>
    </w:p>
    <w:p w14:paraId="43401748" w14:textId="68B04FDC" w:rsidR="00825A7A" w:rsidRDefault="00825A7A" w:rsidP="00825A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E73B83">
        <w:rPr>
          <w:rFonts w:ascii="Arial" w:eastAsia="Times New Roman" w:hAnsi="Arial"/>
          <w:b/>
          <w:sz w:val="24"/>
          <w:szCs w:val="24"/>
        </w:rPr>
        <w:t>7</w:t>
      </w:r>
      <w:r w:rsidR="00CD75E5">
        <w:rPr>
          <w:rFonts w:ascii="Arial" w:eastAsia="Times New Roman" w:hAnsi="Arial"/>
          <w:b/>
          <w:sz w:val="24"/>
          <w:szCs w:val="24"/>
        </w:rPr>
        <w:t>bis</w:t>
      </w:r>
      <w:r w:rsidR="00DB0482">
        <w:rPr>
          <w:rFonts w:ascii="Arial" w:eastAsia="Times New Roman" w:hAnsi="Arial"/>
          <w:b/>
          <w:sz w:val="24"/>
          <w:szCs w:val="24"/>
        </w:rPr>
        <w:t xml:space="preserve">                                                      </w:t>
      </w:r>
      <w:r w:rsidR="00B84949" w:rsidRPr="00B84949">
        <w:rPr>
          <w:rFonts w:ascii="Arial" w:hAnsi="Arial" w:cs="Arial"/>
          <w:b/>
          <w:bCs/>
          <w:color w:val="000000"/>
          <w:sz w:val="26"/>
          <w:szCs w:val="26"/>
        </w:rPr>
        <w:t>R2-1912300</w:t>
      </w:r>
    </w:p>
    <w:p w14:paraId="2F3F3CD0" w14:textId="506CF651" w:rsidR="00E73B83" w:rsidRDefault="00CD75E5" w:rsidP="008146F5">
      <w:pPr>
        <w:widowControl w:val="0"/>
        <w:tabs>
          <w:tab w:val="right" w:pos="9639"/>
        </w:tabs>
        <w:spacing w:after="0"/>
        <w:rPr>
          <w:rFonts w:ascii="Arial" w:hAnsi="Arial"/>
          <w:b/>
          <w:sz w:val="24"/>
          <w:szCs w:val="24"/>
          <w:lang w:eastAsia="zh-CN"/>
        </w:rPr>
      </w:pPr>
      <w:r w:rsidRPr="00CD75E5">
        <w:rPr>
          <w:rFonts w:ascii="Arial" w:hAnsi="Arial"/>
          <w:b/>
          <w:sz w:val="24"/>
          <w:szCs w:val="24"/>
          <w:lang w:eastAsia="zh-CN"/>
        </w:rPr>
        <w:t xml:space="preserve">Chongqing, CN, 14th - 18th Oct 2019                          </w:t>
      </w:r>
      <w:r>
        <w:rPr>
          <w:rFonts w:ascii="Arial" w:hAnsi="Arial"/>
          <w:b/>
          <w:sz w:val="24"/>
          <w:szCs w:val="24"/>
          <w:lang w:eastAsia="zh-CN"/>
        </w:rPr>
        <w:tab/>
        <w:t xml:space="preserve">Revision of </w:t>
      </w:r>
      <w:r w:rsidRPr="001D050D">
        <w:rPr>
          <w:rFonts w:ascii="Arial" w:hAnsi="Arial" w:cs="Arial"/>
          <w:b/>
          <w:bCs/>
          <w:color w:val="000000"/>
          <w:sz w:val="26"/>
          <w:szCs w:val="26"/>
        </w:rPr>
        <w:t>R2-1908933</w:t>
      </w:r>
    </w:p>
    <w:p w14:paraId="38C95667" w14:textId="77777777" w:rsidR="00CD75E5" w:rsidRPr="008146F5" w:rsidRDefault="00CD75E5" w:rsidP="008146F5">
      <w:pPr>
        <w:widowControl w:val="0"/>
        <w:tabs>
          <w:tab w:val="right" w:pos="9639"/>
        </w:tabs>
        <w:spacing w:after="0"/>
        <w:rPr>
          <w:rFonts w:ascii="Arial" w:eastAsia="Times New Roman" w:hAnsi="Arial"/>
          <w:b/>
          <w:bCs/>
          <w:i/>
          <w:sz w:val="24"/>
          <w:szCs w:val="24"/>
        </w:rPr>
      </w:pPr>
    </w:p>
    <w:p w14:paraId="34D90168" w14:textId="1847DF7A" w:rsidR="00825A7A" w:rsidRPr="006D3016" w:rsidRDefault="00825A7A" w:rsidP="00825A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84949">
        <w:rPr>
          <w:rFonts w:ascii="Arial" w:eastAsia="MS Mincho" w:hAnsi="Arial" w:cs="Arial"/>
          <w:b/>
          <w:bCs/>
          <w:sz w:val="24"/>
        </w:rPr>
        <w:t>6.9.2</w:t>
      </w:r>
      <w:bookmarkStart w:id="1" w:name="_GoBack"/>
      <w:bookmarkEnd w:id="1"/>
      <w:r>
        <w:rPr>
          <w:rFonts w:ascii="Arial" w:eastAsia="MS Mincho" w:hAnsi="Arial" w:cs="Arial"/>
          <w:b/>
          <w:bCs/>
          <w:sz w:val="24"/>
        </w:rPr>
        <w:t xml:space="preserve"> </w:t>
      </w:r>
    </w:p>
    <w:p w14:paraId="0417C61B" w14:textId="77777777" w:rsidR="00825A7A" w:rsidRDefault="00825A7A" w:rsidP="00825A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F17ACB0" w14:textId="185506BE"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645BA">
        <w:rPr>
          <w:rFonts w:ascii="Arial" w:eastAsia="Times New Roman" w:hAnsi="Arial" w:cs="Arial"/>
          <w:b/>
          <w:bCs/>
          <w:sz w:val="24"/>
        </w:rPr>
        <w:t xml:space="preserve">Support </w:t>
      </w:r>
      <w:r w:rsidR="004645BA" w:rsidRPr="004645BA">
        <w:rPr>
          <w:rFonts w:ascii="Arial" w:eastAsia="Times New Roman" w:hAnsi="Arial" w:cs="Arial"/>
          <w:b/>
          <w:bCs/>
          <w:sz w:val="24"/>
        </w:rPr>
        <w:t xml:space="preserve">Tx sharing </w:t>
      </w:r>
      <w:r w:rsidR="004645BA">
        <w:rPr>
          <w:rFonts w:ascii="Arial" w:eastAsia="Times New Roman" w:hAnsi="Arial" w:cs="Arial"/>
          <w:b/>
          <w:bCs/>
          <w:sz w:val="24"/>
        </w:rPr>
        <w:t xml:space="preserve">during </w:t>
      </w:r>
      <w:r w:rsidR="00992A33">
        <w:rPr>
          <w:rFonts w:ascii="Arial" w:eastAsia="Times New Roman" w:hAnsi="Arial" w:cs="Arial"/>
          <w:b/>
          <w:bCs/>
          <w:sz w:val="24"/>
        </w:rPr>
        <w:t>DAPS</w:t>
      </w:r>
      <w:r w:rsidR="004645BA">
        <w:rPr>
          <w:rFonts w:ascii="Arial" w:eastAsia="Times New Roman" w:hAnsi="Arial" w:cs="Arial"/>
          <w:b/>
          <w:bCs/>
          <w:sz w:val="24"/>
        </w:rPr>
        <w:t xml:space="preserve"> HO </w:t>
      </w:r>
    </w:p>
    <w:p w14:paraId="6A489C39" w14:textId="77777777" w:rsidR="00825A7A"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7E9E3110" w14:textId="77777777"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5CD2468" w14:textId="0A97376B" w:rsidR="00825A7A" w:rsidRDefault="009258A2" w:rsidP="00825A7A">
      <w:pPr>
        <w:pStyle w:val="Heading1"/>
        <w:numPr>
          <w:ilvl w:val="0"/>
          <w:numId w:val="1"/>
        </w:numPr>
        <w:pBdr>
          <w:top w:val="single" w:sz="12" w:space="2" w:color="auto"/>
        </w:pBdr>
      </w:pPr>
      <w:r>
        <w:t>Introduction</w:t>
      </w:r>
      <w:r w:rsidR="00825A7A">
        <w:t xml:space="preserve"> </w:t>
      </w:r>
    </w:p>
    <w:p w14:paraId="6FFC116F" w14:textId="26A2CB14" w:rsidR="00E041E5" w:rsidRDefault="00BD7723" w:rsidP="00825A7A">
      <w:r>
        <w:t xml:space="preserve">In [1], we discussed the need for Tx sharing during </w:t>
      </w:r>
      <w:r w:rsidR="00992A33">
        <w:t>DAPS</w:t>
      </w:r>
      <w:r>
        <w:t xml:space="preserve"> HO for UEs without simultaneous Tx capability support. </w:t>
      </w:r>
      <w:r w:rsidR="00825A7A">
        <w:t xml:space="preserve">In this document, we discuss </w:t>
      </w:r>
      <w:r>
        <w:t>the details on supporting Tx sharing during</w:t>
      </w:r>
      <w:r w:rsidR="00E041E5">
        <w:t xml:space="preserve"> </w:t>
      </w:r>
      <w:r w:rsidR="00992A33">
        <w:t>DAPS</w:t>
      </w:r>
      <w:r w:rsidR="00E041E5">
        <w:t>HO.</w:t>
      </w:r>
    </w:p>
    <w:p w14:paraId="3D8BE021" w14:textId="5DD85A96" w:rsidR="00825A7A" w:rsidRDefault="00825A7A" w:rsidP="00825A7A">
      <w:pPr>
        <w:pStyle w:val="Heading1"/>
        <w:numPr>
          <w:ilvl w:val="0"/>
          <w:numId w:val="1"/>
        </w:numPr>
        <w:pBdr>
          <w:top w:val="single" w:sz="12" w:space="2" w:color="auto"/>
        </w:pBdr>
      </w:pPr>
      <w:r>
        <w:t>Discussion</w:t>
      </w:r>
    </w:p>
    <w:p w14:paraId="73DF669F" w14:textId="4E559482" w:rsidR="004472FA" w:rsidRDefault="004472FA" w:rsidP="00BD7723">
      <w:pPr>
        <w:rPr>
          <w:lang w:val="en-US"/>
        </w:rPr>
      </w:pPr>
      <w:r>
        <w:t xml:space="preserve">As specified in the </w:t>
      </w:r>
      <w:r w:rsidRPr="00E73B83">
        <w:rPr>
          <w:lang w:val="en-US"/>
        </w:rPr>
        <w:t>RAN1/RAN4 LS replies</w:t>
      </w:r>
      <w:r w:rsidR="00BC58C3">
        <w:rPr>
          <w:lang w:val="en-US"/>
        </w:rPr>
        <w:t xml:space="preserve"> [3],[4]</w:t>
      </w:r>
      <w:r>
        <w:rPr>
          <w:lang w:val="en-US"/>
        </w:rPr>
        <w:t xml:space="preserve"> submitted to </w:t>
      </w:r>
      <w:r w:rsidRPr="00E73B83">
        <w:t>RAN2#</w:t>
      </w:r>
      <w:r w:rsidR="00BC58C3" w:rsidRPr="00E73B83">
        <w:t>10</w:t>
      </w:r>
      <w:r w:rsidR="00BC58C3">
        <w:t>6</w:t>
      </w:r>
      <w:r>
        <w:rPr>
          <w:lang w:val="en-US"/>
        </w:rPr>
        <w:t xml:space="preserve">, simultaneous Tx is not feasible in </w:t>
      </w:r>
      <w:r w:rsidRPr="00E73B83">
        <w:rPr>
          <w:lang w:val="en-US"/>
        </w:rPr>
        <w:t xml:space="preserve">Intra-Freq Intra-band, Inter-Freq Intra-band async HO for </w:t>
      </w:r>
      <w:r w:rsidR="00BC58C3">
        <w:rPr>
          <w:lang w:val="en-US"/>
        </w:rPr>
        <w:t xml:space="preserve">FR1 </w:t>
      </w:r>
      <w:r w:rsidRPr="00E73B83">
        <w:rPr>
          <w:lang w:val="en-US"/>
        </w:rPr>
        <w:t>dual Tx UE</w:t>
      </w:r>
      <w:r>
        <w:rPr>
          <w:lang w:val="en-US"/>
        </w:rPr>
        <w:t xml:space="preserve">s, </w:t>
      </w:r>
      <w:r w:rsidR="00BC58C3">
        <w:rPr>
          <w:lang w:val="en-US"/>
        </w:rPr>
        <w:t>FR2&lt;-&gt;FR2 HO,</w:t>
      </w:r>
      <w:r>
        <w:rPr>
          <w:lang w:val="en-US"/>
        </w:rPr>
        <w:t xml:space="preserve">and, any HO for </w:t>
      </w:r>
      <w:r w:rsidRPr="00E73B83">
        <w:rPr>
          <w:lang w:val="en-US"/>
        </w:rPr>
        <w:t>single Tx UE</w:t>
      </w:r>
      <w:r>
        <w:rPr>
          <w:lang w:val="en-US"/>
        </w:rPr>
        <w:t xml:space="preserve">s. </w:t>
      </w:r>
    </w:p>
    <w:p w14:paraId="5018062E" w14:textId="442F1BB0" w:rsidR="00BD7723" w:rsidRPr="004472FA" w:rsidRDefault="004472FA" w:rsidP="00BD7723">
      <w:pPr>
        <w:rPr>
          <w:lang w:val="en-US"/>
        </w:rPr>
      </w:pPr>
      <w:r>
        <w:t>In these cases where</w:t>
      </w:r>
      <w:r w:rsidR="00BD7723">
        <w:t xml:space="preserve"> UEs cannot support simultaneous Tx</w:t>
      </w:r>
      <w:r w:rsidR="009C4E2B">
        <w:t xml:space="preserve">, </w:t>
      </w:r>
      <w:r w:rsidR="00461E20">
        <w:t>UE</w:t>
      </w:r>
      <w:r w:rsidR="009C4E2B">
        <w:t xml:space="preserve"> </w:t>
      </w:r>
      <w:r>
        <w:t xml:space="preserve">still </w:t>
      </w:r>
      <w:r w:rsidR="009C4E2B">
        <w:t>needs</w:t>
      </w:r>
      <w:r w:rsidR="00461E20">
        <w:t xml:space="preserve"> to </w:t>
      </w:r>
      <w:r>
        <w:t xml:space="preserve">support control/data transmissions on the source connection while performing RACH on the target to not interrupt data transmission during </w:t>
      </w:r>
      <w:r w:rsidR="00992A33">
        <w:t>DAPS</w:t>
      </w:r>
      <w:r>
        <w:t xml:space="preserve"> HO. </w:t>
      </w:r>
      <w:r w:rsidR="00461E20">
        <w:t>One-way UE can support this is by time sharing the Tx resources</w:t>
      </w:r>
      <w:r>
        <w:t>, i.e. TDM,</w:t>
      </w:r>
      <w:r w:rsidR="00461E20">
        <w:t xml:space="preserve"> between the source and target connection to transmit the respective control/data channels on those connections. </w:t>
      </w:r>
      <w:r w:rsidR="00BD7723" w:rsidRPr="00BD7723">
        <w:t xml:space="preserve"> </w:t>
      </w:r>
    </w:p>
    <w:p w14:paraId="13C077B4" w14:textId="5E460E52" w:rsidR="00BC5866" w:rsidRDefault="004B7B22" w:rsidP="004B7B22">
      <w:pPr>
        <w:pStyle w:val="Caption"/>
        <w:rPr>
          <w:rFonts w:eastAsiaTheme="minorHAnsi"/>
          <w:b/>
          <w:bCs/>
          <w:i w:val="0"/>
          <w:iCs w:val="0"/>
          <w:color w:val="auto"/>
          <w:sz w:val="20"/>
          <w:szCs w:val="20"/>
        </w:rPr>
      </w:pPr>
      <w:bookmarkStart w:id="2" w:name="_Ref16687765"/>
      <w:r w:rsidRPr="004B7B22">
        <w:rPr>
          <w:b/>
          <w:bCs/>
          <w:i w:val="0"/>
          <w:iCs w:val="0"/>
          <w:color w:val="auto"/>
          <w:sz w:val="20"/>
          <w:szCs w:val="20"/>
        </w:rPr>
        <w:t xml:space="preserve">Observation </w:t>
      </w:r>
      <w:r w:rsidRPr="004B7B22">
        <w:rPr>
          <w:b/>
          <w:bCs/>
          <w:i w:val="0"/>
          <w:iCs w:val="0"/>
          <w:color w:val="auto"/>
          <w:sz w:val="20"/>
          <w:szCs w:val="20"/>
        </w:rPr>
        <w:fldChar w:fldCharType="begin"/>
      </w:r>
      <w:r w:rsidRPr="004B7B22">
        <w:rPr>
          <w:b/>
          <w:bCs/>
          <w:i w:val="0"/>
          <w:iCs w:val="0"/>
          <w:color w:val="auto"/>
          <w:sz w:val="20"/>
          <w:szCs w:val="20"/>
        </w:rPr>
        <w:instrText xml:space="preserve"> SEQ Observation \* ARABIC </w:instrText>
      </w:r>
      <w:r w:rsidRPr="004B7B22">
        <w:rPr>
          <w:b/>
          <w:bCs/>
          <w:i w:val="0"/>
          <w:iCs w:val="0"/>
          <w:color w:val="auto"/>
          <w:sz w:val="20"/>
          <w:szCs w:val="20"/>
        </w:rPr>
        <w:fldChar w:fldCharType="separate"/>
      </w:r>
      <w:r>
        <w:rPr>
          <w:b/>
          <w:bCs/>
          <w:i w:val="0"/>
          <w:iCs w:val="0"/>
          <w:noProof/>
          <w:color w:val="auto"/>
          <w:sz w:val="20"/>
          <w:szCs w:val="20"/>
        </w:rPr>
        <w:t>1</w:t>
      </w:r>
      <w:r w:rsidRPr="004B7B22">
        <w:rPr>
          <w:b/>
          <w:bCs/>
          <w:i w:val="0"/>
          <w:iCs w:val="0"/>
          <w:color w:val="auto"/>
          <w:sz w:val="20"/>
          <w:szCs w:val="20"/>
        </w:rPr>
        <w:fldChar w:fldCharType="end"/>
      </w:r>
      <w:r w:rsidRPr="004B7B22">
        <w:rPr>
          <w:b/>
          <w:bCs/>
          <w:i w:val="0"/>
          <w:iCs w:val="0"/>
          <w:color w:val="auto"/>
          <w:sz w:val="20"/>
          <w:szCs w:val="20"/>
        </w:rPr>
        <w:t xml:space="preserve">. </w:t>
      </w:r>
      <w:r w:rsidR="00BC5866">
        <w:rPr>
          <w:b/>
          <w:bCs/>
          <w:i w:val="0"/>
          <w:iCs w:val="0"/>
          <w:color w:val="auto"/>
          <w:sz w:val="20"/>
          <w:szCs w:val="20"/>
        </w:rPr>
        <w:t xml:space="preserve">Both source and target connections </w:t>
      </w:r>
      <w:r w:rsidR="004472FA">
        <w:rPr>
          <w:b/>
          <w:bCs/>
          <w:i w:val="0"/>
          <w:iCs w:val="0"/>
          <w:color w:val="auto"/>
          <w:sz w:val="20"/>
          <w:szCs w:val="20"/>
        </w:rPr>
        <w:t>must</w:t>
      </w:r>
      <w:r w:rsidR="00BC5866">
        <w:rPr>
          <w:b/>
          <w:bCs/>
          <w:i w:val="0"/>
          <w:iCs w:val="0"/>
          <w:color w:val="auto"/>
          <w:sz w:val="20"/>
          <w:szCs w:val="20"/>
        </w:rPr>
        <w:t xml:space="preserve"> be maintained to support </w:t>
      </w:r>
      <w:r w:rsidR="00992A33">
        <w:rPr>
          <w:b/>
          <w:bCs/>
          <w:i w:val="0"/>
          <w:iCs w:val="0"/>
          <w:color w:val="auto"/>
          <w:sz w:val="20"/>
          <w:szCs w:val="20"/>
        </w:rPr>
        <w:t>DAPS</w:t>
      </w:r>
      <w:r w:rsidR="00BC5866">
        <w:rPr>
          <w:b/>
          <w:bCs/>
          <w:i w:val="0"/>
          <w:iCs w:val="0"/>
          <w:color w:val="auto"/>
          <w:sz w:val="20"/>
          <w:szCs w:val="20"/>
        </w:rPr>
        <w:t xml:space="preserve"> HO for the HO scenarios where simultaneous Tx cannot be supported by the UE.</w:t>
      </w:r>
      <w:bookmarkEnd w:id="2"/>
    </w:p>
    <w:p w14:paraId="59BCDF19" w14:textId="7E75904F" w:rsidR="00BC5866" w:rsidRDefault="004B7B22" w:rsidP="004B7B22">
      <w:pPr>
        <w:pStyle w:val="Caption"/>
        <w:rPr>
          <w:b/>
          <w:bCs/>
          <w:i w:val="0"/>
          <w:iCs w:val="0"/>
          <w:color w:val="auto"/>
          <w:sz w:val="20"/>
          <w:szCs w:val="20"/>
        </w:rPr>
      </w:pPr>
      <w:bookmarkStart w:id="3" w:name="_Ref16687777"/>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Pr>
          <w:b/>
          <w:bCs/>
          <w:i w:val="0"/>
          <w:iCs w:val="0"/>
          <w:noProof/>
          <w:color w:val="auto"/>
          <w:sz w:val="20"/>
          <w:szCs w:val="20"/>
        </w:rPr>
        <w:t>1</w:t>
      </w:r>
      <w:r w:rsidRPr="004B7B22">
        <w:rPr>
          <w:b/>
          <w:bCs/>
          <w:i w:val="0"/>
          <w:iCs w:val="0"/>
          <w:color w:val="auto"/>
          <w:sz w:val="20"/>
          <w:szCs w:val="20"/>
        </w:rPr>
        <w:fldChar w:fldCharType="end"/>
      </w:r>
      <w:r w:rsidR="00BC5866">
        <w:rPr>
          <w:b/>
          <w:bCs/>
          <w:i w:val="0"/>
          <w:iCs w:val="0"/>
          <w:color w:val="auto"/>
          <w:sz w:val="20"/>
          <w:szCs w:val="20"/>
        </w:rPr>
        <w:t xml:space="preserve">. Support Tx sharing, i.e. TDM UL Tx, to maintain both source and target connections for the </w:t>
      </w:r>
      <w:r w:rsidR="00992A33">
        <w:rPr>
          <w:b/>
          <w:bCs/>
          <w:i w:val="0"/>
          <w:iCs w:val="0"/>
          <w:color w:val="auto"/>
          <w:sz w:val="20"/>
          <w:szCs w:val="20"/>
        </w:rPr>
        <w:t>DAPS</w:t>
      </w:r>
      <w:r w:rsidR="00BC5866">
        <w:rPr>
          <w:b/>
          <w:bCs/>
          <w:i w:val="0"/>
          <w:iCs w:val="0"/>
          <w:color w:val="auto"/>
          <w:sz w:val="20"/>
          <w:szCs w:val="20"/>
        </w:rPr>
        <w:t xml:space="preserve"> HO scenarios</w:t>
      </w:r>
      <w:r w:rsidR="00BC58C3">
        <w:rPr>
          <w:b/>
          <w:bCs/>
          <w:i w:val="0"/>
          <w:iCs w:val="0"/>
          <w:color w:val="auto"/>
          <w:sz w:val="20"/>
          <w:szCs w:val="20"/>
        </w:rPr>
        <w:t xml:space="preserve"> (FR1&lt;-&gt;FR1 HO, FR1&lt;-&gt;FR2 HO, FR2&lt;-&gt;FR2 HO)</w:t>
      </w:r>
      <w:r w:rsidR="00BC5866">
        <w:rPr>
          <w:b/>
          <w:bCs/>
          <w:i w:val="0"/>
          <w:iCs w:val="0"/>
          <w:color w:val="auto"/>
          <w:sz w:val="20"/>
          <w:szCs w:val="20"/>
        </w:rPr>
        <w:t xml:space="preserve"> where simultaneous Tx cannot be supported by the UE.</w:t>
      </w:r>
      <w:bookmarkEnd w:id="3"/>
    </w:p>
    <w:p w14:paraId="2C49D3EE" w14:textId="3F443E02" w:rsidR="00466BCF" w:rsidRPr="00466BCF" w:rsidRDefault="00466BCF" w:rsidP="00466BCF">
      <w:pPr>
        <w:pStyle w:val="Heading2"/>
        <w:numPr>
          <w:ilvl w:val="1"/>
          <w:numId w:val="7"/>
        </w:numPr>
        <w:rPr>
          <w:rFonts w:ascii="Arial" w:hAnsi="Arial" w:cs="Arial"/>
          <w:color w:val="auto"/>
          <w:sz w:val="32"/>
          <w:szCs w:val="36"/>
          <w:lang w:eastAsia="ja-JP"/>
        </w:rPr>
      </w:pPr>
      <w:r w:rsidRPr="00466BCF">
        <w:rPr>
          <w:rFonts w:ascii="Arial" w:hAnsi="Arial" w:cs="Arial"/>
          <w:color w:val="auto"/>
          <w:sz w:val="32"/>
          <w:szCs w:val="36"/>
          <w:lang w:eastAsia="ja-JP"/>
        </w:rPr>
        <w:t xml:space="preserve">Enabling Tx sharing during </w:t>
      </w:r>
      <w:r w:rsidR="00992A33">
        <w:rPr>
          <w:rFonts w:ascii="Arial" w:hAnsi="Arial" w:cs="Arial"/>
          <w:color w:val="auto"/>
          <w:sz w:val="32"/>
          <w:szCs w:val="36"/>
          <w:lang w:eastAsia="ja-JP"/>
        </w:rPr>
        <w:t>DAPS</w:t>
      </w:r>
      <w:r w:rsidRPr="00466BCF">
        <w:rPr>
          <w:rFonts w:ascii="Arial" w:hAnsi="Arial" w:cs="Arial"/>
          <w:color w:val="auto"/>
          <w:sz w:val="32"/>
          <w:szCs w:val="36"/>
          <w:lang w:eastAsia="ja-JP"/>
        </w:rPr>
        <w:t xml:space="preserve"> HO</w:t>
      </w:r>
    </w:p>
    <w:p w14:paraId="63254C37" w14:textId="266CB3B0" w:rsidR="004472FA" w:rsidRPr="004472FA" w:rsidRDefault="004472FA" w:rsidP="004472FA">
      <w:r>
        <w:t xml:space="preserve">UE exchanges </w:t>
      </w:r>
      <w:r w:rsidR="002442DE">
        <w:t xml:space="preserve">its </w:t>
      </w:r>
      <w:r>
        <w:t xml:space="preserve">capability restrictions on </w:t>
      </w:r>
      <w:r w:rsidR="00DB3580">
        <w:t xml:space="preserve">band combinations where </w:t>
      </w:r>
      <w:r>
        <w:t xml:space="preserve">simultaneous Tx </w:t>
      </w:r>
      <w:r w:rsidR="00DB3580">
        <w:t>can be supported</w:t>
      </w:r>
      <w:r w:rsidR="002442DE">
        <w:t xml:space="preserve"> to the network during capability negotiation</w:t>
      </w:r>
      <w:r>
        <w:t xml:space="preserve">. During </w:t>
      </w:r>
      <w:r w:rsidR="00992A33">
        <w:t>DAPS</w:t>
      </w:r>
      <w:r>
        <w:t xml:space="preserve"> HO preparation, source gNB and target gNB consider the UE capabilities to decide if TDM during </w:t>
      </w:r>
      <w:r w:rsidR="00992A33">
        <w:t>DAPS</w:t>
      </w:r>
      <w:r w:rsidR="002442DE">
        <w:t xml:space="preserve"> HO has to be enabled and send the indication to the UE in the </w:t>
      </w:r>
      <w:r w:rsidR="00992A33">
        <w:t>DAPS</w:t>
      </w:r>
      <w:r w:rsidR="002442DE">
        <w:t xml:space="preserve"> HO RRC Reconfiguration message.</w:t>
      </w:r>
    </w:p>
    <w:p w14:paraId="3DC7B074" w14:textId="24210AE8" w:rsidR="00BC5866" w:rsidRDefault="004B7B22" w:rsidP="004B7B22">
      <w:pPr>
        <w:pStyle w:val="Caption"/>
        <w:rPr>
          <w:b/>
          <w:bCs/>
          <w:i w:val="0"/>
          <w:iCs w:val="0"/>
          <w:color w:val="auto"/>
          <w:sz w:val="20"/>
          <w:szCs w:val="20"/>
        </w:rPr>
      </w:pPr>
      <w:bookmarkStart w:id="4" w:name="_Ref16687779"/>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2</w:t>
      </w:r>
      <w:r w:rsidRPr="004B7B22">
        <w:rPr>
          <w:b/>
          <w:bCs/>
          <w:i w:val="0"/>
          <w:iCs w:val="0"/>
          <w:color w:val="auto"/>
          <w:sz w:val="20"/>
          <w:szCs w:val="20"/>
        </w:rPr>
        <w:fldChar w:fldCharType="end"/>
      </w:r>
      <w:r w:rsidR="00BC5866">
        <w:rPr>
          <w:b/>
          <w:bCs/>
          <w:i w:val="0"/>
          <w:iCs w:val="0"/>
          <w:color w:val="auto"/>
          <w:sz w:val="20"/>
          <w:szCs w:val="20"/>
        </w:rPr>
        <w:t xml:space="preserve">. UE enables Tx sharing operation during </w:t>
      </w:r>
      <w:r w:rsidR="00992A33">
        <w:rPr>
          <w:b/>
          <w:bCs/>
          <w:i w:val="0"/>
          <w:iCs w:val="0"/>
          <w:color w:val="auto"/>
          <w:sz w:val="20"/>
          <w:szCs w:val="20"/>
        </w:rPr>
        <w:t>DAPS</w:t>
      </w:r>
      <w:r w:rsidR="00BC5866">
        <w:rPr>
          <w:b/>
          <w:bCs/>
          <w:i w:val="0"/>
          <w:iCs w:val="0"/>
          <w:color w:val="auto"/>
          <w:sz w:val="20"/>
          <w:szCs w:val="20"/>
        </w:rPr>
        <w:t xml:space="preserve"> HO on receiving an indication to “enable-TDM-</w:t>
      </w:r>
      <w:r w:rsidR="00992A33">
        <w:rPr>
          <w:b/>
          <w:bCs/>
          <w:i w:val="0"/>
          <w:iCs w:val="0"/>
          <w:color w:val="auto"/>
          <w:sz w:val="20"/>
          <w:szCs w:val="20"/>
        </w:rPr>
        <w:t>DAPS</w:t>
      </w:r>
      <w:r w:rsidR="00BC5866">
        <w:rPr>
          <w:b/>
          <w:bCs/>
          <w:i w:val="0"/>
          <w:iCs w:val="0"/>
          <w:color w:val="auto"/>
          <w:sz w:val="20"/>
          <w:szCs w:val="20"/>
        </w:rPr>
        <w:t xml:space="preserve">HO” in the </w:t>
      </w:r>
      <w:r w:rsidR="00992A33">
        <w:rPr>
          <w:b/>
          <w:bCs/>
          <w:i w:val="0"/>
          <w:iCs w:val="0"/>
          <w:color w:val="auto"/>
          <w:sz w:val="20"/>
          <w:szCs w:val="20"/>
        </w:rPr>
        <w:t>DAPS</w:t>
      </w:r>
      <w:r w:rsidR="00BC5866">
        <w:rPr>
          <w:b/>
          <w:bCs/>
          <w:i w:val="0"/>
          <w:iCs w:val="0"/>
          <w:color w:val="auto"/>
          <w:sz w:val="20"/>
          <w:szCs w:val="20"/>
        </w:rPr>
        <w:t xml:space="preserve"> HO RRC Reconfiguration message.</w:t>
      </w:r>
      <w:bookmarkEnd w:id="4"/>
    </w:p>
    <w:p w14:paraId="16698CFA" w14:textId="24DDA546" w:rsidR="002442DE" w:rsidRPr="002442DE" w:rsidRDefault="002442DE" w:rsidP="002442DE">
      <w:r>
        <w:t xml:space="preserve">To perform Tx sharing, UE switches the Tx hardware resources back and forth between the source connection and the target connection. Switching may introduce delays in some HO scenarios and could result in a short interruption to the data transmission based on the type of HO scenario (e.g. Intra-Freq async, Inter-Freq sync/async). During this hardware switching, if the L2 stack </w:t>
      </w:r>
      <w:r w:rsidR="004C7494">
        <w:t xml:space="preserve">also </w:t>
      </w:r>
      <w:r>
        <w:t xml:space="preserve">needs to be switched, then it introduces additional interruption. In order to avoid </w:t>
      </w:r>
      <w:r w:rsidR="004C7494">
        <w:t xml:space="preserve">these </w:t>
      </w:r>
      <w:r>
        <w:t>additional L2 switching delays du</w:t>
      </w:r>
      <w:r w:rsidR="004C7494">
        <w:t>e to</w:t>
      </w:r>
      <w:r>
        <w:t xml:space="preserve"> Tx switching, UE has to support dual RLC/MAC/PHY with common PDCP entity similar to </w:t>
      </w:r>
      <w:r w:rsidR="004C7494">
        <w:t>simultaneous Tx capable U</w:t>
      </w:r>
      <w:r>
        <w:t>Es.</w:t>
      </w:r>
    </w:p>
    <w:p w14:paraId="30C91AF9" w14:textId="3009F26A" w:rsidR="00BC5866" w:rsidRDefault="004B7B22" w:rsidP="004B7B22">
      <w:pPr>
        <w:pStyle w:val="Caption"/>
        <w:rPr>
          <w:b/>
          <w:bCs/>
          <w:i w:val="0"/>
          <w:iCs w:val="0"/>
          <w:color w:val="auto"/>
          <w:sz w:val="20"/>
          <w:szCs w:val="20"/>
        </w:rPr>
      </w:pPr>
      <w:bookmarkStart w:id="5" w:name="_Ref16687787"/>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3</w:t>
      </w:r>
      <w:r w:rsidRPr="004B7B22">
        <w:rPr>
          <w:b/>
          <w:bCs/>
          <w:i w:val="0"/>
          <w:iCs w:val="0"/>
          <w:color w:val="auto"/>
          <w:sz w:val="20"/>
          <w:szCs w:val="20"/>
        </w:rPr>
        <w:fldChar w:fldCharType="end"/>
      </w:r>
      <w:r w:rsidR="00BC5866">
        <w:rPr>
          <w:b/>
          <w:bCs/>
          <w:i w:val="0"/>
          <w:iCs w:val="0"/>
          <w:color w:val="auto"/>
          <w:sz w:val="20"/>
          <w:szCs w:val="20"/>
        </w:rPr>
        <w:t xml:space="preserve">. UE support common PDCP entity with dual RLC/MAC/PHY when supporting Tx sharing during </w:t>
      </w:r>
      <w:r w:rsidR="00992A33">
        <w:rPr>
          <w:b/>
          <w:bCs/>
          <w:i w:val="0"/>
          <w:iCs w:val="0"/>
          <w:color w:val="auto"/>
          <w:sz w:val="20"/>
          <w:szCs w:val="20"/>
        </w:rPr>
        <w:t>DAPS</w:t>
      </w:r>
      <w:r w:rsidR="00BC5866">
        <w:rPr>
          <w:b/>
          <w:bCs/>
          <w:i w:val="0"/>
          <w:iCs w:val="0"/>
          <w:color w:val="auto"/>
          <w:sz w:val="20"/>
          <w:szCs w:val="20"/>
        </w:rPr>
        <w:t xml:space="preserve"> HO.</w:t>
      </w:r>
      <w:bookmarkEnd w:id="5"/>
      <w:r w:rsidR="00BC5866">
        <w:rPr>
          <w:b/>
          <w:bCs/>
          <w:i w:val="0"/>
          <w:iCs w:val="0"/>
          <w:color w:val="auto"/>
          <w:sz w:val="20"/>
          <w:szCs w:val="20"/>
        </w:rPr>
        <w:t xml:space="preserve"> </w:t>
      </w:r>
    </w:p>
    <w:p w14:paraId="53AF9E3E" w14:textId="565275CA" w:rsidR="00DB3580" w:rsidRPr="00DB3580" w:rsidRDefault="00E17F2A" w:rsidP="00DB3580">
      <w:r>
        <w:t xml:space="preserve">One of the fundamental design principles of 5G NR is to support flexible and efficient resource allocation for both FDD and TDD deployments. This is supported by enabling flexible numerology, asynchronous HARQ i.e. no </w:t>
      </w:r>
      <w:r w:rsidRPr="00E17F2A">
        <w:t>strict timing relations across slots and across different transmission directions</w:t>
      </w:r>
      <w:r>
        <w:t xml:space="preserve">, dynamic resource allocation, dynamic TDD slot format configuration. In LTE, there are predefined slot formats for TDD operation, and the network/UE operate </w:t>
      </w:r>
      <w:r>
        <w:lastRenderedPageBreak/>
        <w:t xml:space="preserve">using one of these formats. However, in NR, it is possible to dynamically configure the UL/DL slot allocation and thus improves the </w:t>
      </w:r>
      <w:r w:rsidR="00823A4A">
        <w:t>resource</w:t>
      </w:r>
      <w:r>
        <w:t xml:space="preserve"> allocation </w:t>
      </w:r>
      <w:r w:rsidR="00823A4A">
        <w:t xml:space="preserve">efficiency </w:t>
      </w:r>
      <w:r>
        <w:t xml:space="preserve">based on uplink/downlink traffic needs. We think that even during </w:t>
      </w:r>
      <w:r w:rsidR="00992A33">
        <w:t>DAPS</w:t>
      </w:r>
      <w:r>
        <w:t xml:space="preserve"> HO, where T</w:t>
      </w:r>
      <w:r w:rsidR="00823A4A">
        <w:t>x sharing (TDM) is necessary, it is beneficial to support dynamic Tx sharing based on the uplink transmission needs on each connection instead of defining a fixed TDM pattern like LTE.</w:t>
      </w:r>
    </w:p>
    <w:p w14:paraId="2E1C8B37" w14:textId="347D9D73" w:rsidR="00BC5866" w:rsidRDefault="004B7B22" w:rsidP="004B7B22">
      <w:pPr>
        <w:pStyle w:val="Caption"/>
        <w:rPr>
          <w:b/>
          <w:bCs/>
          <w:i w:val="0"/>
          <w:iCs w:val="0"/>
          <w:color w:val="auto"/>
          <w:sz w:val="20"/>
          <w:szCs w:val="20"/>
        </w:rPr>
      </w:pPr>
      <w:bookmarkStart w:id="6" w:name="_Ref16687790"/>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4</w:t>
      </w:r>
      <w:r w:rsidRPr="004B7B22">
        <w:rPr>
          <w:b/>
          <w:bCs/>
          <w:i w:val="0"/>
          <w:iCs w:val="0"/>
          <w:color w:val="auto"/>
          <w:sz w:val="20"/>
          <w:szCs w:val="20"/>
        </w:rPr>
        <w:fldChar w:fldCharType="end"/>
      </w:r>
      <w:r w:rsidR="00BC5866">
        <w:rPr>
          <w:b/>
          <w:bCs/>
          <w:i w:val="0"/>
          <w:iCs w:val="0"/>
          <w:color w:val="auto"/>
          <w:sz w:val="20"/>
          <w:szCs w:val="20"/>
        </w:rPr>
        <w:t xml:space="preserve">. Adopt the NR flexible resource allocation principle and support Tx sharing during </w:t>
      </w:r>
      <w:r w:rsidR="00992A33">
        <w:rPr>
          <w:b/>
          <w:bCs/>
          <w:i w:val="0"/>
          <w:iCs w:val="0"/>
          <w:color w:val="auto"/>
          <w:sz w:val="20"/>
          <w:szCs w:val="20"/>
        </w:rPr>
        <w:t>DAPS</w:t>
      </w:r>
      <w:r w:rsidR="00BC5866">
        <w:rPr>
          <w:b/>
          <w:bCs/>
          <w:i w:val="0"/>
          <w:iCs w:val="0"/>
          <w:color w:val="auto"/>
          <w:sz w:val="20"/>
          <w:szCs w:val="20"/>
        </w:rPr>
        <w:t xml:space="preserve"> HO without any fixed TDM pattern configured for the UE.</w:t>
      </w:r>
      <w:bookmarkEnd w:id="6"/>
    </w:p>
    <w:p w14:paraId="3F60B93A" w14:textId="2049913E" w:rsidR="00466BCF" w:rsidRPr="00466BCF" w:rsidRDefault="00466BCF" w:rsidP="00466BCF">
      <w:pPr>
        <w:pStyle w:val="Heading2"/>
        <w:numPr>
          <w:ilvl w:val="1"/>
          <w:numId w:val="7"/>
        </w:numPr>
        <w:rPr>
          <w:rFonts w:ascii="Arial" w:hAnsi="Arial" w:cs="Arial"/>
          <w:color w:val="auto"/>
          <w:sz w:val="32"/>
          <w:szCs w:val="36"/>
          <w:lang w:eastAsia="ja-JP"/>
        </w:rPr>
      </w:pPr>
      <w:r>
        <w:rPr>
          <w:rFonts w:ascii="Arial" w:hAnsi="Arial" w:cs="Arial"/>
          <w:color w:val="auto"/>
          <w:sz w:val="32"/>
          <w:szCs w:val="36"/>
          <w:lang w:eastAsia="ja-JP"/>
        </w:rPr>
        <w:t xml:space="preserve">Supporting </w:t>
      </w:r>
      <w:r w:rsidRPr="00466BCF">
        <w:rPr>
          <w:rFonts w:ascii="Arial" w:hAnsi="Arial" w:cs="Arial"/>
          <w:color w:val="auto"/>
          <w:sz w:val="32"/>
          <w:szCs w:val="36"/>
          <w:lang w:eastAsia="ja-JP"/>
        </w:rPr>
        <w:t xml:space="preserve">Tx sharing during </w:t>
      </w:r>
      <w:r w:rsidR="00992A33">
        <w:rPr>
          <w:rFonts w:ascii="Arial" w:hAnsi="Arial" w:cs="Arial"/>
          <w:color w:val="auto"/>
          <w:sz w:val="32"/>
          <w:szCs w:val="36"/>
          <w:lang w:eastAsia="ja-JP"/>
        </w:rPr>
        <w:t>DAPS</w:t>
      </w:r>
      <w:r w:rsidRPr="00466BCF">
        <w:rPr>
          <w:rFonts w:ascii="Arial" w:hAnsi="Arial" w:cs="Arial"/>
          <w:color w:val="auto"/>
          <w:sz w:val="32"/>
          <w:szCs w:val="36"/>
          <w:lang w:eastAsia="ja-JP"/>
        </w:rPr>
        <w:t xml:space="preserve"> HO</w:t>
      </w:r>
    </w:p>
    <w:p w14:paraId="6542B322" w14:textId="77777777" w:rsidR="00466BCF" w:rsidRPr="00466BCF" w:rsidRDefault="00466BCF" w:rsidP="00466BCF"/>
    <w:p w14:paraId="7D548228" w14:textId="52592702" w:rsidR="00823A4A" w:rsidRDefault="00B42B35" w:rsidP="00466BCF">
      <w:pPr>
        <w:ind w:left="720"/>
      </w:pPr>
      <w:r>
        <w:object w:dxaOrig="8206" w:dyaOrig="8491" w14:anchorId="1AE11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5pt;height:424.5pt" o:ole="">
            <v:imagedata r:id="rId8" o:title=""/>
          </v:shape>
          <o:OLEObject Type="Embed" ProgID="Visio.Drawing.15" ShapeID="_x0000_i1025" DrawAspect="Content" ObjectID="_1631620664" r:id="rId9"/>
        </w:object>
      </w:r>
    </w:p>
    <w:p w14:paraId="00E35673" w14:textId="4155B065" w:rsidR="00466BCF" w:rsidRDefault="00466BCF" w:rsidP="00466BCF">
      <w:pPr>
        <w:pStyle w:val="Caption"/>
        <w:ind w:left="2880"/>
      </w:pPr>
      <w:bookmarkStart w:id="7" w:name="_Ref16444590"/>
      <w:r>
        <w:t xml:space="preserve">Figure </w:t>
      </w:r>
      <w:r>
        <w:fldChar w:fldCharType="begin"/>
      </w:r>
      <w:r>
        <w:instrText xml:space="preserve"> SEQ Figure \* ARABIC </w:instrText>
      </w:r>
      <w:r>
        <w:fldChar w:fldCharType="separate"/>
      </w:r>
      <w:r>
        <w:rPr>
          <w:noProof/>
        </w:rPr>
        <w:t>1</w:t>
      </w:r>
      <w:r>
        <w:fldChar w:fldCharType="end"/>
      </w:r>
      <w:bookmarkEnd w:id="7"/>
      <w:r>
        <w:t xml:space="preserve">. Tx sharing during </w:t>
      </w:r>
      <w:r w:rsidR="00992A33">
        <w:t>DAPS</w:t>
      </w:r>
      <w:r>
        <w:t xml:space="preserve"> HO</w:t>
      </w:r>
    </w:p>
    <w:p w14:paraId="2691DA05" w14:textId="0F5CE75D" w:rsidR="00466BCF" w:rsidRDefault="00466BCF" w:rsidP="00466BCF">
      <w:r>
        <w:t xml:space="preserve">As shown in </w:t>
      </w:r>
      <w:r>
        <w:fldChar w:fldCharType="begin"/>
      </w:r>
      <w:r>
        <w:instrText xml:space="preserve"> REF _Ref16444590 \h </w:instrText>
      </w:r>
      <w:r>
        <w:fldChar w:fldCharType="separate"/>
      </w:r>
      <w:r>
        <w:t xml:space="preserve">Figure </w:t>
      </w:r>
      <w:r>
        <w:rPr>
          <w:noProof/>
        </w:rPr>
        <w:t>1</w:t>
      </w:r>
      <w:r>
        <w:fldChar w:fldCharType="end"/>
      </w:r>
      <w:r>
        <w:t xml:space="preserve"> above, the below procedures are performed to support Tx sharing during </w:t>
      </w:r>
      <w:r w:rsidR="00992A33">
        <w:t>DAPS</w:t>
      </w:r>
      <w:r>
        <w:t xml:space="preserve"> HO:</w:t>
      </w:r>
    </w:p>
    <w:p w14:paraId="72D2D799" w14:textId="4E22A6C3" w:rsidR="00466BCF" w:rsidRDefault="00466BCF" w:rsidP="00466BCF">
      <w:pPr>
        <w:pStyle w:val="ListParagraph"/>
        <w:numPr>
          <w:ilvl w:val="0"/>
          <w:numId w:val="9"/>
        </w:numPr>
      </w:pPr>
      <w:r>
        <w:t xml:space="preserve">During handover preparation phase, the source gNB and target gNB coordinate about the uplink resources reserved for the respective connection via step 2a and 2b. </w:t>
      </w:r>
    </w:p>
    <w:p w14:paraId="22645990" w14:textId="7A249800" w:rsidR="00466BCF" w:rsidRDefault="00466BCF" w:rsidP="00466BCF">
      <w:pPr>
        <w:pStyle w:val="ListParagraph"/>
        <w:numPr>
          <w:ilvl w:val="0"/>
          <w:numId w:val="9"/>
        </w:numPr>
      </w:pPr>
      <w:r>
        <w:t>UE receives the indication to “</w:t>
      </w:r>
      <w:r w:rsidR="00B42B35">
        <w:rPr>
          <w:b/>
          <w:bCs/>
        </w:rPr>
        <w:t>enable-TDM-</w:t>
      </w:r>
      <w:r w:rsidR="00992A33">
        <w:rPr>
          <w:b/>
          <w:bCs/>
        </w:rPr>
        <w:t>DAPS</w:t>
      </w:r>
      <w:r w:rsidR="00B42B35">
        <w:rPr>
          <w:b/>
          <w:bCs/>
        </w:rPr>
        <w:t xml:space="preserve">HO” </w:t>
      </w:r>
      <w:r w:rsidR="00B42B35">
        <w:t>in step 3, RRC reconfiguration message. While processing the RRC Reconfiguration message, i.e. during step A, UE has only source connection active and uses the Tx resources only for the source connection.</w:t>
      </w:r>
    </w:p>
    <w:p w14:paraId="11F49683" w14:textId="586F9270" w:rsidR="00B42B35" w:rsidRDefault="00B42B35" w:rsidP="00466BCF">
      <w:pPr>
        <w:pStyle w:val="ListParagraph"/>
        <w:numPr>
          <w:ilvl w:val="0"/>
          <w:numId w:val="9"/>
        </w:numPr>
      </w:pPr>
      <w:r>
        <w:t xml:space="preserve">During step B, i.e. while performing RACH on the target connection, UE still needs to support Uplink control/data channel transmission on the source connection to reduce data interruption. However, as the main goal of a HO is to transition to the target connection sooner, UE prioritizes the target connection setup </w:t>
      </w:r>
      <w:r>
        <w:lastRenderedPageBreak/>
        <w:t xml:space="preserve">related uplink transmissions over the source Uplink transmissions. As UE gives some Tx opportunities for the source connection, user data will not experience total interruption. </w:t>
      </w:r>
    </w:p>
    <w:p w14:paraId="0308B59B" w14:textId="603CC704" w:rsidR="00B42B35" w:rsidRDefault="00B42B35" w:rsidP="00466BCF">
      <w:pPr>
        <w:pStyle w:val="ListParagraph"/>
        <w:numPr>
          <w:ilvl w:val="0"/>
          <w:numId w:val="9"/>
        </w:numPr>
      </w:pPr>
      <w:r>
        <w:t>During step C, i.e. after the target connection is successfully setup, UE switches the UL data tx to the target connection. As discussed in [2], even though target connection is available for UL data tx, UE may still need to transmit control data on the source connections. Thus, UE need to perform Tx sharing during step C till the source connection is released. However, during step C, to avoid user data interruption, UE should prioritize UL data tx on target connection over the source connection UL transmissions.</w:t>
      </w:r>
    </w:p>
    <w:p w14:paraId="72846107" w14:textId="6E7569A7" w:rsidR="00B42B35" w:rsidRPr="00B42B35" w:rsidRDefault="00466BCF" w:rsidP="00B42B35">
      <w:pPr>
        <w:pStyle w:val="ListParagraph"/>
        <w:numPr>
          <w:ilvl w:val="0"/>
          <w:numId w:val="9"/>
        </w:numPr>
      </w:pPr>
      <w:r>
        <w:t xml:space="preserve"> </w:t>
      </w:r>
      <w:r w:rsidR="00B42B35" w:rsidRPr="00B42B35">
        <w:t>Source gNB and target gNB should consider K1, K2 configurations to not conflict with the PRBs indicated for target UL/source UL in step2a/step2b</w:t>
      </w:r>
    </w:p>
    <w:p w14:paraId="4B03DFDD" w14:textId="6D883418" w:rsidR="00466BCF" w:rsidRPr="00466BCF" w:rsidRDefault="00B42B35" w:rsidP="00B42B35">
      <w:pPr>
        <w:pStyle w:val="ListParagraph"/>
        <w:numPr>
          <w:ilvl w:val="0"/>
          <w:numId w:val="9"/>
        </w:numPr>
      </w:pPr>
      <w:r w:rsidRPr="00B42B35">
        <w:t>Source gNB and target gNB consider UE Tx Tuning delay capabilities while scheduling the UE</w:t>
      </w:r>
    </w:p>
    <w:p w14:paraId="18157EC5" w14:textId="68E82132" w:rsidR="00BC5866" w:rsidRDefault="004B7B22" w:rsidP="004B7B22">
      <w:pPr>
        <w:pStyle w:val="Caption"/>
        <w:spacing w:after="0"/>
        <w:rPr>
          <w:b/>
          <w:bCs/>
          <w:i w:val="0"/>
          <w:iCs w:val="0"/>
          <w:color w:val="auto"/>
          <w:sz w:val="20"/>
          <w:szCs w:val="20"/>
        </w:rPr>
      </w:pPr>
      <w:bookmarkStart w:id="8" w:name="_Ref16687769"/>
      <w:r w:rsidRPr="004B7B22">
        <w:rPr>
          <w:b/>
          <w:bCs/>
          <w:i w:val="0"/>
          <w:iCs w:val="0"/>
          <w:color w:val="auto"/>
          <w:sz w:val="20"/>
          <w:szCs w:val="20"/>
        </w:rPr>
        <w:t xml:space="preserve">Observation </w:t>
      </w:r>
      <w:r w:rsidRPr="004B7B22">
        <w:rPr>
          <w:b/>
          <w:bCs/>
          <w:i w:val="0"/>
          <w:iCs w:val="0"/>
          <w:color w:val="auto"/>
          <w:sz w:val="20"/>
          <w:szCs w:val="20"/>
        </w:rPr>
        <w:fldChar w:fldCharType="begin"/>
      </w:r>
      <w:r w:rsidRPr="004B7B22">
        <w:rPr>
          <w:b/>
          <w:bCs/>
          <w:i w:val="0"/>
          <w:iCs w:val="0"/>
          <w:color w:val="auto"/>
          <w:sz w:val="20"/>
          <w:szCs w:val="20"/>
        </w:rPr>
        <w:instrText xml:space="preserve"> SEQ Observation \* ARABIC </w:instrText>
      </w:r>
      <w:r w:rsidRPr="004B7B22">
        <w:rPr>
          <w:b/>
          <w:bCs/>
          <w:i w:val="0"/>
          <w:iCs w:val="0"/>
          <w:color w:val="auto"/>
          <w:sz w:val="20"/>
          <w:szCs w:val="20"/>
        </w:rPr>
        <w:fldChar w:fldCharType="separate"/>
      </w:r>
      <w:r w:rsidRPr="004B7B22">
        <w:rPr>
          <w:b/>
          <w:bCs/>
          <w:i w:val="0"/>
          <w:iCs w:val="0"/>
          <w:color w:val="auto"/>
          <w:sz w:val="20"/>
          <w:szCs w:val="20"/>
        </w:rPr>
        <w:t>2</w:t>
      </w:r>
      <w:r w:rsidRPr="004B7B22">
        <w:rPr>
          <w:b/>
          <w:bCs/>
          <w:i w:val="0"/>
          <w:iCs w:val="0"/>
          <w:color w:val="auto"/>
          <w:sz w:val="20"/>
          <w:szCs w:val="20"/>
        </w:rPr>
        <w:fldChar w:fldCharType="end"/>
      </w:r>
      <w:r w:rsidR="00BC5866">
        <w:rPr>
          <w:b/>
          <w:bCs/>
          <w:i w:val="0"/>
          <w:iCs w:val="0"/>
          <w:color w:val="auto"/>
          <w:sz w:val="20"/>
          <w:szCs w:val="20"/>
        </w:rPr>
        <w:t xml:space="preserve">. Main goal of HO procedures is to support faster transition of the UE connection from source gNB to target gNB, as target gNB connection is considered to be of better quality than source connection. Thus, any UL transmission on the target connection is of higher priority than the UL Tx on source connection during different phases of </w:t>
      </w:r>
      <w:r w:rsidR="00992A33">
        <w:rPr>
          <w:b/>
          <w:bCs/>
          <w:i w:val="0"/>
          <w:iCs w:val="0"/>
          <w:color w:val="auto"/>
          <w:sz w:val="20"/>
          <w:szCs w:val="20"/>
        </w:rPr>
        <w:t>DAPS</w:t>
      </w:r>
      <w:r w:rsidR="00BC5866">
        <w:rPr>
          <w:b/>
          <w:bCs/>
          <w:i w:val="0"/>
          <w:iCs w:val="0"/>
          <w:color w:val="auto"/>
          <w:sz w:val="20"/>
          <w:szCs w:val="20"/>
        </w:rPr>
        <w:t xml:space="preserve"> HO as listed below:</w:t>
      </w:r>
      <w:bookmarkEnd w:id="8"/>
    </w:p>
    <w:p w14:paraId="0BAD117A" w14:textId="77777777" w:rsidR="00BC5866" w:rsidRPr="004B7B22" w:rsidRDefault="00BC5866" w:rsidP="004B7B22">
      <w:pPr>
        <w:pStyle w:val="Caption"/>
        <w:numPr>
          <w:ilvl w:val="0"/>
          <w:numId w:val="6"/>
        </w:numPr>
        <w:spacing w:after="0"/>
        <w:rPr>
          <w:b/>
          <w:bCs/>
          <w:i w:val="0"/>
          <w:iCs w:val="0"/>
          <w:color w:val="auto"/>
          <w:sz w:val="20"/>
          <w:szCs w:val="20"/>
        </w:rPr>
      </w:pPr>
      <w:r w:rsidRPr="004B7B22">
        <w:rPr>
          <w:b/>
          <w:bCs/>
          <w:i w:val="0"/>
          <w:iCs w:val="0"/>
          <w:color w:val="auto"/>
          <w:sz w:val="20"/>
          <w:szCs w:val="20"/>
        </w:rPr>
        <w:t>During RACH with the target, prioritize RACH related Tx on Target over source connection UL Tx to setup the target connection sooner</w:t>
      </w:r>
    </w:p>
    <w:p w14:paraId="09843ADB" w14:textId="77777777" w:rsidR="00BC5866" w:rsidRPr="004B7B22" w:rsidRDefault="00BC5866" w:rsidP="004B7B22">
      <w:pPr>
        <w:pStyle w:val="Caption"/>
        <w:numPr>
          <w:ilvl w:val="0"/>
          <w:numId w:val="6"/>
        </w:numPr>
        <w:spacing w:after="120"/>
        <w:rPr>
          <w:b/>
          <w:bCs/>
          <w:i w:val="0"/>
          <w:iCs w:val="0"/>
          <w:color w:val="auto"/>
          <w:sz w:val="20"/>
          <w:szCs w:val="20"/>
        </w:rPr>
      </w:pPr>
      <w:r w:rsidRPr="004B7B22">
        <w:rPr>
          <w:b/>
          <w:bCs/>
          <w:i w:val="0"/>
          <w:iCs w:val="0"/>
          <w:color w:val="auto"/>
          <w:sz w:val="20"/>
          <w:szCs w:val="20"/>
        </w:rPr>
        <w:t xml:space="preserve">After successful Tx of RRCReconfigurationcomplete to the target cell and until source connection is released, prioritize UL TX on target connection over source connection UL Tx as target connection is the primary connection </w:t>
      </w:r>
    </w:p>
    <w:p w14:paraId="30D2AC9D" w14:textId="1A53F0DF" w:rsidR="00BC5866" w:rsidRPr="004B7B22" w:rsidRDefault="004B7B22" w:rsidP="004B7B22">
      <w:pPr>
        <w:pStyle w:val="Caption"/>
        <w:rPr>
          <w:b/>
          <w:bCs/>
          <w:i w:val="0"/>
          <w:iCs w:val="0"/>
          <w:color w:val="auto"/>
          <w:sz w:val="20"/>
          <w:szCs w:val="20"/>
        </w:rPr>
      </w:pPr>
      <w:bookmarkStart w:id="9" w:name="_Ref16687794"/>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5</w:t>
      </w:r>
      <w:r w:rsidRPr="004B7B22">
        <w:rPr>
          <w:b/>
          <w:bCs/>
          <w:i w:val="0"/>
          <w:iCs w:val="0"/>
          <w:color w:val="auto"/>
          <w:sz w:val="20"/>
          <w:szCs w:val="20"/>
        </w:rPr>
        <w:fldChar w:fldCharType="end"/>
      </w:r>
      <w:r w:rsidR="00BC5866">
        <w:rPr>
          <w:b/>
          <w:bCs/>
          <w:i w:val="0"/>
          <w:iCs w:val="0"/>
          <w:color w:val="auto"/>
          <w:sz w:val="20"/>
          <w:szCs w:val="20"/>
        </w:rPr>
        <w:t xml:space="preserve">. UE consider higher priority for UL Tx on the target connection than the UL Tx on the source connection to manage the Tx switching between the connections, until source connection is released during </w:t>
      </w:r>
      <w:r w:rsidR="00992A33">
        <w:rPr>
          <w:b/>
          <w:bCs/>
          <w:i w:val="0"/>
          <w:iCs w:val="0"/>
          <w:color w:val="auto"/>
          <w:sz w:val="20"/>
          <w:szCs w:val="20"/>
        </w:rPr>
        <w:t>DAPS</w:t>
      </w:r>
      <w:r w:rsidR="00BC5866">
        <w:rPr>
          <w:b/>
          <w:bCs/>
          <w:i w:val="0"/>
          <w:iCs w:val="0"/>
          <w:color w:val="auto"/>
          <w:sz w:val="20"/>
          <w:szCs w:val="20"/>
        </w:rPr>
        <w:t xml:space="preserve"> HO.</w:t>
      </w:r>
      <w:bookmarkEnd w:id="9"/>
      <w:r w:rsidR="00BC5866">
        <w:rPr>
          <w:b/>
          <w:bCs/>
          <w:i w:val="0"/>
          <w:iCs w:val="0"/>
          <w:color w:val="auto"/>
          <w:sz w:val="20"/>
          <w:szCs w:val="20"/>
        </w:rPr>
        <w:t xml:space="preserve">  </w:t>
      </w:r>
    </w:p>
    <w:p w14:paraId="1D34E0B3" w14:textId="5987F75A" w:rsidR="00BC5866" w:rsidRDefault="004B7B22" w:rsidP="004B7B22">
      <w:pPr>
        <w:pStyle w:val="Caption"/>
        <w:rPr>
          <w:b/>
          <w:bCs/>
          <w:i w:val="0"/>
          <w:iCs w:val="0"/>
          <w:color w:val="auto"/>
          <w:sz w:val="20"/>
          <w:szCs w:val="20"/>
        </w:rPr>
      </w:pPr>
      <w:bookmarkStart w:id="10" w:name="_Ref16687798"/>
      <w:r w:rsidRPr="004B7B22">
        <w:rPr>
          <w:b/>
          <w:bCs/>
          <w:i w:val="0"/>
          <w:iCs w:val="0"/>
          <w:color w:val="auto"/>
          <w:sz w:val="20"/>
          <w:szCs w:val="20"/>
        </w:rPr>
        <w:t xml:space="preserve">Proposal </w:t>
      </w:r>
      <w:r w:rsidRPr="004B7B22">
        <w:rPr>
          <w:b/>
          <w:bCs/>
          <w:i w:val="0"/>
          <w:iCs w:val="0"/>
          <w:color w:val="auto"/>
          <w:sz w:val="20"/>
          <w:szCs w:val="20"/>
        </w:rPr>
        <w:fldChar w:fldCharType="begin"/>
      </w:r>
      <w:r w:rsidRPr="004B7B22">
        <w:rPr>
          <w:b/>
          <w:bCs/>
          <w:i w:val="0"/>
          <w:iCs w:val="0"/>
          <w:color w:val="auto"/>
          <w:sz w:val="20"/>
          <w:szCs w:val="20"/>
        </w:rPr>
        <w:instrText xml:space="preserve"> SEQ Proposal \* ARABIC </w:instrText>
      </w:r>
      <w:r w:rsidRPr="004B7B22">
        <w:rPr>
          <w:b/>
          <w:bCs/>
          <w:i w:val="0"/>
          <w:iCs w:val="0"/>
          <w:color w:val="auto"/>
          <w:sz w:val="20"/>
          <w:szCs w:val="20"/>
        </w:rPr>
        <w:fldChar w:fldCharType="separate"/>
      </w:r>
      <w:r w:rsidRPr="004B7B22">
        <w:rPr>
          <w:b/>
          <w:bCs/>
          <w:i w:val="0"/>
          <w:iCs w:val="0"/>
          <w:color w:val="auto"/>
          <w:sz w:val="20"/>
          <w:szCs w:val="20"/>
        </w:rPr>
        <w:t>6</w:t>
      </w:r>
      <w:r w:rsidRPr="004B7B22">
        <w:rPr>
          <w:b/>
          <w:bCs/>
          <w:i w:val="0"/>
          <w:iCs w:val="0"/>
          <w:color w:val="auto"/>
          <w:sz w:val="20"/>
          <w:szCs w:val="20"/>
        </w:rPr>
        <w:fldChar w:fldCharType="end"/>
      </w:r>
      <w:r w:rsidR="00BC5866">
        <w:rPr>
          <w:b/>
          <w:bCs/>
          <w:i w:val="0"/>
          <w:iCs w:val="0"/>
          <w:color w:val="auto"/>
          <w:sz w:val="20"/>
          <w:szCs w:val="20"/>
        </w:rPr>
        <w:t xml:space="preserve">. Source gNB and target gNB perform resource coordination during </w:t>
      </w:r>
      <w:r w:rsidR="00992A33">
        <w:rPr>
          <w:b/>
          <w:bCs/>
          <w:i w:val="0"/>
          <w:iCs w:val="0"/>
          <w:color w:val="auto"/>
          <w:sz w:val="20"/>
          <w:szCs w:val="20"/>
        </w:rPr>
        <w:t>DAPS</w:t>
      </w:r>
      <w:r w:rsidR="00BC5866">
        <w:rPr>
          <w:b/>
          <w:bCs/>
          <w:i w:val="0"/>
          <w:iCs w:val="0"/>
          <w:color w:val="auto"/>
          <w:sz w:val="20"/>
          <w:szCs w:val="20"/>
        </w:rPr>
        <w:t xml:space="preserve"> HO preparation to schedule the UE efficiently.</w:t>
      </w:r>
      <w:bookmarkEnd w:id="10"/>
    </w:p>
    <w:p w14:paraId="7E62D204" w14:textId="77777777" w:rsidR="00825A7A" w:rsidRDefault="00825A7A" w:rsidP="00825A7A">
      <w:pPr>
        <w:pStyle w:val="Heading1"/>
      </w:pPr>
      <w:r>
        <w:t>3. Conclusion</w:t>
      </w:r>
    </w:p>
    <w:p w14:paraId="301FE920" w14:textId="45760570" w:rsidR="00825A7A" w:rsidRDefault="00825A7A" w:rsidP="00825A7A">
      <w:pPr>
        <w:spacing w:before="120" w:after="0"/>
      </w:pPr>
      <w:bookmarkStart w:id="11" w:name="_Hlk512894710"/>
      <w:r>
        <w:t>Based on the above discussions, we recommend RAN2 discusses the following observations and proposals:</w:t>
      </w:r>
      <w:bookmarkEnd w:id="11"/>
    </w:p>
    <w:p w14:paraId="5BBB801D" w14:textId="7E210D0C" w:rsidR="004B7B22" w:rsidRPr="004B7B22" w:rsidRDefault="004B7B22" w:rsidP="00825A7A">
      <w:pPr>
        <w:spacing w:before="120" w:after="0"/>
      </w:pPr>
      <w:r w:rsidRPr="004B7B22">
        <w:fldChar w:fldCharType="begin"/>
      </w:r>
      <w:r w:rsidRPr="004B7B22">
        <w:instrText xml:space="preserve"> REF _Ref16687765 \h  \* MERGEFORMAT </w:instrText>
      </w:r>
      <w:r w:rsidRPr="004B7B22">
        <w:fldChar w:fldCharType="separate"/>
      </w:r>
      <w:r w:rsidRPr="004B7B22">
        <w:rPr>
          <w:b/>
          <w:bCs/>
        </w:rPr>
        <w:t xml:space="preserve">Observation </w:t>
      </w:r>
      <w:r w:rsidRPr="004B7B22">
        <w:rPr>
          <w:b/>
          <w:bCs/>
          <w:noProof/>
        </w:rPr>
        <w:t>1</w:t>
      </w:r>
      <w:r w:rsidRPr="004B7B22">
        <w:rPr>
          <w:b/>
          <w:bCs/>
        </w:rPr>
        <w:t xml:space="preserve">. Both source and target connections must be maintained to support </w:t>
      </w:r>
      <w:r w:rsidR="00992A33">
        <w:rPr>
          <w:b/>
          <w:bCs/>
        </w:rPr>
        <w:t>DAPS</w:t>
      </w:r>
      <w:r w:rsidRPr="004B7B22">
        <w:rPr>
          <w:b/>
          <w:bCs/>
        </w:rPr>
        <w:t xml:space="preserve"> HO for the HO scenarios where simultaneous Tx cannot be supported by the UE.</w:t>
      </w:r>
      <w:r w:rsidRPr="004B7B22">
        <w:fldChar w:fldCharType="end"/>
      </w:r>
    </w:p>
    <w:p w14:paraId="6D4BB901" w14:textId="54FE91C6" w:rsidR="004B7B22" w:rsidRPr="004B7B22" w:rsidRDefault="004B7B22" w:rsidP="00825A7A">
      <w:pPr>
        <w:spacing w:before="120" w:after="0"/>
      </w:pPr>
      <w:r w:rsidRPr="004B7B22">
        <w:fldChar w:fldCharType="begin"/>
      </w:r>
      <w:r w:rsidRPr="004B7B22">
        <w:instrText xml:space="preserve"> REF _Ref16687769 \h  \* MERGEFORMAT </w:instrText>
      </w:r>
      <w:r w:rsidRPr="004B7B22">
        <w:fldChar w:fldCharType="separate"/>
      </w:r>
      <w:r w:rsidRPr="004B7B22">
        <w:rPr>
          <w:b/>
          <w:bCs/>
        </w:rPr>
        <w:t xml:space="preserve">Observation 2. Main goal of HO procedures is to support faster transition of the UE connection from source gNB to target gNB, as target gNB connection is considered to be of better quality than source connection. Thus, any UL transmission on the target connection is of higher priority than the UL Tx on source connection during different phases of </w:t>
      </w:r>
      <w:r w:rsidR="00992A33">
        <w:rPr>
          <w:b/>
          <w:bCs/>
        </w:rPr>
        <w:t>DAPS</w:t>
      </w:r>
      <w:r w:rsidRPr="004B7B22">
        <w:rPr>
          <w:b/>
          <w:bCs/>
        </w:rPr>
        <w:t xml:space="preserve"> HO as listed below:</w:t>
      </w:r>
      <w:r w:rsidRPr="004B7B22">
        <w:fldChar w:fldCharType="end"/>
      </w:r>
    </w:p>
    <w:p w14:paraId="523BB7E1" w14:textId="77777777" w:rsidR="004B7B22" w:rsidRPr="004B7B22" w:rsidRDefault="004B7B22" w:rsidP="004B7B22">
      <w:pPr>
        <w:pStyle w:val="Caption"/>
        <w:numPr>
          <w:ilvl w:val="0"/>
          <w:numId w:val="6"/>
        </w:numPr>
        <w:spacing w:after="0"/>
        <w:rPr>
          <w:b/>
          <w:bCs/>
          <w:i w:val="0"/>
          <w:iCs w:val="0"/>
          <w:color w:val="auto"/>
          <w:sz w:val="20"/>
          <w:szCs w:val="20"/>
        </w:rPr>
      </w:pPr>
      <w:r w:rsidRPr="004B7B22">
        <w:rPr>
          <w:b/>
          <w:bCs/>
          <w:i w:val="0"/>
          <w:iCs w:val="0"/>
          <w:color w:val="auto"/>
          <w:sz w:val="20"/>
          <w:szCs w:val="20"/>
        </w:rPr>
        <w:t>During RACH with the target, prioritize RACH related Tx on Target over source connection UL Tx to setup the target connection sooner</w:t>
      </w:r>
    </w:p>
    <w:p w14:paraId="28835AB6" w14:textId="2D279E29" w:rsidR="004B7B22" w:rsidRPr="004B7B22" w:rsidRDefault="004B7B22" w:rsidP="004B7B22">
      <w:pPr>
        <w:pStyle w:val="Caption"/>
        <w:numPr>
          <w:ilvl w:val="0"/>
          <w:numId w:val="6"/>
        </w:numPr>
        <w:spacing w:after="120"/>
        <w:rPr>
          <w:b/>
          <w:bCs/>
          <w:i w:val="0"/>
          <w:iCs w:val="0"/>
          <w:color w:val="auto"/>
          <w:sz w:val="20"/>
          <w:szCs w:val="20"/>
        </w:rPr>
      </w:pPr>
      <w:r w:rsidRPr="004B7B22">
        <w:rPr>
          <w:b/>
          <w:bCs/>
          <w:i w:val="0"/>
          <w:iCs w:val="0"/>
          <w:color w:val="auto"/>
          <w:sz w:val="20"/>
          <w:szCs w:val="20"/>
        </w:rPr>
        <w:t xml:space="preserve">After successful Tx of RRCReconfigurationcomplete to the target cell and until source connection is released, prioritize UL TX on target connection over source connection UL Tx as target connection is the primary connection </w:t>
      </w:r>
    </w:p>
    <w:p w14:paraId="4A0DE463" w14:textId="24DE0AD0" w:rsidR="007109F6" w:rsidRDefault="004B7B22" w:rsidP="00825A7A">
      <w:pPr>
        <w:spacing w:before="120" w:after="0"/>
      </w:pPr>
      <w:r w:rsidRPr="004B7B22">
        <w:fldChar w:fldCharType="begin"/>
      </w:r>
      <w:r w:rsidRPr="004B7B22">
        <w:instrText xml:space="preserve"> REF _Ref16687777 \h  \* MERGEFORMAT </w:instrText>
      </w:r>
      <w:r w:rsidRPr="004B7B22">
        <w:fldChar w:fldCharType="separate"/>
      </w:r>
      <w:r w:rsidR="006568E5" w:rsidRPr="004B7B22">
        <w:rPr>
          <w:b/>
          <w:bCs/>
        </w:rPr>
        <w:t xml:space="preserve">Proposal </w:t>
      </w:r>
      <w:r w:rsidR="006568E5">
        <w:rPr>
          <w:b/>
          <w:bCs/>
          <w:noProof/>
        </w:rPr>
        <w:t>1.</w:t>
      </w:r>
      <w:r w:rsidR="006568E5">
        <w:rPr>
          <w:b/>
          <w:bCs/>
        </w:rPr>
        <w:t xml:space="preserve"> Support Tx sharing, i.e. TDM UL Tx, to maintain both source and target connections for the </w:t>
      </w:r>
      <w:r w:rsidR="00992A33">
        <w:rPr>
          <w:b/>
          <w:bCs/>
        </w:rPr>
        <w:t>DAPS</w:t>
      </w:r>
      <w:r w:rsidR="006568E5">
        <w:rPr>
          <w:b/>
          <w:bCs/>
        </w:rPr>
        <w:t xml:space="preserve"> HO scenarios</w:t>
      </w:r>
      <w:r w:rsidR="006568E5" w:rsidRPr="00720DC4">
        <w:rPr>
          <w:b/>
          <w:bCs/>
        </w:rPr>
        <w:t xml:space="preserve"> (FR1&lt;-&gt;FR1 HO, FR1&lt;-&gt;FR2 HO,</w:t>
      </w:r>
      <w:r w:rsidR="006568E5">
        <w:rPr>
          <w:b/>
          <w:bCs/>
          <w:i/>
          <w:iCs/>
        </w:rPr>
        <w:t xml:space="preserve"> FR2&lt;-&gt;FR2 HO)</w:t>
      </w:r>
      <w:r w:rsidR="006568E5">
        <w:rPr>
          <w:b/>
          <w:bCs/>
        </w:rPr>
        <w:t xml:space="preserve"> where simultaneous Tx cannot be supported by the UE.</w:t>
      </w:r>
      <w:r w:rsidR="00992A33">
        <w:rPr>
          <w:b/>
          <w:bCs/>
        </w:rPr>
        <w:t>DAPS</w:t>
      </w:r>
      <w:r w:rsidRPr="004B7B22">
        <w:fldChar w:fldCharType="end"/>
      </w:r>
    </w:p>
    <w:p w14:paraId="4BC41575" w14:textId="772D2D24" w:rsidR="004B7B22" w:rsidRPr="004B7B22" w:rsidRDefault="004B7B22" w:rsidP="00825A7A">
      <w:pPr>
        <w:spacing w:before="120" w:after="0"/>
      </w:pPr>
      <w:r w:rsidRPr="004B7B22">
        <w:fldChar w:fldCharType="begin"/>
      </w:r>
      <w:r w:rsidRPr="004B7B22">
        <w:instrText xml:space="preserve"> REF _Ref16687779 \h  \* MERGEFORMAT </w:instrText>
      </w:r>
      <w:r w:rsidRPr="004B7B22">
        <w:fldChar w:fldCharType="separate"/>
      </w:r>
      <w:r w:rsidRPr="004B7B22">
        <w:rPr>
          <w:b/>
          <w:bCs/>
        </w:rPr>
        <w:t xml:space="preserve">Proposal 2. UE enables Tx sharing operation during </w:t>
      </w:r>
      <w:r w:rsidR="00992A33">
        <w:rPr>
          <w:b/>
          <w:bCs/>
        </w:rPr>
        <w:t>DAPS</w:t>
      </w:r>
      <w:r w:rsidRPr="004B7B22">
        <w:rPr>
          <w:b/>
          <w:bCs/>
        </w:rPr>
        <w:t xml:space="preserve"> HO on receiving an indication to “enable-TDM-</w:t>
      </w:r>
      <w:r w:rsidR="00992A33">
        <w:rPr>
          <w:b/>
          <w:bCs/>
        </w:rPr>
        <w:t>DAPS</w:t>
      </w:r>
      <w:r w:rsidRPr="004B7B22">
        <w:rPr>
          <w:b/>
          <w:bCs/>
        </w:rPr>
        <w:t xml:space="preserve">HO” in the </w:t>
      </w:r>
      <w:r w:rsidR="00992A33">
        <w:rPr>
          <w:b/>
          <w:bCs/>
        </w:rPr>
        <w:t>DAPS</w:t>
      </w:r>
      <w:r w:rsidRPr="004B7B22">
        <w:rPr>
          <w:b/>
          <w:bCs/>
        </w:rPr>
        <w:t xml:space="preserve"> HO RRC Reconfiguration message.</w:t>
      </w:r>
      <w:r w:rsidRPr="004B7B22">
        <w:fldChar w:fldCharType="end"/>
      </w:r>
    </w:p>
    <w:p w14:paraId="4DCEAA82" w14:textId="1B29AE9F" w:rsidR="004B7B22" w:rsidRPr="004B7B22" w:rsidRDefault="004B7B22" w:rsidP="00825A7A">
      <w:pPr>
        <w:spacing w:before="120" w:after="0"/>
      </w:pPr>
      <w:r w:rsidRPr="004B7B22">
        <w:fldChar w:fldCharType="begin"/>
      </w:r>
      <w:r w:rsidRPr="004B7B22">
        <w:instrText xml:space="preserve"> REF _Ref16687787 \h  \* MERGEFORMAT </w:instrText>
      </w:r>
      <w:r w:rsidRPr="004B7B22">
        <w:fldChar w:fldCharType="separate"/>
      </w:r>
      <w:r w:rsidRPr="004B7B22">
        <w:rPr>
          <w:b/>
          <w:bCs/>
        </w:rPr>
        <w:t xml:space="preserve">Proposal 3. UE support common PDCP entity with dual RLC/MAC/PHY when supporting Tx sharing during </w:t>
      </w:r>
      <w:r w:rsidR="00992A33">
        <w:rPr>
          <w:b/>
          <w:bCs/>
        </w:rPr>
        <w:t>DAPS</w:t>
      </w:r>
      <w:r w:rsidRPr="004B7B22">
        <w:rPr>
          <w:b/>
          <w:bCs/>
        </w:rPr>
        <w:t xml:space="preserve"> HO.</w:t>
      </w:r>
      <w:r w:rsidRPr="004B7B22">
        <w:fldChar w:fldCharType="end"/>
      </w:r>
    </w:p>
    <w:p w14:paraId="73D1F27E" w14:textId="291CDD02" w:rsidR="004B7B22" w:rsidRPr="004B7B22" w:rsidRDefault="004B7B22" w:rsidP="00825A7A">
      <w:pPr>
        <w:spacing w:before="120" w:after="0"/>
      </w:pPr>
      <w:r w:rsidRPr="004B7B22">
        <w:fldChar w:fldCharType="begin"/>
      </w:r>
      <w:r w:rsidRPr="004B7B22">
        <w:instrText xml:space="preserve"> REF _Ref16687790 \h  \* MERGEFORMAT </w:instrText>
      </w:r>
      <w:r w:rsidRPr="004B7B22">
        <w:fldChar w:fldCharType="separate"/>
      </w:r>
      <w:r w:rsidRPr="004B7B22">
        <w:rPr>
          <w:b/>
          <w:bCs/>
        </w:rPr>
        <w:t xml:space="preserve">Proposal 4. Adopt the NR flexible resource allocation principle and support Tx sharing during </w:t>
      </w:r>
      <w:r w:rsidR="00992A33">
        <w:rPr>
          <w:b/>
          <w:bCs/>
        </w:rPr>
        <w:t>DAPS</w:t>
      </w:r>
      <w:r w:rsidRPr="004B7B22">
        <w:rPr>
          <w:b/>
          <w:bCs/>
        </w:rPr>
        <w:t xml:space="preserve"> HO without any fixed TDM pattern configured for the UE.</w:t>
      </w:r>
      <w:r w:rsidRPr="004B7B22">
        <w:fldChar w:fldCharType="end"/>
      </w:r>
    </w:p>
    <w:p w14:paraId="234EB559" w14:textId="535767FF" w:rsidR="004B7B22" w:rsidRPr="004B7B22" w:rsidRDefault="004B7B22" w:rsidP="00825A7A">
      <w:pPr>
        <w:spacing w:before="120" w:after="0"/>
      </w:pPr>
      <w:r w:rsidRPr="004B7B22">
        <w:fldChar w:fldCharType="begin"/>
      </w:r>
      <w:r w:rsidRPr="004B7B22">
        <w:instrText xml:space="preserve"> REF _Ref16687794 \h  \* MERGEFORMAT </w:instrText>
      </w:r>
      <w:r w:rsidRPr="004B7B22">
        <w:fldChar w:fldCharType="separate"/>
      </w:r>
      <w:r w:rsidRPr="004B7B22">
        <w:rPr>
          <w:b/>
          <w:bCs/>
        </w:rPr>
        <w:t xml:space="preserve">Proposal 5. UE consider higher priority for UL Tx on the target connection than the UL Tx on the source connection to manage the Tx switching between the connections, until source connection is released during </w:t>
      </w:r>
      <w:r w:rsidR="00992A33">
        <w:rPr>
          <w:b/>
          <w:bCs/>
        </w:rPr>
        <w:t>DAPS</w:t>
      </w:r>
      <w:r w:rsidRPr="004B7B22">
        <w:rPr>
          <w:b/>
          <w:bCs/>
        </w:rPr>
        <w:t xml:space="preserve"> HO.</w:t>
      </w:r>
      <w:r w:rsidRPr="004B7B22">
        <w:fldChar w:fldCharType="end"/>
      </w:r>
    </w:p>
    <w:p w14:paraId="5C269EC5" w14:textId="5B3D8C68" w:rsidR="004B7B22" w:rsidRPr="004B7B22" w:rsidRDefault="004B7B22" w:rsidP="00825A7A">
      <w:pPr>
        <w:spacing w:before="120" w:after="0"/>
      </w:pPr>
      <w:r w:rsidRPr="004B7B22">
        <w:fldChar w:fldCharType="begin"/>
      </w:r>
      <w:r w:rsidRPr="004B7B22">
        <w:instrText xml:space="preserve"> REF _Ref16687798 \h  \* MERGEFORMAT </w:instrText>
      </w:r>
      <w:r w:rsidRPr="004B7B22">
        <w:fldChar w:fldCharType="separate"/>
      </w:r>
      <w:r w:rsidRPr="004B7B22">
        <w:rPr>
          <w:b/>
          <w:bCs/>
        </w:rPr>
        <w:t xml:space="preserve">Proposal 6. Source gNB and target gNB perform resource coordination during </w:t>
      </w:r>
      <w:r w:rsidR="00992A33">
        <w:rPr>
          <w:b/>
          <w:bCs/>
        </w:rPr>
        <w:t>DAPS</w:t>
      </w:r>
      <w:r w:rsidRPr="004B7B22">
        <w:rPr>
          <w:b/>
          <w:bCs/>
        </w:rPr>
        <w:t xml:space="preserve"> HO preparation to schedule the UE efficiently.</w:t>
      </w:r>
      <w:r w:rsidRPr="004B7B22">
        <w:fldChar w:fldCharType="end"/>
      </w:r>
    </w:p>
    <w:p w14:paraId="3E5D85CD" w14:textId="2C71197C" w:rsidR="00825A7A" w:rsidRDefault="00BA104A" w:rsidP="00825A7A">
      <w:pPr>
        <w:pStyle w:val="Heading1"/>
      </w:pPr>
      <w:r>
        <w:lastRenderedPageBreak/>
        <w:t xml:space="preserve">4. </w:t>
      </w:r>
      <w:r w:rsidR="00825A7A">
        <w:t>References</w:t>
      </w:r>
    </w:p>
    <w:p w14:paraId="24E2CCAF" w14:textId="63406BC3" w:rsidR="00825A7A" w:rsidRPr="001D050D" w:rsidRDefault="00825A7A" w:rsidP="001D050D">
      <w:pPr>
        <w:spacing w:line="240" w:lineRule="atLeast"/>
        <w:rPr>
          <w:rFonts w:ascii="Arial" w:eastAsiaTheme="minorHAnsi" w:hAnsi="Arial" w:cs="Arial"/>
          <w:color w:val="312E25"/>
          <w:sz w:val="18"/>
          <w:szCs w:val="18"/>
          <w:lang w:val="en-US"/>
        </w:rPr>
      </w:pPr>
      <w:r w:rsidRPr="00944C55">
        <w:rPr>
          <w:rFonts w:ascii="Arial" w:hAnsi="Arial" w:cs="Arial"/>
          <w:bCs/>
        </w:rPr>
        <w:t xml:space="preserve">[1] </w:t>
      </w:r>
      <w:r w:rsidR="001D050D" w:rsidRPr="001D050D">
        <w:rPr>
          <w:rFonts w:ascii="Arial" w:hAnsi="Arial" w:cs="Arial"/>
          <w:bCs/>
        </w:rPr>
        <w:t>R2-190893</w:t>
      </w:r>
      <w:r w:rsidR="001D050D">
        <w:rPr>
          <w:rFonts w:ascii="Arial" w:hAnsi="Arial" w:cs="Arial"/>
          <w:bCs/>
        </w:rPr>
        <w:t>2</w:t>
      </w:r>
      <w:r w:rsidR="001D050D">
        <w:rPr>
          <w:rFonts w:ascii="Arial" w:eastAsiaTheme="minorHAnsi" w:hAnsi="Arial" w:cs="Arial"/>
          <w:color w:val="312E25"/>
          <w:sz w:val="18"/>
          <w:szCs w:val="18"/>
          <w:lang w:val="en-US"/>
        </w:rPr>
        <w:t xml:space="preserve"> </w:t>
      </w:r>
      <w:r w:rsidR="00992A33">
        <w:rPr>
          <w:rFonts w:ascii="Arial" w:hAnsi="Arial" w:cs="Arial"/>
          <w:bCs/>
        </w:rPr>
        <w:t>DAPS</w:t>
      </w:r>
      <w:r w:rsidR="00BD7723" w:rsidRPr="00BD7723">
        <w:rPr>
          <w:rFonts w:ascii="Arial" w:hAnsi="Arial" w:cs="Arial"/>
          <w:bCs/>
        </w:rPr>
        <w:t xml:space="preserve"> HO support for simultaneous Tx not feasible scenarios</w:t>
      </w:r>
    </w:p>
    <w:p w14:paraId="65806DF1" w14:textId="1D96461C" w:rsidR="00B42B35" w:rsidRDefault="00B42B35" w:rsidP="00825A7A">
      <w:pPr>
        <w:ind w:left="1350" w:hanging="1350"/>
        <w:rPr>
          <w:rFonts w:ascii="Arial" w:hAnsi="Arial" w:cs="Arial"/>
          <w:bCs/>
        </w:rPr>
      </w:pPr>
      <w:r>
        <w:rPr>
          <w:rFonts w:ascii="Arial" w:hAnsi="Arial" w:cs="Arial"/>
          <w:bCs/>
        </w:rPr>
        <w:t>[2] R2-</w:t>
      </w:r>
      <w:r w:rsidR="001D050D">
        <w:rPr>
          <w:rFonts w:ascii="Arial" w:hAnsi="Arial" w:cs="Arial"/>
          <w:bCs/>
        </w:rPr>
        <w:t>1908914</w:t>
      </w:r>
      <w:r>
        <w:rPr>
          <w:rFonts w:ascii="Arial" w:hAnsi="Arial" w:cs="Arial"/>
          <w:bCs/>
        </w:rPr>
        <w:t xml:space="preserve"> </w:t>
      </w:r>
      <w:r w:rsidRPr="00B42B35">
        <w:rPr>
          <w:rFonts w:ascii="Arial" w:hAnsi="Arial" w:cs="Arial"/>
          <w:bCs/>
        </w:rPr>
        <w:t>Clarifications on PUSCH switch during Make-Before-Break (MBB) HO</w:t>
      </w:r>
    </w:p>
    <w:p w14:paraId="0265AC6C" w14:textId="77777777" w:rsidR="00BC58C3" w:rsidRDefault="00BC58C3" w:rsidP="00BC58C3">
      <w:pPr>
        <w:ind w:left="1350" w:hanging="1350"/>
        <w:rPr>
          <w:rFonts w:ascii="Arial" w:hAnsi="Arial" w:cs="Arial"/>
          <w:bCs/>
        </w:rPr>
      </w:pPr>
      <w:r>
        <w:rPr>
          <w:rFonts w:ascii="Arial" w:hAnsi="Arial" w:cs="Arial"/>
          <w:bCs/>
        </w:rPr>
        <w:t xml:space="preserve">[3] </w:t>
      </w:r>
      <w:r w:rsidRPr="00B06B42">
        <w:rPr>
          <w:rFonts w:ascii="Arial" w:hAnsi="Arial" w:cs="Arial"/>
          <w:bCs/>
        </w:rPr>
        <w:t>R2-1905423</w:t>
      </w:r>
      <w:r>
        <w:rPr>
          <w:rFonts w:ascii="Arial" w:hAnsi="Arial" w:cs="Arial"/>
          <w:bCs/>
        </w:rPr>
        <w:t xml:space="preserve">  </w:t>
      </w:r>
      <w:r w:rsidRPr="00B06B42">
        <w:rPr>
          <w:rFonts w:ascii="Arial" w:hAnsi="Arial" w:cs="Arial"/>
          <w:bCs/>
        </w:rPr>
        <w:t>Reply LS on NR mobility enhancements</w:t>
      </w:r>
    </w:p>
    <w:p w14:paraId="11944EC1" w14:textId="77777777" w:rsidR="00BC58C3" w:rsidRDefault="00BC58C3" w:rsidP="00BC58C3">
      <w:pPr>
        <w:ind w:left="1350" w:hanging="1350"/>
        <w:rPr>
          <w:rFonts w:ascii="Arial" w:hAnsi="Arial" w:cs="Arial"/>
          <w:bCs/>
        </w:rPr>
      </w:pPr>
      <w:r>
        <w:rPr>
          <w:rFonts w:ascii="Arial" w:hAnsi="Arial" w:cs="Arial"/>
          <w:bCs/>
        </w:rPr>
        <w:t xml:space="preserve">[4] </w:t>
      </w:r>
      <w:r w:rsidRPr="00B06B42">
        <w:rPr>
          <w:rFonts w:ascii="Arial" w:hAnsi="Arial" w:cs="Arial"/>
          <w:bCs/>
        </w:rPr>
        <w:t>R2-1905530</w:t>
      </w:r>
      <w:r>
        <w:rPr>
          <w:rFonts w:ascii="Arial" w:hAnsi="Arial" w:cs="Arial"/>
          <w:bCs/>
        </w:rPr>
        <w:t xml:space="preserve"> </w:t>
      </w:r>
      <w:r w:rsidRPr="00B06B42">
        <w:rPr>
          <w:rFonts w:ascii="Arial" w:hAnsi="Arial" w:cs="Arial"/>
          <w:bCs/>
        </w:rPr>
        <w:t>Reply LS on NR mobility enhancement</w:t>
      </w:r>
    </w:p>
    <w:p w14:paraId="7F27FF19" w14:textId="77777777" w:rsidR="00CD75E5" w:rsidRDefault="00CD75E5" w:rsidP="00825A7A">
      <w:pPr>
        <w:ind w:left="1350" w:hanging="1350"/>
        <w:rPr>
          <w:rFonts w:ascii="Arial" w:hAnsi="Arial" w:cs="Arial"/>
          <w:bCs/>
        </w:rPr>
      </w:pPr>
    </w:p>
    <w:p w14:paraId="2BD32CCB" w14:textId="42F65D8A" w:rsidR="00825A7A" w:rsidRDefault="00825A7A" w:rsidP="00825A7A">
      <w:pPr>
        <w:ind w:left="1350" w:hanging="1350"/>
        <w:rPr>
          <w:rFonts w:ascii="Arial" w:hAnsi="Arial" w:cs="Arial"/>
          <w:bCs/>
        </w:rPr>
      </w:pPr>
    </w:p>
    <w:p w14:paraId="4C821424" w14:textId="77777777" w:rsidR="00412E17" w:rsidRDefault="00412E17"/>
    <w:sectPr w:rsidR="00412E17" w:rsidSect="000901F9">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0193" w14:textId="77777777" w:rsidR="009B5E2F" w:rsidRDefault="004E3A07">
      <w:pPr>
        <w:spacing w:after="0"/>
      </w:pPr>
      <w:r>
        <w:separator/>
      </w:r>
    </w:p>
  </w:endnote>
  <w:endnote w:type="continuationSeparator" w:id="0">
    <w:p w14:paraId="489B97D3" w14:textId="77777777" w:rsidR="009B5E2F" w:rsidRDefault="004E3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EEE" w14:textId="77777777" w:rsidR="000901F9" w:rsidRDefault="00090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E0ED" w14:textId="77777777" w:rsidR="009B5E2F" w:rsidRDefault="004E3A07">
      <w:pPr>
        <w:spacing w:after="0"/>
      </w:pPr>
      <w:r>
        <w:separator/>
      </w:r>
    </w:p>
  </w:footnote>
  <w:footnote w:type="continuationSeparator" w:id="0">
    <w:p w14:paraId="2AF12455" w14:textId="77777777" w:rsidR="009B5E2F" w:rsidRDefault="004E3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5A1"/>
    <w:multiLevelType w:val="hybridMultilevel"/>
    <w:tmpl w:val="590A3F3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051773"/>
    <w:multiLevelType w:val="hybridMultilevel"/>
    <w:tmpl w:val="966C4838"/>
    <w:lvl w:ilvl="0" w:tplc="0B645384">
      <w:start w:val="1"/>
      <w:numFmt w:val="bullet"/>
      <w:lvlText w:val="•"/>
      <w:lvlJc w:val="left"/>
      <w:pPr>
        <w:tabs>
          <w:tab w:val="num" w:pos="360"/>
        </w:tabs>
        <w:ind w:left="360" w:hanging="360"/>
      </w:pPr>
      <w:rPr>
        <w:rFonts w:ascii="Arial" w:hAnsi="Arial" w:hint="default"/>
      </w:rPr>
    </w:lvl>
    <w:lvl w:ilvl="1" w:tplc="79A666DE">
      <w:start w:val="249"/>
      <w:numFmt w:val="bullet"/>
      <w:lvlText w:val="•"/>
      <w:lvlJc w:val="left"/>
      <w:pPr>
        <w:tabs>
          <w:tab w:val="num" w:pos="1080"/>
        </w:tabs>
        <w:ind w:left="1080" w:hanging="360"/>
      </w:pPr>
      <w:rPr>
        <w:rFonts w:ascii="Arial" w:hAnsi="Arial" w:hint="default"/>
      </w:rPr>
    </w:lvl>
    <w:lvl w:ilvl="2" w:tplc="DD5EF3C4">
      <w:start w:val="249"/>
      <w:numFmt w:val="bullet"/>
      <w:lvlText w:val="•"/>
      <w:lvlJc w:val="left"/>
      <w:pPr>
        <w:tabs>
          <w:tab w:val="num" w:pos="1800"/>
        </w:tabs>
        <w:ind w:left="1800" w:hanging="360"/>
      </w:pPr>
      <w:rPr>
        <w:rFonts w:ascii="Arial" w:hAnsi="Arial" w:hint="default"/>
      </w:rPr>
    </w:lvl>
    <w:lvl w:ilvl="3" w:tplc="57889260" w:tentative="1">
      <w:start w:val="1"/>
      <w:numFmt w:val="bullet"/>
      <w:lvlText w:val="•"/>
      <w:lvlJc w:val="left"/>
      <w:pPr>
        <w:tabs>
          <w:tab w:val="num" w:pos="2520"/>
        </w:tabs>
        <w:ind w:left="2520" w:hanging="360"/>
      </w:pPr>
      <w:rPr>
        <w:rFonts w:ascii="Arial" w:hAnsi="Arial" w:hint="default"/>
      </w:rPr>
    </w:lvl>
    <w:lvl w:ilvl="4" w:tplc="093202D8" w:tentative="1">
      <w:start w:val="1"/>
      <w:numFmt w:val="bullet"/>
      <w:lvlText w:val="•"/>
      <w:lvlJc w:val="left"/>
      <w:pPr>
        <w:tabs>
          <w:tab w:val="num" w:pos="3240"/>
        </w:tabs>
        <w:ind w:left="3240" w:hanging="360"/>
      </w:pPr>
      <w:rPr>
        <w:rFonts w:ascii="Arial" w:hAnsi="Arial" w:hint="default"/>
      </w:rPr>
    </w:lvl>
    <w:lvl w:ilvl="5" w:tplc="7C925D46" w:tentative="1">
      <w:start w:val="1"/>
      <w:numFmt w:val="bullet"/>
      <w:lvlText w:val="•"/>
      <w:lvlJc w:val="left"/>
      <w:pPr>
        <w:tabs>
          <w:tab w:val="num" w:pos="3960"/>
        </w:tabs>
        <w:ind w:left="3960" w:hanging="360"/>
      </w:pPr>
      <w:rPr>
        <w:rFonts w:ascii="Arial" w:hAnsi="Arial" w:hint="default"/>
      </w:rPr>
    </w:lvl>
    <w:lvl w:ilvl="6" w:tplc="A4644376" w:tentative="1">
      <w:start w:val="1"/>
      <w:numFmt w:val="bullet"/>
      <w:lvlText w:val="•"/>
      <w:lvlJc w:val="left"/>
      <w:pPr>
        <w:tabs>
          <w:tab w:val="num" w:pos="4680"/>
        </w:tabs>
        <w:ind w:left="4680" w:hanging="360"/>
      </w:pPr>
      <w:rPr>
        <w:rFonts w:ascii="Arial" w:hAnsi="Arial" w:hint="default"/>
      </w:rPr>
    </w:lvl>
    <w:lvl w:ilvl="7" w:tplc="50D8C642" w:tentative="1">
      <w:start w:val="1"/>
      <w:numFmt w:val="bullet"/>
      <w:lvlText w:val="•"/>
      <w:lvlJc w:val="left"/>
      <w:pPr>
        <w:tabs>
          <w:tab w:val="num" w:pos="5400"/>
        </w:tabs>
        <w:ind w:left="5400" w:hanging="360"/>
      </w:pPr>
      <w:rPr>
        <w:rFonts w:ascii="Arial" w:hAnsi="Arial" w:hint="default"/>
      </w:rPr>
    </w:lvl>
    <w:lvl w:ilvl="8" w:tplc="67A0DC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4CB74CF"/>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576031"/>
    <w:multiLevelType w:val="hybridMultilevel"/>
    <w:tmpl w:val="099AA75C"/>
    <w:lvl w:ilvl="0" w:tplc="01E2B26C">
      <w:start w:val="1"/>
      <w:numFmt w:val="bullet"/>
      <w:lvlText w:val="•"/>
      <w:lvlJc w:val="left"/>
      <w:pPr>
        <w:tabs>
          <w:tab w:val="num" w:pos="720"/>
        </w:tabs>
        <w:ind w:left="720" w:hanging="360"/>
      </w:pPr>
      <w:rPr>
        <w:rFonts w:ascii="Arial" w:hAnsi="Arial" w:hint="default"/>
      </w:rPr>
    </w:lvl>
    <w:lvl w:ilvl="1" w:tplc="6AB40D70" w:tentative="1">
      <w:start w:val="1"/>
      <w:numFmt w:val="bullet"/>
      <w:lvlText w:val="•"/>
      <w:lvlJc w:val="left"/>
      <w:pPr>
        <w:tabs>
          <w:tab w:val="num" w:pos="1440"/>
        </w:tabs>
        <w:ind w:left="1440" w:hanging="360"/>
      </w:pPr>
      <w:rPr>
        <w:rFonts w:ascii="Arial" w:hAnsi="Arial" w:hint="default"/>
      </w:rPr>
    </w:lvl>
    <w:lvl w:ilvl="2" w:tplc="00982C34" w:tentative="1">
      <w:start w:val="1"/>
      <w:numFmt w:val="bullet"/>
      <w:lvlText w:val="•"/>
      <w:lvlJc w:val="left"/>
      <w:pPr>
        <w:tabs>
          <w:tab w:val="num" w:pos="2160"/>
        </w:tabs>
        <w:ind w:left="2160" w:hanging="360"/>
      </w:pPr>
      <w:rPr>
        <w:rFonts w:ascii="Arial" w:hAnsi="Arial" w:hint="default"/>
      </w:rPr>
    </w:lvl>
    <w:lvl w:ilvl="3" w:tplc="4A4E05DE" w:tentative="1">
      <w:start w:val="1"/>
      <w:numFmt w:val="bullet"/>
      <w:lvlText w:val="•"/>
      <w:lvlJc w:val="left"/>
      <w:pPr>
        <w:tabs>
          <w:tab w:val="num" w:pos="2880"/>
        </w:tabs>
        <w:ind w:left="2880" w:hanging="360"/>
      </w:pPr>
      <w:rPr>
        <w:rFonts w:ascii="Arial" w:hAnsi="Arial" w:hint="default"/>
      </w:rPr>
    </w:lvl>
    <w:lvl w:ilvl="4" w:tplc="78D03386" w:tentative="1">
      <w:start w:val="1"/>
      <w:numFmt w:val="bullet"/>
      <w:lvlText w:val="•"/>
      <w:lvlJc w:val="left"/>
      <w:pPr>
        <w:tabs>
          <w:tab w:val="num" w:pos="3600"/>
        </w:tabs>
        <w:ind w:left="3600" w:hanging="360"/>
      </w:pPr>
      <w:rPr>
        <w:rFonts w:ascii="Arial" w:hAnsi="Arial" w:hint="default"/>
      </w:rPr>
    </w:lvl>
    <w:lvl w:ilvl="5" w:tplc="29A4D56A" w:tentative="1">
      <w:start w:val="1"/>
      <w:numFmt w:val="bullet"/>
      <w:lvlText w:val="•"/>
      <w:lvlJc w:val="left"/>
      <w:pPr>
        <w:tabs>
          <w:tab w:val="num" w:pos="4320"/>
        </w:tabs>
        <w:ind w:left="4320" w:hanging="360"/>
      </w:pPr>
      <w:rPr>
        <w:rFonts w:ascii="Arial" w:hAnsi="Arial" w:hint="default"/>
      </w:rPr>
    </w:lvl>
    <w:lvl w:ilvl="6" w:tplc="C2582292" w:tentative="1">
      <w:start w:val="1"/>
      <w:numFmt w:val="bullet"/>
      <w:lvlText w:val="•"/>
      <w:lvlJc w:val="left"/>
      <w:pPr>
        <w:tabs>
          <w:tab w:val="num" w:pos="5040"/>
        </w:tabs>
        <w:ind w:left="5040" w:hanging="360"/>
      </w:pPr>
      <w:rPr>
        <w:rFonts w:ascii="Arial" w:hAnsi="Arial" w:hint="default"/>
      </w:rPr>
    </w:lvl>
    <w:lvl w:ilvl="7" w:tplc="9F3412F8" w:tentative="1">
      <w:start w:val="1"/>
      <w:numFmt w:val="bullet"/>
      <w:lvlText w:val="•"/>
      <w:lvlJc w:val="left"/>
      <w:pPr>
        <w:tabs>
          <w:tab w:val="num" w:pos="5760"/>
        </w:tabs>
        <w:ind w:left="5760" w:hanging="360"/>
      </w:pPr>
      <w:rPr>
        <w:rFonts w:ascii="Arial" w:hAnsi="Arial" w:hint="default"/>
      </w:rPr>
    </w:lvl>
    <w:lvl w:ilvl="8" w:tplc="19982C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CA50B4"/>
    <w:multiLevelType w:val="hybridMultilevel"/>
    <w:tmpl w:val="AFE6BE5A"/>
    <w:lvl w:ilvl="0" w:tplc="009A806E">
      <w:start w:val="1"/>
      <w:numFmt w:val="bullet"/>
      <w:lvlText w:val="•"/>
      <w:lvlJc w:val="left"/>
      <w:pPr>
        <w:tabs>
          <w:tab w:val="num" w:pos="720"/>
        </w:tabs>
        <w:ind w:left="720" w:hanging="360"/>
      </w:pPr>
      <w:rPr>
        <w:rFonts w:ascii="Arial" w:hAnsi="Arial" w:hint="default"/>
      </w:rPr>
    </w:lvl>
    <w:lvl w:ilvl="1" w:tplc="6346EBEA">
      <w:start w:val="88"/>
      <w:numFmt w:val="bullet"/>
      <w:lvlText w:val="◦"/>
      <w:lvlJc w:val="left"/>
      <w:pPr>
        <w:tabs>
          <w:tab w:val="num" w:pos="1440"/>
        </w:tabs>
        <w:ind w:left="1440" w:hanging="360"/>
      </w:pPr>
      <w:rPr>
        <w:rFonts w:ascii="Microsoft Sans Serif" w:hAnsi="Microsoft Sans Serif" w:hint="default"/>
      </w:rPr>
    </w:lvl>
    <w:lvl w:ilvl="2" w:tplc="2E90A20C">
      <w:start w:val="88"/>
      <w:numFmt w:val="bullet"/>
      <w:lvlText w:val="•"/>
      <w:lvlJc w:val="left"/>
      <w:pPr>
        <w:tabs>
          <w:tab w:val="num" w:pos="2160"/>
        </w:tabs>
        <w:ind w:left="2160" w:hanging="360"/>
      </w:pPr>
      <w:rPr>
        <w:rFonts w:ascii="Microsoft Sans Serif" w:hAnsi="Microsoft Sans Serif" w:hint="default"/>
      </w:rPr>
    </w:lvl>
    <w:lvl w:ilvl="3" w:tplc="28F24D62">
      <w:start w:val="1"/>
      <w:numFmt w:val="decimal"/>
      <w:lvlText w:val="%4."/>
      <w:lvlJc w:val="left"/>
      <w:pPr>
        <w:tabs>
          <w:tab w:val="num" w:pos="2880"/>
        </w:tabs>
        <w:ind w:left="2880" w:hanging="360"/>
      </w:pPr>
    </w:lvl>
    <w:lvl w:ilvl="4" w:tplc="08C48FB2" w:tentative="1">
      <w:start w:val="1"/>
      <w:numFmt w:val="bullet"/>
      <w:lvlText w:val="•"/>
      <w:lvlJc w:val="left"/>
      <w:pPr>
        <w:tabs>
          <w:tab w:val="num" w:pos="3600"/>
        </w:tabs>
        <w:ind w:left="3600" w:hanging="360"/>
      </w:pPr>
      <w:rPr>
        <w:rFonts w:ascii="Arial" w:hAnsi="Arial" w:hint="default"/>
      </w:rPr>
    </w:lvl>
    <w:lvl w:ilvl="5" w:tplc="3AAC296E" w:tentative="1">
      <w:start w:val="1"/>
      <w:numFmt w:val="bullet"/>
      <w:lvlText w:val="•"/>
      <w:lvlJc w:val="left"/>
      <w:pPr>
        <w:tabs>
          <w:tab w:val="num" w:pos="4320"/>
        </w:tabs>
        <w:ind w:left="4320" w:hanging="360"/>
      </w:pPr>
      <w:rPr>
        <w:rFonts w:ascii="Arial" w:hAnsi="Arial" w:hint="default"/>
      </w:rPr>
    </w:lvl>
    <w:lvl w:ilvl="6" w:tplc="CB1A5AD4" w:tentative="1">
      <w:start w:val="1"/>
      <w:numFmt w:val="bullet"/>
      <w:lvlText w:val="•"/>
      <w:lvlJc w:val="left"/>
      <w:pPr>
        <w:tabs>
          <w:tab w:val="num" w:pos="5040"/>
        </w:tabs>
        <w:ind w:left="5040" w:hanging="360"/>
      </w:pPr>
      <w:rPr>
        <w:rFonts w:ascii="Arial" w:hAnsi="Arial" w:hint="default"/>
      </w:rPr>
    </w:lvl>
    <w:lvl w:ilvl="7" w:tplc="0CCE79EE" w:tentative="1">
      <w:start w:val="1"/>
      <w:numFmt w:val="bullet"/>
      <w:lvlText w:val="•"/>
      <w:lvlJc w:val="left"/>
      <w:pPr>
        <w:tabs>
          <w:tab w:val="num" w:pos="5760"/>
        </w:tabs>
        <w:ind w:left="5760" w:hanging="360"/>
      </w:pPr>
      <w:rPr>
        <w:rFonts w:ascii="Arial" w:hAnsi="Arial" w:hint="default"/>
      </w:rPr>
    </w:lvl>
    <w:lvl w:ilvl="8" w:tplc="FF5C06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9A3F34"/>
    <w:multiLevelType w:val="hybridMultilevel"/>
    <w:tmpl w:val="DB0E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hybridMultilevel"/>
    <w:tmpl w:val="AF142AA6"/>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650C26"/>
    <w:multiLevelType w:val="hybridMultilevel"/>
    <w:tmpl w:val="8590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137D5"/>
    <w:multiLevelType w:val="hybridMultilevel"/>
    <w:tmpl w:val="3B629A84"/>
    <w:lvl w:ilvl="0" w:tplc="4D5C16CE">
      <w:start w:val="1"/>
      <w:numFmt w:val="bullet"/>
      <w:lvlText w:val="•"/>
      <w:lvlJc w:val="left"/>
      <w:pPr>
        <w:tabs>
          <w:tab w:val="num" w:pos="720"/>
        </w:tabs>
        <w:ind w:left="720" w:hanging="360"/>
      </w:pPr>
      <w:rPr>
        <w:rFonts w:ascii="Arial" w:hAnsi="Arial" w:hint="default"/>
      </w:rPr>
    </w:lvl>
    <w:lvl w:ilvl="1" w:tplc="55A40CD6">
      <w:start w:val="110"/>
      <w:numFmt w:val="bullet"/>
      <w:lvlText w:val="•"/>
      <w:lvlJc w:val="left"/>
      <w:pPr>
        <w:tabs>
          <w:tab w:val="num" w:pos="1440"/>
        </w:tabs>
        <w:ind w:left="1440" w:hanging="360"/>
      </w:pPr>
      <w:rPr>
        <w:rFonts w:ascii="Arial" w:hAnsi="Arial" w:hint="default"/>
      </w:rPr>
    </w:lvl>
    <w:lvl w:ilvl="2" w:tplc="AC0829F0" w:tentative="1">
      <w:start w:val="1"/>
      <w:numFmt w:val="bullet"/>
      <w:lvlText w:val="•"/>
      <w:lvlJc w:val="left"/>
      <w:pPr>
        <w:tabs>
          <w:tab w:val="num" w:pos="2160"/>
        </w:tabs>
        <w:ind w:left="2160" w:hanging="360"/>
      </w:pPr>
      <w:rPr>
        <w:rFonts w:ascii="Arial" w:hAnsi="Arial" w:hint="default"/>
      </w:rPr>
    </w:lvl>
    <w:lvl w:ilvl="3" w:tplc="231AF174" w:tentative="1">
      <w:start w:val="1"/>
      <w:numFmt w:val="bullet"/>
      <w:lvlText w:val="•"/>
      <w:lvlJc w:val="left"/>
      <w:pPr>
        <w:tabs>
          <w:tab w:val="num" w:pos="2880"/>
        </w:tabs>
        <w:ind w:left="2880" w:hanging="360"/>
      </w:pPr>
      <w:rPr>
        <w:rFonts w:ascii="Arial" w:hAnsi="Arial" w:hint="default"/>
      </w:rPr>
    </w:lvl>
    <w:lvl w:ilvl="4" w:tplc="8AF08220" w:tentative="1">
      <w:start w:val="1"/>
      <w:numFmt w:val="bullet"/>
      <w:lvlText w:val="•"/>
      <w:lvlJc w:val="left"/>
      <w:pPr>
        <w:tabs>
          <w:tab w:val="num" w:pos="3600"/>
        </w:tabs>
        <w:ind w:left="3600" w:hanging="360"/>
      </w:pPr>
      <w:rPr>
        <w:rFonts w:ascii="Arial" w:hAnsi="Arial" w:hint="default"/>
      </w:rPr>
    </w:lvl>
    <w:lvl w:ilvl="5" w:tplc="708AFD94" w:tentative="1">
      <w:start w:val="1"/>
      <w:numFmt w:val="bullet"/>
      <w:lvlText w:val="•"/>
      <w:lvlJc w:val="left"/>
      <w:pPr>
        <w:tabs>
          <w:tab w:val="num" w:pos="4320"/>
        </w:tabs>
        <w:ind w:left="4320" w:hanging="360"/>
      </w:pPr>
      <w:rPr>
        <w:rFonts w:ascii="Arial" w:hAnsi="Arial" w:hint="default"/>
      </w:rPr>
    </w:lvl>
    <w:lvl w:ilvl="6" w:tplc="A44C8032" w:tentative="1">
      <w:start w:val="1"/>
      <w:numFmt w:val="bullet"/>
      <w:lvlText w:val="•"/>
      <w:lvlJc w:val="left"/>
      <w:pPr>
        <w:tabs>
          <w:tab w:val="num" w:pos="5040"/>
        </w:tabs>
        <w:ind w:left="5040" w:hanging="360"/>
      </w:pPr>
      <w:rPr>
        <w:rFonts w:ascii="Arial" w:hAnsi="Arial" w:hint="default"/>
      </w:rPr>
    </w:lvl>
    <w:lvl w:ilvl="7" w:tplc="5C0E141E" w:tentative="1">
      <w:start w:val="1"/>
      <w:numFmt w:val="bullet"/>
      <w:lvlText w:val="•"/>
      <w:lvlJc w:val="left"/>
      <w:pPr>
        <w:tabs>
          <w:tab w:val="num" w:pos="5760"/>
        </w:tabs>
        <w:ind w:left="5760" w:hanging="360"/>
      </w:pPr>
      <w:rPr>
        <w:rFonts w:ascii="Arial" w:hAnsi="Arial" w:hint="default"/>
      </w:rPr>
    </w:lvl>
    <w:lvl w:ilvl="8" w:tplc="0BA883C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0"/>
  </w:num>
  <w:num w:numId="4">
    <w:abstractNumId w:val="1"/>
  </w:num>
  <w:num w:numId="5">
    <w:abstractNumId w:val="9"/>
  </w:num>
  <w:num w:numId="6">
    <w:abstractNumId w:val="6"/>
  </w:num>
  <w:num w:numId="7">
    <w:abstractNumId w:val="2"/>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efaultTabStop w:val="720"/>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7A"/>
    <w:rsid w:val="00012277"/>
    <w:rsid w:val="000131A5"/>
    <w:rsid w:val="000901F9"/>
    <w:rsid w:val="000A37AB"/>
    <w:rsid w:val="000B442F"/>
    <w:rsid w:val="000C756B"/>
    <w:rsid w:val="001161BD"/>
    <w:rsid w:val="001C1F03"/>
    <w:rsid w:val="001D050D"/>
    <w:rsid w:val="002442DE"/>
    <w:rsid w:val="002475B9"/>
    <w:rsid w:val="002607BA"/>
    <w:rsid w:val="00273536"/>
    <w:rsid w:val="002A154D"/>
    <w:rsid w:val="002C75E6"/>
    <w:rsid w:val="00323462"/>
    <w:rsid w:val="003614C2"/>
    <w:rsid w:val="003D1A92"/>
    <w:rsid w:val="00412E17"/>
    <w:rsid w:val="004472FA"/>
    <w:rsid w:val="00461E20"/>
    <w:rsid w:val="004645BA"/>
    <w:rsid w:val="00466BCF"/>
    <w:rsid w:val="00471FDF"/>
    <w:rsid w:val="004A03B4"/>
    <w:rsid w:val="004B716C"/>
    <w:rsid w:val="004B7B22"/>
    <w:rsid w:val="004C7494"/>
    <w:rsid w:val="004E3A07"/>
    <w:rsid w:val="00506D68"/>
    <w:rsid w:val="00515154"/>
    <w:rsid w:val="005C11A0"/>
    <w:rsid w:val="005E591D"/>
    <w:rsid w:val="00625642"/>
    <w:rsid w:val="006568E5"/>
    <w:rsid w:val="006F61F3"/>
    <w:rsid w:val="007109F6"/>
    <w:rsid w:val="00720DC4"/>
    <w:rsid w:val="00753A0D"/>
    <w:rsid w:val="0077766A"/>
    <w:rsid w:val="007E16C5"/>
    <w:rsid w:val="008146F5"/>
    <w:rsid w:val="00823A4A"/>
    <w:rsid w:val="00825A7A"/>
    <w:rsid w:val="00831E5E"/>
    <w:rsid w:val="008976CB"/>
    <w:rsid w:val="008D07A7"/>
    <w:rsid w:val="008E5722"/>
    <w:rsid w:val="00911D79"/>
    <w:rsid w:val="009245BB"/>
    <w:rsid w:val="009258A2"/>
    <w:rsid w:val="009851FC"/>
    <w:rsid w:val="009873EF"/>
    <w:rsid w:val="00992A33"/>
    <w:rsid w:val="009B392D"/>
    <w:rsid w:val="009B5E2F"/>
    <w:rsid w:val="009C4E2B"/>
    <w:rsid w:val="00A25051"/>
    <w:rsid w:val="00B3365F"/>
    <w:rsid w:val="00B42B35"/>
    <w:rsid w:val="00B67EC9"/>
    <w:rsid w:val="00B84949"/>
    <w:rsid w:val="00BA104A"/>
    <w:rsid w:val="00BA59F4"/>
    <w:rsid w:val="00BC3E36"/>
    <w:rsid w:val="00BC5866"/>
    <w:rsid w:val="00BC58C3"/>
    <w:rsid w:val="00BD7723"/>
    <w:rsid w:val="00C761FD"/>
    <w:rsid w:val="00C855C1"/>
    <w:rsid w:val="00CD75E5"/>
    <w:rsid w:val="00D179B8"/>
    <w:rsid w:val="00D2591D"/>
    <w:rsid w:val="00DB0482"/>
    <w:rsid w:val="00DB3580"/>
    <w:rsid w:val="00DB405F"/>
    <w:rsid w:val="00DE72F7"/>
    <w:rsid w:val="00E041E5"/>
    <w:rsid w:val="00E17F2A"/>
    <w:rsid w:val="00E73B83"/>
    <w:rsid w:val="00F61823"/>
    <w:rsid w:val="00F91056"/>
    <w:rsid w:val="00FB1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85508D"/>
  <w15:chartTrackingRefBased/>
  <w15:docId w15:val="{C36846CC-E8B7-4348-AB46-93E95377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A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5A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466B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66BCF"/>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66BCF"/>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66BCF"/>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66BCF"/>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66BCF"/>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66BCF"/>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6BCF"/>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A7A"/>
    <w:rPr>
      <w:rFonts w:ascii="Arial" w:eastAsia="Malgun Gothic" w:hAnsi="Arial" w:cs="Times New Roman"/>
      <w:sz w:val="36"/>
      <w:szCs w:val="20"/>
      <w:lang w:val="en-GB"/>
    </w:rPr>
  </w:style>
  <w:style w:type="paragraph" w:styleId="Footer">
    <w:name w:val="footer"/>
    <w:basedOn w:val="Normal"/>
    <w:link w:val="FooterChar"/>
    <w:rsid w:val="00825A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825A7A"/>
    <w:rPr>
      <w:rFonts w:ascii="Arial" w:eastAsia="Malgun Gothic" w:hAnsi="Arial" w:cs="Times New Roman"/>
      <w:b/>
      <w:i/>
      <w:noProof/>
      <w:sz w:val="18"/>
      <w:szCs w:val="20"/>
      <w:lang w:val="en-GB"/>
    </w:rPr>
  </w:style>
  <w:style w:type="paragraph" w:customStyle="1" w:styleId="B1">
    <w:name w:val="B1"/>
    <w:basedOn w:val="Normal"/>
    <w:link w:val="B1Char"/>
    <w:qFormat/>
    <w:rsid w:val="00825A7A"/>
    <w:pPr>
      <w:ind w:left="568" w:hanging="284"/>
    </w:pPr>
    <w:rPr>
      <w:lang w:eastAsia="x-none"/>
    </w:rPr>
  </w:style>
  <w:style w:type="character" w:customStyle="1" w:styleId="B1Char">
    <w:name w:val="B1 Char"/>
    <w:link w:val="B1"/>
    <w:rsid w:val="00825A7A"/>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25A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25A7A"/>
    <w:rPr>
      <w:rFonts w:ascii="Arial" w:eastAsia="MS Mincho" w:hAnsi="Arial" w:cs="Times New Roman"/>
      <w:sz w:val="20"/>
      <w:szCs w:val="20"/>
      <w:lang w:val="en-GB"/>
    </w:rPr>
  </w:style>
  <w:style w:type="paragraph" w:styleId="Caption">
    <w:name w:val="caption"/>
    <w:basedOn w:val="Normal"/>
    <w:next w:val="Normal"/>
    <w:uiPriority w:val="35"/>
    <w:unhideWhenUsed/>
    <w:qFormat/>
    <w:rsid w:val="00825A7A"/>
    <w:pPr>
      <w:spacing w:after="200"/>
    </w:pPr>
    <w:rPr>
      <w:i/>
      <w:iCs/>
      <w:color w:val="44546A" w:themeColor="text2"/>
      <w:sz w:val="18"/>
      <w:szCs w:val="18"/>
    </w:rPr>
  </w:style>
  <w:style w:type="paragraph" w:customStyle="1" w:styleId="Doc-text2">
    <w:name w:val="Doc-text2"/>
    <w:basedOn w:val="Normal"/>
    <w:link w:val="Doc-text2Char"/>
    <w:qFormat/>
    <w:rsid w:val="00260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7BA"/>
    <w:rPr>
      <w:rFonts w:ascii="Arial" w:eastAsia="MS Mincho" w:hAnsi="Arial" w:cs="Times New Roman"/>
      <w:sz w:val="20"/>
      <w:szCs w:val="24"/>
      <w:lang w:val="en-GB" w:eastAsia="en-GB"/>
    </w:rPr>
  </w:style>
  <w:style w:type="paragraph" w:styleId="ListParagraph">
    <w:name w:val="List Paragraph"/>
    <w:basedOn w:val="Normal"/>
    <w:uiPriority w:val="34"/>
    <w:qFormat/>
    <w:rsid w:val="002607BA"/>
    <w:pPr>
      <w:ind w:left="720"/>
      <w:contextualSpacing/>
    </w:pPr>
  </w:style>
  <w:style w:type="paragraph" w:customStyle="1" w:styleId="Proposal">
    <w:name w:val="Proposal"/>
    <w:basedOn w:val="ListParagraph"/>
    <w:link w:val="ProposalChar"/>
    <w:qFormat/>
    <w:rsid w:val="009245B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9245BB"/>
    <w:rPr>
      <w:rFonts w:ascii="Times New Roman" w:eastAsia="Times New Roman" w:hAnsi="Times New Roman" w:cs="Times New Roman"/>
      <w:b/>
      <w:sz w:val="20"/>
      <w:szCs w:val="20"/>
      <w:lang w:val="en-GB"/>
    </w:rPr>
  </w:style>
  <w:style w:type="character" w:styleId="CommentReference">
    <w:name w:val="annotation reference"/>
    <w:basedOn w:val="DefaultParagraphFont"/>
    <w:uiPriority w:val="99"/>
    <w:semiHidden/>
    <w:unhideWhenUsed/>
    <w:rsid w:val="00273536"/>
    <w:rPr>
      <w:sz w:val="16"/>
      <w:szCs w:val="16"/>
    </w:rPr>
  </w:style>
  <w:style w:type="paragraph" w:styleId="CommentText">
    <w:name w:val="annotation text"/>
    <w:basedOn w:val="Normal"/>
    <w:link w:val="CommentTextChar"/>
    <w:uiPriority w:val="99"/>
    <w:semiHidden/>
    <w:unhideWhenUsed/>
    <w:rsid w:val="00273536"/>
  </w:style>
  <w:style w:type="character" w:customStyle="1" w:styleId="CommentTextChar">
    <w:name w:val="Comment Text Char"/>
    <w:basedOn w:val="DefaultParagraphFont"/>
    <w:link w:val="CommentText"/>
    <w:uiPriority w:val="99"/>
    <w:semiHidden/>
    <w:rsid w:val="0027353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3536"/>
    <w:rPr>
      <w:b/>
      <w:bCs/>
    </w:rPr>
  </w:style>
  <w:style w:type="character" w:customStyle="1" w:styleId="CommentSubjectChar">
    <w:name w:val="Comment Subject Char"/>
    <w:basedOn w:val="CommentTextChar"/>
    <w:link w:val="CommentSubject"/>
    <w:uiPriority w:val="99"/>
    <w:semiHidden/>
    <w:rsid w:val="00273536"/>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2735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536"/>
    <w:rPr>
      <w:rFonts w:ascii="Segoe UI" w:eastAsia="Malgun Gothic" w:hAnsi="Segoe UI" w:cs="Segoe UI"/>
      <w:sz w:val="18"/>
      <w:szCs w:val="18"/>
      <w:lang w:val="en-GB"/>
    </w:rPr>
  </w:style>
  <w:style w:type="character" w:customStyle="1" w:styleId="Heading2Char">
    <w:name w:val="Heading 2 Char"/>
    <w:basedOn w:val="DefaultParagraphFont"/>
    <w:link w:val="Heading2"/>
    <w:uiPriority w:val="9"/>
    <w:rsid w:val="00466BCF"/>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466BC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466BC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66BCF"/>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466BCF"/>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466BCF"/>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466BC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66BC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4779">
      <w:bodyDiv w:val="1"/>
      <w:marLeft w:val="0"/>
      <w:marRight w:val="0"/>
      <w:marTop w:val="0"/>
      <w:marBottom w:val="0"/>
      <w:divBdr>
        <w:top w:val="none" w:sz="0" w:space="0" w:color="auto"/>
        <w:left w:val="none" w:sz="0" w:space="0" w:color="auto"/>
        <w:bottom w:val="none" w:sz="0" w:space="0" w:color="auto"/>
        <w:right w:val="none" w:sz="0" w:space="0" w:color="auto"/>
      </w:divBdr>
    </w:div>
    <w:div w:id="256408317">
      <w:bodyDiv w:val="1"/>
      <w:marLeft w:val="0"/>
      <w:marRight w:val="0"/>
      <w:marTop w:val="0"/>
      <w:marBottom w:val="0"/>
      <w:divBdr>
        <w:top w:val="none" w:sz="0" w:space="0" w:color="auto"/>
        <w:left w:val="none" w:sz="0" w:space="0" w:color="auto"/>
        <w:bottom w:val="none" w:sz="0" w:space="0" w:color="auto"/>
        <w:right w:val="none" w:sz="0" w:space="0" w:color="auto"/>
      </w:divBdr>
    </w:div>
    <w:div w:id="463623215">
      <w:bodyDiv w:val="1"/>
      <w:marLeft w:val="0"/>
      <w:marRight w:val="0"/>
      <w:marTop w:val="0"/>
      <w:marBottom w:val="0"/>
      <w:divBdr>
        <w:top w:val="none" w:sz="0" w:space="0" w:color="auto"/>
        <w:left w:val="none" w:sz="0" w:space="0" w:color="auto"/>
        <w:bottom w:val="none" w:sz="0" w:space="0" w:color="auto"/>
        <w:right w:val="none" w:sz="0" w:space="0" w:color="auto"/>
      </w:divBdr>
      <w:divsChild>
        <w:div w:id="1953659671">
          <w:marLeft w:val="274"/>
          <w:marRight w:val="0"/>
          <w:marTop w:val="240"/>
          <w:marBottom w:val="0"/>
          <w:divBdr>
            <w:top w:val="none" w:sz="0" w:space="0" w:color="auto"/>
            <w:left w:val="none" w:sz="0" w:space="0" w:color="auto"/>
            <w:bottom w:val="none" w:sz="0" w:space="0" w:color="auto"/>
            <w:right w:val="none" w:sz="0" w:space="0" w:color="auto"/>
          </w:divBdr>
        </w:div>
        <w:div w:id="623586751">
          <w:marLeft w:val="274"/>
          <w:marRight w:val="0"/>
          <w:marTop w:val="240"/>
          <w:marBottom w:val="0"/>
          <w:divBdr>
            <w:top w:val="none" w:sz="0" w:space="0" w:color="auto"/>
            <w:left w:val="none" w:sz="0" w:space="0" w:color="auto"/>
            <w:bottom w:val="none" w:sz="0" w:space="0" w:color="auto"/>
            <w:right w:val="none" w:sz="0" w:space="0" w:color="auto"/>
          </w:divBdr>
        </w:div>
      </w:divsChild>
    </w:div>
    <w:div w:id="700788042">
      <w:bodyDiv w:val="1"/>
      <w:marLeft w:val="0"/>
      <w:marRight w:val="0"/>
      <w:marTop w:val="0"/>
      <w:marBottom w:val="0"/>
      <w:divBdr>
        <w:top w:val="none" w:sz="0" w:space="0" w:color="auto"/>
        <w:left w:val="none" w:sz="0" w:space="0" w:color="auto"/>
        <w:bottom w:val="none" w:sz="0" w:space="0" w:color="auto"/>
        <w:right w:val="none" w:sz="0" w:space="0" w:color="auto"/>
      </w:divBdr>
      <w:divsChild>
        <w:div w:id="142351406">
          <w:marLeft w:val="274"/>
          <w:marRight w:val="0"/>
          <w:marTop w:val="240"/>
          <w:marBottom w:val="0"/>
          <w:divBdr>
            <w:top w:val="none" w:sz="0" w:space="0" w:color="auto"/>
            <w:left w:val="none" w:sz="0" w:space="0" w:color="auto"/>
            <w:bottom w:val="none" w:sz="0" w:space="0" w:color="auto"/>
            <w:right w:val="none" w:sz="0" w:space="0" w:color="auto"/>
          </w:divBdr>
        </w:div>
        <w:div w:id="403530689">
          <w:marLeft w:val="533"/>
          <w:marRight w:val="0"/>
          <w:marTop w:val="0"/>
          <w:marBottom w:val="0"/>
          <w:divBdr>
            <w:top w:val="none" w:sz="0" w:space="0" w:color="auto"/>
            <w:left w:val="none" w:sz="0" w:space="0" w:color="auto"/>
            <w:bottom w:val="none" w:sz="0" w:space="0" w:color="auto"/>
            <w:right w:val="none" w:sz="0" w:space="0" w:color="auto"/>
          </w:divBdr>
        </w:div>
        <w:div w:id="284577178">
          <w:marLeft w:val="806"/>
          <w:marRight w:val="0"/>
          <w:marTop w:val="0"/>
          <w:marBottom w:val="0"/>
          <w:divBdr>
            <w:top w:val="none" w:sz="0" w:space="0" w:color="auto"/>
            <w:left w:val="none" w:sz="0" w:space="0" w:color="auto"/>
            <w:bottom w:val="none" w:sz="0" w:space="0" w:color="auto"/>
            <w:right w:val="none" w:sz="0" w:space="0" w:color="auto"/>
          </w:divBdr>
        </w:div>
        <w:div w:id="796676615">
          <w:marLeft w:val="533"/>
          <w:marRight w:val="0"/>
          <w:marTop w:val="0"/>
          <w:marBottom w:val="0"/>
          <w:divBdr>
            <w:top w:val="none" w:sz="0" w:space="0" w:color="auto"/>
            <w:left w:val="none" w:sz="0" w:space="0" w:color="auto"/>
            <w:bottom w:val="none" w:sz="0" w:space="0" w:color="auto"/>
            <w:right w:val="none" w:sz="0" w:space="0" w:color="auto"/>
          </w:divBdr>
        </w:div>
        <w:div w:id="480001930">
          <w:marLeft w:val="806"/>
          <w:marRight w:val="0"/>
          <w:marTop w:val="0"/>
          <w:marBottom w:val="0"/>
          <w:divBdr>
            <w:top w:val="none" w:sz="0" w:space="0" w:color="auto"/>
            <w:left w:val="none" w:sz="0" w:space="0" w:color="auto"/>
            <w:bottom w:val="none" w:sz="0" w:space="0" w:color="auto"/>
            <w:right w:val="none" w:sz="0" w:space="0" w:color="auto"/>
          </w:divBdr>
        </w:div>
        <w:div w:id="1416899364">
          <w:marLeft w:val="1339"/>
          <w:marRight w:val="0"/>
          <w:marTop w:val="0"/>
          <w:marBottom w:val="0"/>
          <w:divBdr>
            <w:top w:val="none" w:sz="0" w:space="0" w:color="auto"/>
            <w:left w:val="none" w:sz="0" w:space="0" w:color="auto"/>
            <w:bottom w:val="none" w:sz="0" w:space="0" w:color="auto"/>
            <w:right w:val="none" w:sz="0" w:space="0" w:color="auto"/>
          </w:divBdr>
        </w:div>
        <w:div w:id="2045641477">
          <w:marLeft w:val="1339"/>
          <w:marRight w:val="0"/>
          <w:marTop w:val="0"/>
          <w:marBottom w:val="0"/>
          <w:divBdr>
            <w:top w:val="none" w:sz="0" w:space="0" w:color="auto"/>
            <w:left w:val="none" w:sz="0" w:space="0" w:color="auto"/>
            <w:bottom w:val="none" w:sz="0" w:space="0" w:color="auto"/>
            <w:right w:val="none" w:sz="0" w:space="0" w:color="auto"/>
          </w:divBdr>
        </w:div>
        <w:div w:id="1581253880">
          <w:marLeft w:val="706"/>
          <w:marRight w:val="0"/>
          <w:marTop w:val="0"/>
          <w:marBottom w:val="0"/>
          <w:divBdr>
            <w:top w:val="none" w:sz="0" w:space="0" w:color="auto"/>
            <w:left w:val="none" w:sz="0" w:space="0" w:color="auto"/>
            <w:bottom w:val="none" w:sz="0" w:space="0" w:color="auto"/>
            <w:right w:val="none" w:sz="0" w:space="0" w:color="auto"/>
          </w:divBdr>
        </w:div>
        <w:div w:id="1579754441">
          <w:marLeft w:val="806"/>
          <w:marRight w:val="0"/>
          <w:marTop w:val="0"/>
          <w:marBottom w:val="0"/>
          <w:divBdr>
            <w:top w:val="none" w:sz="0" w:space="0" w:color="auto"/>
            <w:left w:val="none" w:sz="0" w:space="0" w:color="auto"/>
            <w:bottom w:val="none" w:sz="0" w:space="0" w:color="auto"/>
            <w:right w:val="none" w:sz="0" w:space="0" w:color="auto"/>
          </w:divBdr>
        </w:div>
        <w:div w:id="573592567">
          <w:marLeft w:val="1339"/>
          <w:marRight w:val="0"/>
          <w:marTop w:val="0"/>
          <w:marBottom w:val="0"/>
          <w:divBdr>
            <w:top w:val="none" w:sz="0" w:space="0" w:color="auto"/>
            <w:left w:val="none" w:sz="0" w:space="0" w:color="auto"/>
            <w:bottom w:val="none" w:sz="0" w:space="0" w:color="auto"/>
            <w:right w:val="none" w:sz="0" w:space="0" w:color="auto"/>
          </w:divBdr>
        </w:div>
        <w:div w:id="1455979016">
          <w:marLeft w:val="1339"/>
          <w:marRight w:val="0"/>
          <w:marTop w:val="0"/>
          <w:marBottom w:val="0"/>
          <w:divBdr>
            <w:top w:val="none" w:sz="0" w:space="0" w:color="auto"/>
            <w:left w:val="none" w:sz="0" w:space="0" w:color="auto"/>
            <w:bottom w:val="none" w:sz="0" w:space="0" w:color="auto"/>
            <w:right w:val="none" w:sz="0" w:space="0" w:color="auto"/>
          </w:divBdr>
        </w:div>
        <w:div w:id="2068798839">
          <w:marLeft w:val="274"/>
          <w:marRight w:val="0"/>
          <w:marTop w:val="240"/>
          <w:marBottom w:val="0"/>
          <w:divBdr>
            <w:top w:val="none" w:sz="0" w:space="0" w:color="auto"/>
            <w:left w:val="none" w:sz="0" w:space="0" w:color="auto"/>
            <w:bottom w:val="none" w:sz="0" w:space="0" w:color="auto"/>
            <w:right w:val="none" w:sz="0" w:space="0" w:color="auto"/>
          </w:divBdr>
        </w:div>
        <w:div w:id="1328481756">
          <w:marLeft w:val="274"/>
          <w:marRight w:val="0"/>
          <w:marTop w:val="240"/>
          <w:marBottom w:val="0"/>
          <w:divBdr>
            <w:top w:val="none" w:sz="0" w:space="0" w:color="auto"/>
            <w:left w:val="none" w:sz="0" w:space="0" w:color="auto"/>
            <w:bottom w:val="none" w:sz="0" w:space="0" w:color="auto"/>
            <w:right w:val="none" w:sz="0" w:space="0" w:color="auto"/>
          </w:divBdr>
        </w:div>
        <w:div w:id="1424835540">
          <w:marLeft w:val="274"/>
          <w:marRight w:val="0"/>
          <w:marTop w:val="240"/>
          <w:marBottom w:val="0"/>
          <w:divBdr>
            <w:top w:val="none" w:sz="0" w:space="0" w:color="auto"/>
            <w:left w:val="none" w:sz="0" w:space="0" w:color="auto"/>
            <w:bottom w:val="none" w:sz="0" w:space="0" w:color="auto"/>
            <w:right w:val="none" w:sz="0" w:space="0" w:color="auto"/>
          </w:divBdr>
        </w:div>
      </w:divsChild>
    </w:div>
    <w:div w:id="757945015">
      <w:bodyDiv w:val="1"/>
      <w:marLeft w:val="0"/>
      <w:marRight w:val="0"/>
      <w:marTop w:val="0"/>
      <w:marBottom w:val="0"/>
      <w:divBdr>
        <w:top w:val="none" w:sz="0" w:space="0" w:color="auto"/>
        <w:left w:val="none" w:sz="0" w:space="0" w:color="auto"/>
        <w:bottom w:val="none" w:sz="0" w:space="0" w:color="auto"/>
        <w:right w:val="none" w:sz="0" w:space="0" w:color="auto"/>
      </w:divBdr>
    </w:div>
    <w:div w:id="877358625">
      <w:bodyDiv w:val="1"/>
      <w:marLeft w:val="0"/>
      <w:marRight w:val="0"/>
      <w:marTop w:val="0"/>
      <w:marBottom w:val="0"/>
      <w:divBdr>
        <w:top w:val="none" w:sz="0" w:space="0" w:color="auto"/>
        <w:left w:val="none" w:sz="0" w:space="0" w:color="auto"/>
        <w:bottom w:val="none" w:sz="0" w:space="0" w:color="auto"/>
        <w:right w:val="none" w:sz="0" w:space="0" w:color="auto"/>
      </w:divBdr>
    </w:div>
    <w:div w:id="1031419729">
      <w:bodyDiv w:val="1"/>
      <w:marLeft w:val="0"/>
      <w:marRight w:val="0"/>
      <w:marTop w:val="0"/>
      <w:marBottom w:val="0"/>
      <w:divBdr>
        <w:top w:val="none" w:sz="0" w:space="0" w:color="auto"/>
        <w:left w:val="none" w:sz="0" w:space="0" w:color="auto"/>
        <w:bottom w:val="none" w:sz="0" w:space="0" w:color="auto"/>
        <w:right w:val="none" w:sz="0" w:space="0" w:color="auto"/>
      </w:divBdr>
    </w:div>
    <w:div w:id="1048727095">
      <w:bodyDiv w:val="1"/>
      <w:marLeft w:val="0"/>
      <w:marRight w:val="0"/>
      <w:marTop w:val="0"/>
      <w:marBottom w:val="0"/>
      <w:divBdr>
        <w:top w:val="none" w:sz="0" w:space="0" w:color="auto"/>
        <w:left w:val="none" w:sz="0" w:space="0" w:color="auto"/>
        <w:bottom w:val="none" w:sz="0" w:space="0" w:color="auto"/>
        <w:right w:val="none" w:sz="0" w:space="0" w:color="auto"/>
      </w:divBdr>
      <w:divsChild>
        <w:div w:id="1542014306">
          <w:marLeft w:val="360"/>
          <w:marRight w:val="0"/>
          <w:marTop w:val="200"/>
          <w:marBottom w:val="0"/>
          <w:divBdr>
            <w:top w:val="none" w:sz="0" w:space="0" w:color="auto"/>
            <w:left w:val="none" w:sz="0" w:space="0" w:color="auto"/>
            <w:bottom w:val="none" w:sz="0" w:space="0" w:color="auto"/>
            <w:right w:val="none" w:sz="0" w:space="0" w:color="auto"/>
          </w:divBdr>
        </w:div>
        <w:div w:id="1533878716">
          <w:marLeft w:val="1080"/>
          <w:marRight w:val="0"/>
          <w:marTop w:val="100"/>
          <w:marBottom w:val="0"/>
          <w:divBdr>
            <w:top w:val="none" w:sz="0" w:space="0" w:color="auto"/>
            <w:left w:val="none" w:sz="0" w:space="0" w:color="auto"/>
            <w:bottom w:val="none" w:sz="0" w:space="0" w:color="auto"/>
            <w:right w:val="none" w:sz="0" w:space="0" w:color="auto"/>
          </w:divBdr>
        </w:div>
        <w:div w:id="1986279770">
          <w:marLeft w:val="360"/>
          <w:marRight w:val="0"/>
          <w:marTop w:val="200"/>
          <w:marBottom w:val="0"/>
          <w:divBdr>
            <w:top w:val="none" w:sz="0" w:space="0" w:color="auto"/>
            <w:left w:val="none" w:sz="0" w:space="0" w:color="auto"/>
            <w:bottom w:val="none" w:sz="0" w:space="0" w:color="auto"/>
            <w:right w:val="none" w:sz="0" w:space="0" w:color="auto"/>
          </w:divBdr>
        </w:div>
        <w:div w:id="397049243">
          <w:marLeft w:val="1080"/>
          <w:marRight w:val="0"/>
          <w:marTop w:val="100"/>
          <w:marBottom w:val="0"/>
          <w:divBdr>
            <w:top w:val="none" w:sz="0" w:space="0" w:color="auto"/>
            <w:left w:val="none" w:sz="0" w:space="0" w:color="auto"/>
            <w:bottom w:val="none" w:sz="0" w:space="0" w:color="auto"/>
            <w:right w:val="none" w:sz="0" w:space="0" w:color="auto"/>
          </w:divBdr>
        </w:div>
        <w:div w:id="289021671">
          <w:marLeft w:val="1080"/>
          <w:marRight w:val="0"/>
          <w:marTop w:val="100"/>
          <w:marBottom w:val="0"/>
          <w:divBdr>
            <w:top w:val="none" w:sz="0" w:space="0" w:color="auto"/>
            <w:left w:val="none" w:sz="0" w:space="0" w:color="auto"/>
            <w:bottom w:val="none" w:sz="0" w:space="0" w:color="auto"/>
            <w:right w:val="none" w:sz="0" w:space="0" w:color="auto"/>
          </w:divBdr>
        </w:div>
        <w:div w:id="1771241977">
          <w:marLeft w:val="1800"/>
          <w:marRight w:val="0"/>
          <w:marTop w:val="100"/>
          <w:marBottom w:val="0"/>
          <w:divBdr>
            <w:top w:val="none" w:sz="0" w:space="0" w:color="auto"/>
            <w:left w:val="none" w:sz="0" w:space="0" w:color="auto"/>
            <w:bottom w:val="none" w:sz="0" w:space="0" w:color="auto"/>
            <w:right w:val="none" w:sz="0" w:space="0" w:color="auto"/>
          </w:divBdr>
        </w:div>
      </w:divsChild>
    </w:div>
    <w:div w:id="1155222897">
      <w:bodyDiv w:val="1"/>
      <w:marLeft w:val="0"/>
      <w:marRight w:val="0"/>
      <w:marTop w:val="0"/>
      <w:marBottom w:val="0"/>
      <w:divBdr>
        <w:top w:val="none" w:sz="0" w:space="0" w:color="auto"/>
        <w:left w:val="none" w:sz="0" w:space="0" w:color="auto"/>
        <w:bottom w:val="none" w:sz="0" w:space="0" w:color="auto"/>
        <w:right w:val="none" w:sz="0" w:space="0" w:color="auto"/>
      </w:divBdr>
      <w:divsChild>
        <w:div w:id="390927895">
          <w:marLeft w:val="446"/>
          <w:marRight w:val="0"/>
          <w:marTop w:val="0"/>
          <w:marBottom w:val="0"/>
          <w:divBdr>
            <w:top w:val="none" w:sz="0" w:space="0" w:color="auto"/>
            <w:left w:val="none" w:sz="0" w:space="0" w:color="auto"/>
            <w:bottom w:val="none" w:sz="0" w:space="0" w:color="auto"/>
            <w:right w:val="none" w:sz="0" w:space="0" w:color="auto"/>
          </w:divBdr>
        </w:div>
        <w:div w:id="1392996355">
          <w:marLeft w:val="1166"/>
          <w:marRight w:val="0"/>
          <w:marTop w:val="0"/>
          <w:marBottom w:val="0"/>
          <w:divBdr>
            <w:top w:val="none" w:sz="0" w:space="0" w:color="auto"/>
            <w:left w:val="none" w:sz="0" w:space="0" w:color="auto"/>
            <w:bottom w:val="none" w:sz="0" w:space="0" w:color="auto"/>
            <w:right w:val="none" w:sz="0" w:space="0" w:color="auto"/>
          </w:divBdr>
        </w:div>
        <w:div w:id="1445416800">
          <w:marLeft w:val="446"/>
          <w:marRight w:val="0"/>
          <w:marTop w:val="0"/>
          <w:marBottom w:val="0"/>
          <w:divBdr>
            <w:top w:val="none" w:sz="0" w:space="0" w:color="auto"/>
            <w:left w:val="none" w:sz="0" w:space="0" w:color="auto"/>
            <w:bottom w:val="none" w:sz="0" w:space="0" w:color="auto"/>
            <w:right w:val="none" w:sz="0" w:space="0" w:color="auto"/>
          </w:divBdr>
        </w:div>
        <w:div w:id="2142073529">
          <w:marLeft w:val="1166"/>
          <w:marRight w:val="0"/>
          <w:marTop w:val="0"/>
          <w:marBottom w:val="0"/>
          <w:divBdr>
            <w:top w:val="none" w:sz="0" w:space="0" w:color="auto"/>
            <w:left w:val="none" w:sz="0" w:space="0" w:color="auto"/>
            <w:bottom w:val="none" w:sz="0" w:space="0" w:color="auto"/>
            <w:right w:val="none" w:sz="0" w:space="0" w:color="auto"/>
          </w:divBdr>
        </w:div>
        <w:div w:id="1133595792">
          <w:marLeft w:val="1166"/>
          <w:marRight w:val="0"/>
          <w:marTop w:val="0"/>
          <w:marBottom w:val="0"/>
          <w:divBdr>
            <w:top w:val="none" w:sz="0" w:space="0" w:color="auto"/>
            <w:left w:val="none" w:sz="0" w:space="0" w:color="auto"/>
            <w:bottom w:val="none" w:sz="0" w:space="0" w:color="auto"/>
            <w:right w:val="none" w:sz="0" w:space="0" w:color="auto"/>
          </w:divBdr>
        </w:div>
      </w:divsChild>
    </w:div>
    <w:div w:id="1464497119">
      <w:bodyDiv w:val="1"/>
      <w:marLeft w:val="0"/>
      <w:marRight w:val="0"/>
      <w:marTop w:val="0"/>
      <w:marBottom w:val="0"/>
      <w:divBdr>
        <w:top w:val="none" w:sz="0" w:space="0" w:color="auto"/>
        <w:left w:val="none" w:sz="0" w:space="0" w:color="auto"/>
        <w:bottom w:val="none" w:sz="0" w:space="0" w:color="auto"/>
        <w:right w:val="none" w:sz="0" w:space="0" w:color="auto"/>
      </w:divBdr>
    </w:div>
    <w:div w:id="1513644890">
      <w:bodyDiv w:val="1"/>
      <w:marLeft w:val="0"/>
      <w:marRight w:val="0"/>
      <w:marTop w:val="0"/>
      <w:marBottom w:val="0"/>
      <w:divBdr>
        <w:top w:val="none" w:sz="0" w:space="0" w:color="auto"/>
        <w:left w:val="none" w:sz="0" w:space="0" w:color="auto"/>
        <w:bottom w:val="none" w:sz="0" w:space="0" w:color="auto"/>
        <w:right w:val="none" w:sz="0" w:space="0" w:color="auto"/>
      </w:divBdr>
    </w:div>
    <w:div w:id="162916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1294-042A-4602-8258-73891AB9D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2019-10-03T22:04:00Z</dcterms:created>
  <dcterms:modified xsi:type="dcterms:W3CDTF">2019-10-03T22:05:00Z</dcterms:modified>
</cp:coreProperties>
</file>