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#107bis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3" w:name="_GoBack"/>
      <w:r>
        <w:rPr>
          <w:rFonts w:ascii="Arial" w:hAnsi="Arial" w:cs="Arial"/>
          <w:b/>
          <w:sz w:val="24"/>
          <w:szCs w:val="24"/>
        </w:rPr>
        <w:t>R</w:t>
      </w:r>
      <w:r>
        <w:rPr>
          <w:rFonts w:hint="eastAsia" w:ascii="Arial" w:hAnsi="Arial" w:eastAsia="宋体" w:cs="Arial"/>
          <w:b/>
          <w:sz w:val="24"/>
          <w:szCs w:val="24"/>
          <w:lang w:val="en-US" w:eastAsia="zh-CN"/>
        </w:rPr>
        <w:t>2</w:t>
      </w:r>
      <w:r>
        <w:rPr>
          <w:rFonts w:ascii="Arial" w:hAnsi="Arial" w:cs="Arial"/>
          <w:b/>
          <w:sz w:val="24"/>
          <w:szCs w:val="24"/>
        </w:rPr>
        <w:t>-19</w:t>
      </w:r>
      <w:r>
        <w:rPr>
          <w:rFonts w:hint="eastAsia" w:ascii="Arial" w:hAnsi="Arial" w:eastAsia="宋体" w:cs="Arial"/>
          <w:b/>
          <w:sz w:val="24"/>
          <w:szCs w:val="24"/>
          <w:lang w:val="en-US" w:eastAsia="zh-CN"/>
        </w:rPr>
        <w:t>12082</w:t>
      </w:r>
      <w:bookmarkEnd w:id="3"/>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Chongqing</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14</w:t>
      </w:r>
      <w:r>
        <w:rPr>
          <w:rFonts w:ascii="Arial" w:hAnsi="Arial" w:cs="Arial"/>
          <w:b/>
          <w:sz w:val="24"/>
          <w:vertAlign w:val="superscript"/>
          <w:lang w:val="en-US"/>
        </w:rPr>
        <w:t>th</w:t>
      </w:r>
      <w:r>
        <w:rPr>
          <w:rFonts w:hint="eastAsia" w:ascii="Arial" w:hAnsi="Arial" w:cs="Arial"/>
          <w:b/>
          <w:sz w:val="24"/>
          <w:szCs w:val="22"/>
          <w:lang w:val="en-US" w:eastAsia="zh-CN"/>
        </w:rPr>
        <w:t>-18</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Oct.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NR E-CID positioning enhancement</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6.8.2.1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ascii="Times New Roman" w:hAnsi="Times New Roman" w:cs="Times New Roman" w:eastAsiaTheme="minorEastAsia"/>
          <w:i/>
          <w:iCs/>
          <w:sz w:val="20"/>
          <w:szCs w:val="22"/>
          <w:lang w:val="en-GB" w:eastAsia="en-US" w:bidi="ar-SA"/>
        </w:rPr>
      </w:pPr>
      <w:r>
        <w:rPr>
          <w:rFonts w:eastAsiaTheme="minorEastAsia"/>
          <w:i/>
          <w:iCs/>
          <w:sz w:val="20"/>
          <w:szCs w:val="22"/>
        </w:rPr>
        <w:t>“</w:t>
      </w:r>
      <w:r>
        <w:rPr>
          <w:rFonts w:ascii="Times New Roman" w:hAnsi="Times New Roman" w:cs="Times New Roman" w:eastAsiaTheme="minorEastAsia"/>
          <w:i/>
          <w:iCs/>
          <w:sz w:val="20"/>
          <w:szCs w:val="22"/>
          <w:lang w:val="en-GB" w:eastAsia="en-US" w:bidi="ar-SA"/>
        </w:rPr>
        <w:t xml:space="preserve">Support </w:t>
      </w:r>
      <w:r>
        <w:rPr>
          <w:rFonts w:hint="eastAsia" w:ascii="Times New Roman" w:hAnsi="Times New Roman" w:cs="Times New Roman" w:eastAsiaTheme="minorEastAsia"/>
          <w:i/>
          <w:iCs/>
          <w:sz w:val="20"/>
          <w:szCs w:val="22"/>
          <w:lang w:val="en-GB" w:eastAsia="en-US" w:bidi="ar-SA"/>
        </w:rPr>
        <w:t>E-CID downlink measurements based on at</w:t>
      </w:r>
      <w:r>
        <w:rPr>
          <w:rFonts w:ascii="Times New Roman" w:hAnsi="Times New Roman" w:cs="Times New Roman" w:eastAsiaTheme="minorEastAsia"/>
          <w:i/>
          <w:iCs/>
          <w:sz w:val="20"/>
          <w:szCs w:val="22"/>
          <w:lang w:val="en-GB" w:eastAsia="en-US" w:bidi="ar-SA"/>
        </w:rPr>
        <w:t xml:space="preserve"> </w:t>
      </w:r>
      <w:r>
        <w:rPr>
          <w:rFonts w:hint="eastAsia" w:ascii="Times New Roman" w:hAnsi="Times New Roman" w:cs="Times New Roman" w:eastAsiaTheme="minorEastAsia"/>
          <w:i/>
          <w:iCs/>
          <w:sz w:val="20"/>
          <w:szCs w:val="22"/>
          <w:lang w:val="en-GB" w:eastAsia="en-US" w:bidi="ar-SA"/>
        </w:rPr>
        <w:t>least RRM measurements defined in NR Rel. 15</w:t>
      </w:r>
      <w:r>
        <w:rPr>
          <w:rFonts w:ascii="Times New Roman" w:hAnsi="Times New Roman" w:cs="Times New Roman" w:eastAsiaTheme="minorEastAsia"/>
          <w:i/>
          <w:iCs/>
          <w:sz w:val="20"/>
          <w:szCs w:val="22"/>
        </w:rPr>
        <w:t>[RAN2]</w:t>
      </w:r>
    </w:p>
    <w:p>
      <w:pPr>
        <w:overflowPunct/>
        <w:autoSpaceDE/>
        <w:autoSpaceDN/>
        <w:snapToGrid w:val="0"/>
        <w:spacing w:afterLines="50" w:line="264" w:lineRule="auto"/>
        <w:ind w:left="270"/>
        <w:textAlignment w:val="auto"/>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 xml:space="preserve">Define functional interfaces, signaling and procedures including UE reporting, to support NR RAT-dependent positioning for the NR positioning techniques listed in RAN1 objectives </w:t>
      </w:r>
      <w:bookmarkStart w:id="0" w:name="OLE_LINK1"/>
      <w:r>
        <w:rPr>
          <w:rFonts w:ascii="Times New Roman" w:hAnsi="Times New Roman" w:cs="Times New Roman" w:eastAsiaTheme="minorEastAsia"/>
          <w:i/>
          <w:iCs/>
          <w:sz w:val="20"/>
          <w:szCs w:val="22"/>
        </w:rPr>
        <w:t>[RAN2]</w:t>
      </w:r>
      <w:bookmarkEnd w:id="0"/>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RAN1 has sent a LS [2] to inform RAN2 the already agreed measurements based on which RAN2 can study the corresponding signals and procedures design.</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Multi-cell E-CID positioning</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The LS from RAN1 listed the following table with defined measurements:</w:t>
      </w:r>
    </w:p>
    <w:tbl>
      <w:tblPr>
        <w:tblStyle w:val="31"/>
        <w:tblW w:w="73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455"/>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55" w:type="dxa"/>
            <w:tcBorders>
              <w:bottom w:val="single" w:color="auto" w:sz="4" w:space="0"/>
            </w:tcBorders>
            <w:shd w:val="clear" w:color="auto" w:fill="FFE599"/>
            <w:vAlign w:val="center"/>
          </w:tcPr>
          <w:p>
            <w:pPr>
              <w:pStyle w:val="129"/>
              <w:spacing w:before="0" w:after="0" w:line="240" w:lineRule="auto"/>
              <w:jc w:val="center"/>
              <w:rPr>
                <w:b/>
                <w:sz w:val="18"/>
              </w:rPr>
            </w:pPr>
            <w:r>
              <w:rPr>
                <w:b/>
                <w:sz w:val="18"/>
              </w:rPr>
              <w:t>DL/UL Reference Signals</w:t>
            </w:r>
          </w:p>
        </w:tc>
        <w:tc>
          <w:tcPr>
            <w:tcW w:w="2455" w:type="dxa"/>
            <w:tcBorders>
              <w:bottom w:val="single" w:color="auto" w:sz="4" w:space="0"/>
            </w:tcBorders>
            <w:shd w:val="clear" w:color="auto" w:fill="FFE599"/>
            <w:vAlign w:val="center"/>
          </w:tcPr>
          <w:p>
            <w:pPr>
              <w:pStyle w:val="129"/>
              <w:spacing w:before="0" w:after="0" w:line="240" w:lineRule="auto"/>
              <w:jc w:val="center"/>
              <w:rPr>
                <w:b/>
                <w:sz w:val="18"/>
              </w:rPr>
            </w:pPr>
            <w:r>
              <w:rPr>
                <w:b/>
                <w:sz w:val="18"/>
              </w:rPr>
              <w:t>UE Measurements</w:t>
            </w:r>
          </w:p>
        </w:tc>
        <w:tc>
          <w:tcPr>
            <w:tcW w:w="2456" w:type="dxa"/>
            <w:tcBorders>
              <w:bottom w:val="single" w:color="auto" w:sz="4" w:space="0"/>
            </w:tcBorders>
            <w:shd w:val="clear" w:color="auto" w:fill="FFE599"/>
          </w:tcPr>
          <w:p>
            <w:pPr>
              <w:pStyle w:val="129"/>
              <w:spacing w:before="0" w:after="0" w:line="240" w:lineRule="auto"/>
              <w:jc w:val="center"/>
              <w:rPr>
                <w:b/>
                <w:sz w:val="18"/>
              </w:rPr>
            </w:pPr>
            <w:r>
              <w:rPr>
                <w:b/>
                <w:sz w:val="18"/>
              </w:rPr>
              <w:t>To facilitate support of the following positioning techniques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2455" w:type="dxa"/>
            <w:shd w:val="clear" w:color="auto" w:fill="E2EFD9"/>
            <w:vAlign w:val="center"/>
          </w:tcPr>
          <w:p>
            <w:pPr>
              <w:pStyle w:val="129"/>
              <w:spacing w:before="0" w:after="0" w:line="240" w:lineRule="auto"/>
              <w:jc w:val="center"/>
              <w:rPr>
                <w:sz w:val="20"/>
              </w:rPr>
            </w:pPr>
            <w:r>
              <w:rPr>
                <w:sz w:val="20"/>
              </w:rPr>
              <w:t>Rel.16 DL PRS</w:t>
            </w:r>
          </w:p>
        </w:tc>
        <w:tc>
          <w:tcPr>
            <w:tcW w:w="2455" w:type="dxa"/>
            <w:shd w:val="clear" w:color="auto" w:fill="E2EFD9"/>
            <w:vAlign w:val="center"/>
          </w:tcPr>
          <w:p>
            <w:pPr>
              <w:pStyle w:val="129"/>
              <w:spacing w:before="0" w:after="0" w:line="240" w:lineRule="auto"/>
              <w:jc w:val="center"/>
              <w:rPr>
                <w:sz w:val="20"/>
              </w:rPr>
            </w:pPr>
            <w:r>
              <w:rPr>
                <w:sz w:val="20"/>
              </w:rPr>
              <w:t>DL RSTD</w:t>
            </w:r>
          </w:p>
        </w:tc>
        <w:tc>
          <w:tcPr>
            <w:tcW w:w="2456" w:type="dxa"/>
            <w:shd w:val="clear" w:color="auto" w:fill="E2EFD9"/>
          </w:tcPr>
          <w:p>
            <w:pPr>
              <w:pStyle w:val="129"/>
              <w:spacing w:before="0" w:after="0" w:line="240" w:lineRule="auto"/>
              <w:jc w:val="center"/>
              <w:rPr>
                <w:sz w:val="20"/>
              </w:rPr>
            </w:pPr>
            <w:r>
              <w:rPr>
                <w:sz w:val="20"/>
              </w:rPr>
              <w:t>DL-TDOA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2455" w:type="dxa"/>
            <w:shd w:val="clear" w:color="auto" w:fill="E2EFD9"/>
            <w:vAlign w:val="center"/>
          </w:tcPr>
          <w:p>
            <w:pPr>
              <w:pStyle w:val="129"/>
              <w:spacing w:before="0" w:after="0" w:line="240" w:lineRule="auto"/>
              <w:jc w:val="center"/>
              <w:rPr>
                <w:sz w:val="20"/>
              </w:rPr>
            </w:pPr>
            <w:r>
              <w:rPr>
                <w:sz w:val="20"/>
              </w:rPr>
              <w:t>Rel.16 DL PRS</w:t>
            </w:r>
          </w:p>
        </w:tc>
        <w:tc>
          <w:tcPr>
            <w:tcW w:w="2455" w:type="dxa"/>
            <w:shd w:val="clear" w:color="auto" w:fill="E2EFD9"/>
            <w:vAlign w:val="center"/>
          </w:tcPr>
          <w:p>
            <w:pPr>
              <w:pStyle w:val="129"/>
              <w:spacing w:before="0" w:after="0" w:line="240" w:lineRule="auto"/>
              <w:jc w:val="center"/>
              <w:rPr>
                <w:sz w:val="20"/>
              </w:rPr>
            </w:pPr>
            <w:r>
              <w:rPr>
                <w:sz w:val="20"/>
              </w:rPr>
              <w:t>DL PRS RSRP</w:t>
            </w:r>
          </w:p>
        </w:tc>
        <w:tc>
          <w:tcPr>
            <w:tcW w:w="2456" w:type="dxa"/>
            <w:shd w:val="clear" w:color="auto" w:fill="E2EFD9"/>
          </w:tcPr>
          <w:p>
            <w:pPr>
              <w:pStyle w:val="129"/>
              <w:spacing w:before="0" w:after="0" w:line="240" w:lineRule="auto"/>
              <w:jc w:val="center"/>
              <w:rPr>
                <w:sz w:val="20"/>
              </w:rPr>
            </w:pPr>
            <w:r>
              <w:rPr>
                <w:sz w:val="20"/>
              </w:rPr>
              <w:t>DL-TDOA, DL-AoD, 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455" w:type="dxa"/>
            <w:shd w:val="clear" w:color="auto" w:fill="E2EFD9"/>
            <w:vAlign w:val="center"/>
          </w:tcPr>
          <w:p>
            <w:pPr>
              <w:pStyle w:val="129"/>
              <w:spacing w:before="0" w:after="0" w:line="240" w:lineRule="auto"/>
              <w:jc w:val="center"/>
              <w:rPr>
                <w:sz w:val="20"/>
              </w:rPr>
            </w:pPr>
            <w:r>
              <w:rPr>
                <w:sz w:val="20"/>
              </w:rPr>
              <w:t xml:space="preserve">Rel.16 DL PRS / Rel.16 SRS for positioning </w:t>
            </w:r>
          </w:p>
        </w:tc>
        <w:tc>
          <w:tcPr>
            <w:tcW w:w="2455" w:type="dxa"/>
            <w:shd w:val="clear" w:color="auto" w:fill="E2EFD9"/>
            <w:vAlign w:val="center"/>
          </w:tcPr>
          <w:p>
            <w:pPr>
              <w:pStyle w:val="129"/>
              <w:spacing w:before="0" w:after="0" w:line="240" w:lineRule="auto"/>
              <w:jc w:val="center"/>
              <w:rPr>
                <w:sz w:val="20"/>
              </w:rPr>
            </w:pPr>
            <w:r>
              <w:rPr>
                <w:sz w:val="20"/>
              </w:rPr>
              <w:t>UE Rx-Tx time difference</w:t>
            </w:r>
          </w:p>
        </w:tc>
        <w:tc>
          <w:tcPr>
            <w:tcW w:w="2456" w:type="dxa"/>
            <w:shd w:val="clear" w:color="auto" w:fill="E2EFD9"/>
          </w:tcPr>
          <w:p>
            <w:pPr>
              <w:pStyle w:val="129"/>
              <w:spacing w:before="0" w:after="0" w:line="240" w:lineRule="auto"/>
              <w:jc w:val="center"/>
              <w:rPr>
                <w:sz w:val="20"/>
              </w:rPr>
            </w:pPr>
            <w:r>
              <w:rPr>
                <w:sz w:val="20"/>
              </w:rPr>
              <w:t>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455" w:type="dxa"/>
            <w:shd w:val="clear" w:color="auto" w:fill="E2EFD9"/>
            <w:vAlign w:val="center"/>
          </w:tcPr>
          <w:p>
            <w:pPr>
              <w:pStyle w:val="129"/>
              <w:spacing w:before="0" w:after="0" w:line="240" w:lineRule="auto"/>
              <w:jc w:val="center"/>
              <w:rPr>
                <w:sz w:val="20"/>
              </w:rPr>
            </w:pPr>
            <w:r>
              <w:rPr>
                <w:sz w:val="20"/>
              </w:rPr>
              <w:t>Rel. 15 SSB / CSI-RS for RRM</w:t>
            </w:r>
          </w:p>
        </w:tc>
        <w:tc>
          <w:tcPr>
            <w:tcW w:w="2455" w:type="dxa"/>
            <w:shd w:val="clear" w:color="auto" w:fill="E2EFD9"/>
            <w:vAlign w:val="center"/>
          </w:tcPr>
          <w:p>
            <w:pPr>
              <w:pStyle w:val="129"/>
              <w:spacing w:before="0" w:after="0" w:line="240" w:lineRule="auto"/>
              <w:jc w:val="center"/>
              <w:rPr>
                <w:sz w:val="20"/>
              </w:rPr>
            </w:pPr>
            <w:r>
              <w:rPr>
                <w:sz w:val="20"/>
              </w:rPr>
              <w:t>SS-RSRP(RSRP for RRM), SS-RSRQ(for RRM), CSI-RSRP (for RRM), CSI-RSRQ (for RRM), SS-RSRPB (for RRM)</w:t>
            </w:r>
          </w:p>
        </w:tc>
        <w:tc>
          <w:tcPr>
            <w:tcW w:w="2456" w:type="dxa"/>
            <w:shd w:val="clear" w:color="auto" w:fill="E2EFD9"/>
          </w:tcPr>
          <w:p>
            <w:pPr>
              <w:pStyle w:val="129"/>
              <w:spacing w:before="0" w:after="0" w:line="240" w:lineRule="auto"/>
              <w:jc w:val="center"/>
              <w:rPr>
                <w:sz w:val="20"/>
              </w:rPr>
            </w:pPr>
            <w:r>
              <w:rPr>
                <w:sz w:val="20"/>
              </w:rPr>
              <w:t>E-CID</w:t>
            </w:r>
          </w:p>
        </w:tc>
      </w:tr>
    </w:tbl>
    <w:p>
      <w:pPr>
        <w:pStyle w:val="129"/>
      </w:pPr>
    </w:p>
    <w:tbl>
      <w:tblPr>
        <w:tblStyle w:val="31"/>
        <w:tblW w:w="70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1"/>
        <w:gridCol w:w="2361"/>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1" w:type="dxa"/>
            <w:tcBorders>
              <w:bottom w:val="single" w:color="auto" w:sz="4" w:space="0"/>
            </w:tcBorders>
            <w:shd w:val="clear" w:color="auto" w:fill="FFE599"/>
            <w:vAlign w:val="center"/>
          </w:tcPr>
          <w:p>
            <w:pPr>
              <w:pStyle w:val="129"/>
              <w:spacing w:before="0" w:after="0" w:line="240" w:lineRule="auto"/>
              <w:jc w:val="center"/>
              <w:rPr>
                <w:b/>
                <w:sz w:val="18"/>
              </w:rPr>
            </w:pPr>
            <w:r>
              <w:rPr>
                <w:b/>
                <w:sz w:val="18"/>
              </w:rPr>
              <w:t>DL/UL Reference Signals</w:t>
            </w:r>
          </w:p>
        </w:tc>
        <w:tc>
          <w:tcPr>
            <w:tcW w:w="2361" w:type="dxa"/>
            <w:tcBorders>
              <w:bottom w:val="single" w:color="auto" w:sz="4" w:space="0"/>
            </w:tcBorders>
            <w:shd w:val="clear" w:color="auto" w:fill="FFE599"/>
            <w:vAlign w:val="center"/>
          </w:tcPr>
          <w:p>
            <w:pPr>
              <w:pStyle w:val="129"/>
              <w:spacing w:before="0" w:after="0" w:line="240" w:lineRule="auto"/>
              <w:jc w:val="center"/>
              <w:rPr>
                <w:b/>
                <w:sz w:val="18"/>
              </w:rPr>
            </w:pPr>
            <w:r>
              <w:rPr>
                <w:b/>
                <w:sz w:val="18"/>
              </w:rPr>
              <w:t>gNB Measurements</w:t>
            </w:r>
          </w:p>
        </w:tc>
        <w:tc>
          <w:tcPr>
            <w:tcW w:w="2361" w:type="dxa"/>
            <w:tcBorders>
              <w:bottom w:val="single" w:color="auto" w:sz="4" w:space="0"/>
            </w:tcBorders>
            <w:shd w:val="clear" w:color="auto" w:fill="FFE599"/>
          </w:tcPr>
          <w:p>
            <w:pPr>
              <w:pStyle w:val="129"/>
              <w:spacing w:before="0" w:after="0" w:line="240" w:lineRule="auto"/>
              <w:jc w:val="center"/>
              <w:rPr>
                <w:b/>
                <w:sz w:val="18"/>
              </w:rPr>
            </w:pPr>
            <w:r>
              <w:rPr>
                <w:b/>
                <w:sz w:val="18"/>
              </w:rPr>
              <w:t>To facilitate support of the following positioning techniques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2361" w:type="dxa"/>
            <w:shd w:val="clear" w:color="auto" w:fill="E2EFD9"/>
            <w:vAlign w:val="center"/>
          </w:tcPr>
          <w:p>
            <w:pPr>
              <w:pStyle w:val="129"/>
              <w:spacing w:before="0" w:after="0" w:line="240" w:lineRule="auto"/>
              <w:jc w:val="center"/>
              <w:rPr>
                <w:sz w:val="20"/>
              </w:rPr>
            </w:pPr>
            <w:r>
              <w:rPr>
                <w:sz w:val="20"/>
              </w:rPr>
              <w:t>Rel.16 SRS for positioning</w:t>
            </w:r>
          </w:p>
        </w:tc>
        <w:tc>
          <w:tcPr>
            <w:tcW w:w="2361" w:type="dxa"/>
            <w:shd w:val="clear" w:color="auto" w:fill="E2EFD9"/>
            <w:vAlign w:val="center"/>
          </w:tcPr>
          <w:p>
            <w:pPr>
              <w:pStyle w:val="129"/>
              <w:spacing w:before="0" w:after="0" w:line="240" w:lineRule="auto"/>
              <w:jc w:val="center"/>
              <w:rPr>
                <w:sz w:val="20"/>
              </w:rPr>
            </w:pPr>
            <w:r>
              <w:rPr>
                <w:sz w:val="20"/>
              </w:rPr>
              <w:t>UL RTOA</w:t>
            </w:r>
          </w:p>
        </w:tc>
        <w:tc>
          <w:tcPr>
            <w:tcW w:w="2361" w:type="dxa"/>
            <w:shd w:val="clear" w:color="auto" w:fill="E2EFD9"/>
          </w:tcPr>
          <w:p>
            <w:pPr>
              <w:pStyle w:val="129"/>
              <w:spacing w:before="0" w:after="0" w:line="240" w:lineRule="auto"/>
              <w:jc w:val="center"/>
              <w:rPr>
                <w:sz w:val="20"/>
              </w:rPr>
            </w:pPr>
            <w:r>
              <w:rPr>
                <w:sz w:val="20"/>
              </w:rPr>
              <w:t>UL-TDOA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2361" w:type="dxa"/>
            <w:shd w:val="clear" w:color="auto" w:fill="E2EFD9"/>
            <w:vAlign w:val="center"/>
          </w:tcPr>
          <w:p>
            <w:pPr>
              <w:pStyle w:val="129"/>
              <w:spacing w:before="0" w:after="0" w:line="240" w:lineRule="auto"/>
              <w:jc w:val="center"/>
              <w:rPr>
                <w:sz w:val="20"/>
              </w:rPr>
            </w:pPr>
            <w:r>
              <w:rPr>
                <w:sz w:val="20"/>
              </w:rPr>
              <w:t>Rel.16 SRS for positioning</w:t>
            </w:r>
          </w:p>
        </w:tc>
        <w:tc>
          <w:tcPr>
            <w:tcW w:w="2361" w:type="dxa"/>
            <w:shd w:val="clear" w:color="auto" w:fill="E2EFD9"/>
            <w:vAlign w:val="center"/>
          </w:tcPr>
          <w:p>
            <w:pPr>
              <w:pStyle w:val="129"/>
              <w:spacing w:before="0" w:after="0" w:line="240" w:lineRule="auto"/>
              <w:jc w:val="center"/>
              <w:rPr>
                <w:sz w:val="20"/>
              </w:rPr>
            </w:pPr>
            <w:r>
              <w:rPr>
                <w:lang w:eastAsia="zh-CN"/>
              </w:rPr>
              <w:t>UL SRS-RSRP</w:t>
            </w:r>
          </w:p>
        </w:tc>
        <w:tc>
          <w:tcPr>
            <w:tcW w:w="2361" w:type="dxa"/>
            <w:shd w:val="clear" w:color="auto" w:fill="E2EFD9"/>
          </w:tcPr>
          <w:p>
            <w:pPr>
              <w:pStyle w:val="129"/>
              <w:spacing w:before="0" w:after="0" w:line="240" w:lineRule="auto"/>
              <w:jc w:val="center"/>
              <w:rPr>
                <w:lang w:eastAsia="zh-CN"/>
              </w:rPr>
            </w:pPr>
            <w:r>
              <w:rPr>
                <w:sz w:val="20"/>
              </w:rPr>
              <w:t>UL-TDOA, UL-AoA, 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361" w:type="dxa"/>
            <w:shd w:val="clear" w:color="auto" w:fill="E2EFD9"/>
            <w:vAlign w:val="center"/>
          </w:tcPr>
          <w:p>
            <w:pPr>
              <w:pStyle w:val="129"/>
              <w:spacing w:before="0" w:after="0" w:line="240" w:lineRule="auto"/>
              <w:jc w:val="center"/>
              <w:rPr>
                <w:sz w:val="20"/>
              </w:rPr>
            </w:pPr>
            <w:r>
              <w:rPr>
                <w:sz w:val="20"/>
              </w:rPr>
              <w:t>Rel.16 SRS for positioning, Rel.16 DL PRS</w:t>
            </w:r>
          </w:p>
        </w:tc>
        <w:tc>
          <w:tcPr>
            <w:tcW w:w="2361" w:type="dxa"/>
            <w:shd w:val="clear" w:color="auto" w:fill="E2EFD9"/>
            <w:vAlign w:val="center"/>
          </w:tcPr>
          <w:p>
            <w:pPr>
              <w:pStyle w:val="129"/>
              <w:spacing w:before="0" w:after="0" w:line="240" w:lineRule="auto"/>
              <w:jc w:val="center"/>
              <w:rPr>
                <w:sz w:val="20"/>
              </w:rPr>
            </w:pPr>
            <w:r>
              <w:rPr>
                <w:sz w:val="20"/>
              </w:rPr>
              <w:t>gNB Rx-Tx time difference</w:t>
            </w:r>
          </w:p>
        </w:tc>
        <w:tc>
          <w:tcPr>
            <w:tcW w:w="2361" w:type="dxa"/>
            <w:shd w:val="clear" w:color="auto" w:fill="E2EFD9"/>
          </w:tcPr>
          <w:p>
            <w:pPr>
              <w:pStyle w:val="129"/>
              <w:spacing w:before="0" w:after="0" w:line="240" w:lineRule="auto"/>
              <w:jc w:val="center"/>
              <w:rPr>
                <w:sz w:val="20"/>
              </w:rPr>
            </w:pPr>
            <w:r>
              <w:rPr>
                <w:sz w:val="20"/>
              </w:rPr>
              <w:t>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361" w:type="dxa"/>
            <w:shd w:val="clear" w:color="auto" w:fill="E2EFD9"/>
            <w:vAlign w:val="center"/>
          </w:tcPr>
          <w:p>
            <w:pPr>
              <w:pStyle w:val="129"/>
              <w:spacing w:before="0" w:after="0" w:line="240" w:lineRule="auto"/>
              <w:jc w:val="center"/>
              <w:rPr>
                <w:sz w:val="20"/>
              </w:rPr>
            </w:pPr>
            <w:r>
              <w:rPr>
                <w:sz w:val="20"/>
              </w:rPr>
              <w:t>Rel.16 SRS for positioning,</w:t>
            </w:r>
          </w:p>
        </w:tc>
        <w:tc>
          <w:tcPr>
            <w:tcW w:w="2361" w:type="dxa"/>
            <w:shd w:val="clear" w:color="auto" w:fill="E2EFD9"/>
            <w:vAlign w:val="center"/>
          </w:tcPr>
          <w:p>
            <w:pPr>
              <w:pStyle w:val="129"/>
              <w:spacing w:before="0" w:after="0" w:line="240" w:lineRule="auto"/>
              <w:jc w:val="center"/>
              <w:rPr>
                <w:sz w:val="20"/>
              </w:rPr>
            </w:pPr>
            <w:r>
              <w:rPr>
                <w:lang w:eastAsia="zh-CN"/>
              </w:rPr>
              <w:t>AoA and ZoA</w:t>
            </w:r>
          </w:p>
        </w:tc>
        <w:tc>
          <w:tcPr>
            <w:tcW w:w="2361" w:type="dxa"/>
            <w:shd w:val="clear" w:color="auto" w:fill="E2EFD9"/>
          </w:tcPr>
          <w:p>
            <w:pPr>
              <w:pStyle w:val="129"/>
              <w:spacing w:before="0" w:after="0" w:line="240" w:lineRule="auto"/>
              <w:jc w:val="center"/>
              <w:rPr>
                <w:lang w:eastAsia="zh-CN"/>
              </w:rPr>
            </w:pPr>
            <w:r>
              <w:rPr>
                <w:sz w:val="20"/>
              </w:rPr>
              <w:t>UL-AoA, Multi-RTT</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Also there is a clear clarification saying that </w:t>
      </w:r>
      <w:r>
        <w:rPr>
          <w:rFonts w:hint="default" w:cs="Times New Roman" w:eastAsiaTheme="minorEastAsia"/>
          <w:sz w:val="20"/>
          <w:szCs w:val="22"/>
          <w:lang w:val="en-US" w:eastAsia="zh-CN"/>
        </w:rPr>
        <w:t>”</w:t>
      </w:r>
      <w:r>
        <w:rPr>
          <w:rFonts w:hint="eastAsia" w:cs="Times New Roman" w:eastAsiaTheme="minorEastAsia"/>
          <w:sz w:val="20"/>
          <w:szCs w:val="22"/>
          <w:lang w:val="en-GB" w:eastAsia="zh-CN"/>
        </w:rPr>
        <w:t>It is RAN1 understanding that discussion on mapping of positioning techniques to reference signals and measurements is out of RAN1 scope and therefore RAN1 does not intend to define such mapping</w:t>
      </w:r>
      <w:r>
        <w:rPr>
          <w:rFonts w:hint="eastAsia" w:cs="Times New Roman" w:eastAsiaTheme="minorEastAsia"/>
          <w:sz w:val="20"/>
          <w:szCs w:val="22"/>
          <w:lang w:val="en-US" w:eastAsia="zh-CN"/>
        </w:rPr>
        <w:t>.</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As we all know, OTDOA or UTDOA can also make use of angle information, the key feature of E-CID is whether the measurements is based on positioning RS and only used for positioning, according to the description in 36.305, </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although E-CID positioning may utilise some of the same measurements as the measurement control system in the RRC protocol, the UE generally is not expected to make additional measurements for the sole purpose of positioning.</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[3] In our companion paper [4] we explains that AOD measurements based on PRS should still be within the scope of OTDOA positioning, similarly measurements based on UL SRS for positioning should be part of UTDOA, and the measurements based on Rel-15 should be used for E-CID. What</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new here is that UE may measure CSI-RS and SSB from both serving cell and neighbour cells, we think under the principle of E-CID definition, since these measurements from neighbouring cell are not for positioning purpose initially, they should still be defined as E-CID positioning method.</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default" w:cs="Times New Roman" w:eastAsiaTheme="minorEastAsia"/>
          <w:b/>
          <w:bCs/>
          <w:sz w:val="20"/>
          <w:szCs w:val="22"/>
          <w:lang w:val="en-US" w:eastAsia="zh-CN"/>
        </w:rPr>
      </w:pPr>
      <w:r>
        <w:rPr>
          <w:rFonts w:hint="eastAsia" w:cs="Times New Roman" w:eastAsiaTheme="minorEastAsia"/>
          <w:b/>
          <w:bCs/>
          <w:sz w:val="20"/>
          <w:szCs w:val="22"/>
          <w:lang w:val="en-US" w:eastAsia="zh-CN"/>
        </w:rPr>
        <w:t xml:space="preserve">Proposal 1: NR should support multi-cell E-CID.  </w:t>
      </w:r>
    </w:p>
    <w:p>
      <w:pPr>
        <w:pStyle w:val="3"/>
        <w:spacing w:before="0" w:after="0" w:line="276" w:lineRule="auto"/>
        <w:rPr>
          <w:rFonts w:eastAsiaTheme="minorEastAsia"/>
        </w:rPr>
      </w:pPr>
      <w:r>
        <w:rPr>
          <w:rFonts w:hint="eastAsia" w:eastAsiaTheme="minorEastAsia"/>
          <w:lang w:val="en-US" w:eastAsia="zh-CN"/>
        </w:rPr>
        <w:t xml:space="preserve"> Beam sweeping in NR</w:t>
      </w:r>
    </w:p>
    <w:p>
      <w:pPr>
        <w:widowControl w:val="0"/>
        <w:snapToGrid w:val="0"/>
        <w:spacing w:before="120" w:after="120" w:line="276" w:lineRule="auto"/>
        <w:rPr>
          <w:rFonts w:hint="default" w:cs="Times New Roman" w:eastAsiaTheme="minorEastAsia"/>
          <w:sz w:val="20"/>
          <w:szCs w:val="22"/>
          <w:lang w:val="en-US" w:eastAsia="zh-CN"/>
        </w:rPr>
      </w:pPr>
      <w:r>
        <w:rPr>
          <w:rFonts w:hint="eastAsia" w:cs="Times New Roman" w:eastAsiaTheme="minorEastAsia"/>
          <w:sz w:val="20"/>
          <w:szCs w:val="22"/>
          <w:lang w:val="en-US" w:eastAsia="zh-CN"/>
        </w:rPr>
        <w:t>The most simplest way to use these measurements is to just measure the RSRP and get a area around each cell, the intersection would be a position estimation. Obviously it could very coarse since the RSRP would be affected by many factors, one way to enhance it is making use of the beam information.</w:t>
      </w:r>
    </w:p>
    <w:p>
      <w:pPr>
        <w:widowControl w:val="0"/>
        <w:snapToGrid w:val="0"/>
        <w:spacing w:before="120" w:after="120" w:line="276" w:lineRule="auto"/>
        <w:rPr>
          <w:rFonts w:hint="eastAsia" w:eastAsia="宋体"/>
          <w:sz w:val="20"/>
          <w:szCs w:val="20"/>
          <w:lang w:val="en-US" w:eastAsia="zh-CN"/>
        </w:rPr>
      </w:pPr>
      <w:r>
        <w:rPr>
          <w:rFonts w:hint="eastAsia" w:eastAsia="宋体"/>
          <w:sz w:val="20"/>
          <w:szCs w:val="20"/>
          <w:lang w:val="en-US" w:eastAsia="zh-CN"/>
        </w:rPr>
        <w:t xml:space="preserve">Many signals could be transmitted in beam forming pattern, </w:t>
      </w:r>
      <w:r>
        <w:rPr>
          <w:rFonts w:hint="eastAsia" w:ascii="Times New Roman" w:hAnsi="Times New Roman" w:eastAsia="宋体"/>
          <w:sz w:val="20"/>
          <w:szCs w:val="20"/>
          <w:lang w:val="en-US" w:eastAsia="zh-CN"/>
        </w:rPr>
        <w:t xml:space="preserve">not every </w:t>
      </w:r>
      <w:r>
        <w:rPr>
          <w:rFonts w:hint="eastAsia" w:eastAsia="宋体"/>
          <w:sz w:val="20"/>
          <w:szCs w:val="20"/>
          <w:lang w:val="en-US" w:eastAsia="zh-CN"/>
        </w:rPr>
        <w:t xml:space="preserve">one </w:t>
      </w:r>
      <w:r>
        <w:rPr>
          <w:rFonts w:hint="eastAsia" w:ascii="Times New Roman" w:hAnsi="Times New Roman" w:eastAsia="宋体"/>
          <w:sz w:val="20"/>
          <w:szCs w:val="20"/>
          <w:lang w:val="en-US" w:eastAsia="zh-CN"/>
        </w:rPr>
        <w:t xml:space="preserve">of them is suitable for enhancing E-CID, actually some beams contains UE-specific </w:t>
      </w:r>
      <w:r>
        <w:rPr>
          <w:rFonts w:hint="eastAsia" w:eastAsia="宋体"/>
          <w:sz w:val="20"/>
          <w:szCs w:val="20"/>
          <w:lang w:val="en-US" w:eastAsia="zh-CN"/>
        </w:rPr>
        <w:t>RS</w:t>
      </w:r>
      <w:r>
        <w:rPr>
          <w:rFonts w:hint="eastAsia" w:ascii="Times New Roman" w:hAnsi="Times New Roman" w:eastAsia="宋体"/>
          <w:sz w:val="20"/>
          <w:szCs w:val="20"/>
          <w:lang w:val="en-US" w:eastAsia="zh-CN"/>
        </w:rPr>
        <w:t xml:space="preserve"> have </w:t>
      </w:r>
      <w:r>
        <w:rPr>
          <w:rFonts w:hint="eastAsia" w:eastAsia="宋体"/>
          <w:sz w:val="20"/>
          <w:szCs w:val="20"/>
          <w:lang w:val="en-US" w:eastAsia="zh-CN"/>
        </w:rPr>
        <w:t>conspicuous</w:t>
      </w:r>
      <w:r>
        <w:rPr>
          <w:rFonts w:hint="eastAsia" w:ascii="Times New Roman" w:hAnsi="Times New Roman" w:eastAsia="宋体"/>
          <w:sz w:val="20"/>
          <w:szCs w:val="20"/>
          <w:lang w:val="en-US" w:eastAsia="zh-CN"/>
        </w:rPr>
        <w:t xml:space="preserve"> drawback</w:t>
      </w:r>
      <w:r>
        <w:rPr>
          <w:rFonts w:hint="eastAsia" w:eastAsia="宋体"/>
          <w:sz w:val="20"/>
          <w:szCs w:val="20"/>
          <w:lang w:val="en-US" w:eastAsia="zh-CN"/>
        </w:rPr>
        <w:t>. The mapping between a certain beam and geographic should be know to make the beam information useful. UE-specific</w:t>
      </w:r>
      <w:r>
        <w:rPr>
          <w:rFonts w:hint="eastAsia" w:ascii="Times New Roman" w:hAnsi="Times New Roman" w:eastAsia="宋体"/>
          <w:sz w:val="20"/>
          <w:szCs w:val="20"/>
          <w:lang w:val="en-US" w:eastAsia="zh-CN"/>
        </w:rPr>
        <w:t xml:space="preserve"> </w:t>
      </w:r>
      <w:r>
        <w:rPr>
          <w:rFonts w:hint="eastAsia" w:eastAsia="宋体"/>
          <w:sz w:val="20"/>
          <w:szCs w:val="20"/>
          <w:lang w:val="en-US" w:eastAsia="zh-CN"/>
        </w:rPr>
        <w:t>signals are</w:t>
      </w:r>
      <w:r>
        <w:rPr>
          <w:rFonts w:hint="eastAsia" w:ascii="Times New Roman" w:hAnsi="Times New Roman" w:eastAsia="宋体"/>
          <w:sz w:val="20"/>
          <w:szCs w:val="20"/>
          <w:lang w:val="en-US" w:eastAsia="zh-CN"/>
        </w:rPr>
        <w:t xml:space="preserve"> very flexible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and may not always exist, the gNB needs to report its index and direction mapping to the LMF all the time.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 xml:space="preserve">And it will be even worse if a UE suddenly has no more need to the </w:t>
      </w:r>
      <w:r>
        <w:rPr>
          <w:rFonts w:hint="eastAsia" w:eastAsia="宋体"/>
          <w:sz w:val="20"/>
          <w:szCs w:val="20"/>
          <w:lang w:val="en-US" w:eastAsia="zh-CN"/>
        </w:rPr>
        <w:t>RS</w:t>
      </w:r>
      <w:r>
        <w:rPr>
          <w:rFonts w:hint="eastAsia" w:ascii="Times New Roman" w:hAnsi="Times New Roman" w:eastAsia="宋体"/>
          <w:sz w:val="20"/>
          <w:szCs w:val="20"/>
          <w:lang w:val="en-US" w:eastAsia="zh-CN"/>
        </w:rPr>
        <w:t xml:space="preserve"> in such beams,</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the gNB need to choose another beam</w:t>
      </w:r>
      <w:r>
        <w:rPr>
          <w:rFonts w:hint="eastAsia" w:eastAsia="宋体"/>
          <w:sz w:val="20"/>
          <w:szCs w:val="20"/>
          <w:lang w:val="en-US" w:eastAsia="zh-CN"/>
        </w:rPr>
        <w:t xml:space="preserve"> with other signals</w:t>
      </w:r>
      <w:r>
        <w:rPr>
          <w:rFonts w:hint="eastAsia" w:ascii="Times New Roman" w:hAnsi="Times New Roman" w:eastAsia="宋体"/>
          <w:sz w:val="20"/>
          <w:szCs w:val="20"/>
          <w:lang w:val="en-US" w:eastAsia="zh-CN"/>
        </w:rPr>
        <w:t xml:space="preserve"> and repeat the whole procedure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 xml:space="preserve">In addition, to make use of the beam information of multiple cells, the selected beam had better to be transmitted in a </w:t>
      </w:r>
      <w:r>
        <w:rPr>
          <w:rFonts w:hint="eastAsia" w:eastAsia="宋体"/>
          <w:sz w:val="20"/>
          <w:szCs w:val="20"/>
          <w:lang w:val="en-US" w:eastAsia="zh-CN"/>
        </w:rPr>
        <w:t xml:space="preserve">fixed </w:t>
      </w:r>
      <w:r>
        <w:rPr>
          <w:rFonts w:hint="eastAsia" w:ascii="Times New Roman" w:hAnsi="Times New Roman" w:eastAsia="宋体"/>
          <w:sz w:val="20"/>
          <w:szCs w:val="20"/>
          <w:lang w:val="en-US" w:eastAsia="zh-CN"/>
        </w:rPr>
        <w:t>sweeping pattern with a kind of index that can indicate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direction directly or indirectly.</w:t>
      </w:r>
      <w:r>
        <w:rPr>
          <w:rFonts w:hint="eastAsia" w:eastAsia="宋体"/>
          <w:sz w:val="20"/>
          <w:szCs w:val="20"/>
          <w:lang w:val="en-US" w:eastAsia="zh-CN"/>
        </w:rPr>
        <w:t xml:space="preserve"> SSB happen to have all the characteristic above.</w:t>
      </w:r>
    </w:p>
    <w:p>
      <w:pPr>
        <w:rPr>
          <w:rFonts w:hint="default" w:eastAsia="宋体"/>
          <w:sz w:val="20"/>
          <w:szCs w:val="20"/>
          <w:lang w:val="en-US" w:eastAsia="zh-CN"/>
        </w:rPr>
      </w:pPr>
      <w:r>
        <w:rPr>
          <w:rFonts w:hint="eastAsia" w:ascii="Times New Roman" w:hAnsi="Times New Roman" w:eastAsia="宋体" w:cs="Times New Roman"/>
          <w:b/>
          <w:bCs w:val="0"/>
          <w:i w:val="0"/>
          <w:iCs/>
          <w:sz w:val="21"/>
          <w:szCs w:val="20"/>
          <w:u w:val="none"/>
          <w:lang w:val="en-US" w:eastAsia="zh-CN" w:bidi="ar-SA"/>
        </w:rPr>
        <w:t xml:space="preserve">Proposal </w:t>
      </w:r>
      <w:r>
        <w:rPr>
          <w:rFonts w:hint="eastAsia" w:eastAsia="宋体" w:cs="Times New Roman"/>
          <w:b/>
          <w:bCs w:val="0"/>
          <w:i w:val="0"/>
          <w:iCs/>
          <w:sz w:val="21"/>
          <w:szCs w:val="20"/>
          <w:u w:val="none"/>
          <w:lang w:val="en-US" w:eastAsia="zh-CN" w:bidi="ar-SA"/>
        </w:rPr>
        <w:t>2</w:t>
      </w:r>
      <w:r>
        <w:rPr>
          <w:rFonts w:hint="eastAsia" w:ascii="Times New Roman" w:hAnsi="Times New Roman" w:eastAsia="宋体" w:cs="Times New Roman"/>
          <w:b/>
          <w:bCs w:val="0"/>
          <w:i w:val="0"/>
          <w:iCs/>
          <w:sz w:val="21"/>
          <w:szCs w:val="20"/>
          <w:u w:val="none"/>
          <w:lang w:val="en-US" w:eastAsia="zh-CN" w:bidi="ar-SA"/>
        </w:rPr>
        <w:t>:</w:t>
      </w:r>
      <w:r>
        <w:rPr>
          <w:rFonts w:hint="eastAsia" w:eastAsia="宋体" w:cs="Times New Roman"/>
          <w:b/>
          <w:bCs w:val="0"/>
          <w:i w:val="0"/>
          <w:iCs/>
          <w:sz w:val="21"/>
          <w:szCs w:val="20"/>
          <w:u w:val="none"/>
          <w:lang w:val="en-US" w:eastAsia="zh-CN" w:bidi="ar-SA"/>
        </w:rPr>
        <w:t>Use</w:t>
      </w:r>
      <w:r>
        <w:rPr>
          <w:rFonts w:hint="eastAsia" w:ascii="Times New Roman" w:hAnsi="Times New Roman" w:eastAsia="宋体" w:cs="Times New Roman"/>
          <w:b/>
          <w:bCs w:val="0"/>
          <w:i w:val="0"/>
          <w:iCs/>
          <w:sz w:val="21"/>
          <w:szCs w:val="20"/>
          <w:u w:val="none"/>
          <w:lang w:val="en-US" w:eastAsia="zh-CN" w:bidi="ar-SA"/>
        </w:rPr>
        <w:t xml:space="preserve"> SSB </w:t>
      </w:r>
      <w:r>
        <w:rPr>
          <w:rFonts w:hint="eastAsia" w:eastAsia="宋体" w:cs="Times New Roman"/>
          <w:b/>
          <w:bCs w:val="0"/>
          <w:i w:val="0"/>
          <w:iCs/>
          <w:sz w:val="21"/>
          <w:szCs w:val="20"/>
          <w:u w:val="none"/>
          <w:lang w:val="en-US" w:eastAsia="zh-CN" w:bidi="ar-SA"/>
        </w:rPr>
        <w:t>beam sweeping configuration</w:t>
      </w:r>
      <w:r>
        <w:rPr>
          <w:rFonts w:hint="eastAsia" w:ascii="Times New Roman" w:hAnsi="Times New Roman" w:eastAsia="宋体" w:cs="Times New Roman"/>
          <w:b/>
          <w:bCs w:val="0"/>
          <w:i w:val="0"/>
          <w:iCs/>
          <w:sz w:val="21"/>
          <w:szCs w:val="20"/>
          <w:u w:val="none"/>
          <w:lang w:val="en-US" w:eastAsia="zh-CN" w:bidi="ar-SA"/>
        </w:rPr>
        <w:t xml:space="preserve"> </w:t>
      </w:r>
      <w:r>
        <w:rPr>
          <w:rFonts w:hint="eastAsia" w:eastAsia="宋体" w:cs="Times New Roman"/>
          <w:b/>
          <w:bCs w:val="0"/>
          <w:i w:val="0"/>
          <w:iCs/>
          <w:sz w:val="21"/>
          <w:szCs w:val="20"/>
          <w:u w:val="none"/>
          <w:lang w:val="en-US" w:eastAsia="zh-CN" w:bidi="ar-SA"/>
        </w:rPr>
        <w:t xml:space="preserve">to enhance multi-cell </w:t>
      </w:r>
      <w:r>
        <w:rPr>
          <w:rFonts w:hint="eastAsia" w:ascii="Times New Roman" w:hAnsi="Times New Roman" w:eastAsia="宋体" w:cs="Times New Roman"/>
          <w:b/>
          <w:bCs w:val="0"/>
          <w:i w:val="0"/>
          <w:iCs/>
          <w:sz w:val="21"/>
          <w:szCs w:val="20"/>
          <w:u w:val="none"/>
          <w:lang w:val="en-US" w:eastAsia="zh-CN" w:bidi="ar-SA"/>
        </w:rPr>
        <w:t xml:space="preserve">E-CID </w:t>
      </w:r>
      <w:r>
        <w:rPr>
          <w:rFonts w:hint="eastAsia" w:eastAsia="宋体" w:cs="Times New Roman"/>
          <w:b/>
          <w:bCs w:val="0"/>
          <w:i w:val="0"/>
          <w:iCs/>
          <w:sz w:val="21"/>
          <w:szCs w:val="20"/>
          <w:u w:val="none"/>
          <w:lang w:val="en-US" w:eastAsia="zh-CN" w:bidi="ar-SA"/>
        </w:rPr>
        <w:t xml:space="preserve">positioning </w:t>
      </w:r>
      <w:r>
        <w:rPr>
          <w:rFonts w:hint="eastAsia" w:ascii="Times New Roman" w:hAnsi="Times New Roman" w:eastAsia="宋体" w:cs="Times New Roman"/>
          <w:b/>
          <w:bCs w:val="0"/>
          <w:i w:val="0"/>
          <w:iCs/>
          <w:sz w:val="21"/>
          <w:szCs w:val="20"/>
          <w:u w:val="none"/>
          <w:lang w:val="en-US" w:eastAsia="zh-CN" w:bidi="ar-SA"/>
        </w:rPr>
        <w:t xml:space="preserve">method. </w:t>
      </w:r>
      <w:r>
        <w:rPr>
          <w:rFonts w:hint="eastAsia" w:ascii="Times New Roman" w:hAnsi="Times New Roman" w:eastAsia="宋体"/>
          <w:sz w:val="20"/>
          <w:szCs w:val="20"/>
          <w:lang w:val="en-US" w:eastAsia="zh-CN"/>
        </w:rPr>
        <w:t xml:space="preserve">  </w:t>
      </w:r>
    </w:p>
    <w:p>
      <w:pPr>
        <w:pStyle w:val="3"/>
        <w:rPr>
          <w:rFonts w:eastAsiaTheme="minorEastAsia"/>
        </w:rPr>
      </w:pPr>
      <w:r>
        <w:rPr>
          <w:rFonts w:hint="eastAsia" w:eastAsiaTheme="minorEastAsia"/>
          <w:lang w:val="en-US" w:eastAsia="zh-CN"/>
        </w:rPr>
        <w:t>SS/PBCH block</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SSB refers to Synchronization/PBCH block because synchnronization signal and PBCH channel are packed as a single block that always moves together. The components of this block are </w:t>
      </w:r>
      <w:r>
        <w:rPr>
          <w:rFonts w:hint="default" w:ascii="Times New Roman" w:hAnsi="Times New Roman" w:eastAsia="宋体"/>
          <w:sz w:val="20"/>
          <w:szCs w:val="20"/>
          <w:lang w:val="en-US" w:eastAsia="zh-CN"/>
        </w:rPr>
        <w:t>PSS (Primary Synchronization Signal), SSS (Secondary Synchronization Signal)</w:t>
      </w:r>
      <w:r>
        <w:rPr>
          <w:rFonts w:hint="eastAsia" w:ascii="Times New Roman" w:hAnsi="Times New Roman" w:eastAsia="宋体"/>
          <w:sz w:val="20"/>
          <w:szCs w:val="20"/>
          <w:lang w:val="en-US" w:eastAsia="zh-CN"/>
        </w:rPr>
        <w:t xml:space="preserve"> ,</w:t>
      </w:r>
      <w:r>
        <w:rPr>
          <w:rFonts w:hint="default" w:ascii="Times New Roman" w:hAnsi="Times New Roman" w:eastAsia="宋体"/>
          <w:sz w:val="20"/>
          <w:szCs w:val="20"/>
          <w:lang w:val="en-US" w:eastAsia="zh-CN"/>
        </w:rPr>
        <w:t>PBCH DMRS and PBCH (Data)</w:t>
      </w:r>
      <w:r>
        <w:rPr>
          <w:rFonts w:hint="eastAsia" w:ascii="Times New Roman" w:hAnsi="Times New Roman" w:eastAsia="宋体"/>
          <w:sz w:val="20"/>
          <w:szCs w:val="20"/>
          <w:lang w:val="en-US" w:eastAsia="zh-CN"/>
        </w:rPr>
        <w:t>.</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Each SSB within a SSB set (all the SSB within 5 ms period of the SSB transmission)</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is assigned with a unique numbers starting from 0 and increasing by 1[</w:t>
      </w:r>
      <w:r>
        <w:rPr>
          <w:rFonts w:hint="eastAsia" w:eastAsia="宋体"/>
          <w:sz w:val="20"/>
          <w:szCs w:val="20"/>
          <w:lang w:val="en-US" w:eastAsia="zh-CN"/>
        </w:rPr>
        <w:t>5</w:t>
      </w:r>
      <w:r>
        <w:rPr>
          <w:rFonts w:hint="eastAsia" w:ascii="Times New Roman" w:hAnsi="Times New Roman" w:eastAsia="宋体"/>
          <w:sz w:val="20"/>
          <w:szCs w:val="20"/>
          <w:lang w:val="en-US" w:eastAsia="zh-CN"/>
        </w:rPr>
        <w:t>].This number reset to 0 in the next SSB set.</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This number is called SSB index in this paper.</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The SSB are transmitted in the form of beam sweeping pattern at least in FR2, which can be illustrated in </w:t>
      </w:r>
      <w:r>
        <w:rPr>
          <w:rFonts w:hint="eastAsia" w:eastAsia="宋体"/>
          <w:sz w:val="20"/>
          <w:szCs w:val="20"/>
          <w:lang w:val="en-US" w:eastAsia="zh-CN"/>
        </w:rPr>
        <w:t>F</w:t>
      </w:r>
      <w:r>
        <w:rPr>
          <w:rFonts w:hint="eastAsia" w:ascii="Times New Roman" w:hAnsi="Times New Roman" w:eastAsia="宋体"/>
          <w:sz w:val="20"/>
          <w:szCs w:val="20"/>
          <w:lang w:val="en-US" w:eastAsia="zh-CN"/>
        </w:rPr>
        <w:t>igure 1.</w:t>
      </w:r>
    </w:p>
    <w:p>
      <w:pPr>
        <w:jc w:val="center"/>
      </w:pPr>
      <w:r>
        <w:drawing>
          <wp:inline distT="0" distB="0" distL="114300" distR="114300">
            <wp:extent cx="5024755" cy="3909060"/>
            <wp:effectExtent l="0" t="0" r="444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024755" cy="3909060"/>
                    </a:xfrm>
                    <a:prstGeom prst="rect">
                      <a:avLst/>
                    </a:prstGeom>
                    <a:noFill/>
                    <a:ln>
                      <a:noFill/>
                    </a:ln>
                  </pic:spPr>
                </pic:pic>
              </a:graphicData>
            </a:graphic>
          </wp:inline>
        </w:drawing>
      </w:r>
    </w:p>
    <w:p>
      <w:pPr>
        <w:pStyle w:val="14"/>
        <w:jc w:val="center"/>
        <w:rPr>
          <w:rFonts w:hint="default" w:eastAsia="宋体"/>
          <w:b w:val="0"/>
          <w:bCs w:val="0"/>
          <w:sz w:val="20"/>
          <w:szCs w:val="20"/>
          <w:lang w:val="en-US" w:eastAsia="zh-CN"/>
        </w:rPr>
      </w:pPr>
      <w:r>
        <w:rPr>
          <w:rFonts w:hint="eastAsia" w:eastAsia="宋体"/>
          <w:b w:val="0"/>
          <w:bCs w:val="0"/>
          <w:sz w:val="20"/>
          <w:szCs w:val="20"/>
          <w:lang w:val="en-US" w:eastAsia="zh-CN"/>
        </w:rPr>
        <w:t>Figure 1 SSB beam sweeping</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cs="Times New Roman" w:eastAsiaTheme="minorEastAsia"/>
          <w:sz w:val="20"/>
          <w:szCs w:val="22"/>
          <w:lang w:val="en-US" w:eastAsia="zh-CN"/>
        </w:rPr>
        <w:t xml:space="preserve">However the </w:t>
      </w:r>
      <w:r>
        <w:rPr>
          <w:rFonts w:hint="eastAsia" w:ascii="Times New Roman" w:hAnsi="Times New Roman" w:cs="Times New Roman" w:eastAsiaTheme="minorEastAsia"/>
          <w:sz w:val="20"/>
          <w:szCs w:val="22"/>
          <w:lang w:val="en-US" w:eastAsia="zh-CN"/>
        </w:rPr>
        <w:t>UE can receive several SSB beams from a same cell, the one with best signal strength</w:t>
      </w:r>
      <w:r>
        <w:rPr>
          <w:rFonts w:hint="eastAsia" w:cs="Times New Roman" w:eastAsiaTheme="minorEastAsia"/>
          <w:sz w:val="20"/>
          <w:szCs w:val="22"/>
          <w:lang w:val="en-US" w:eastAsia="zh-CN"/>
        </w:rPr>
        <w:t xml:space="preserve"> would be what we want, in this paper, we just name it </w:t>
      </w:r>
      <w:r>
        <w:rPr>
          <w:rFonts w:hint="eastAsia" w:ascii="Times New Roman" w:hAnsi="Times New Roman" w:cs="Times New Roman" w:eastAsiaTheme="minorEastAsia"/>
          <w:sz w:val="20"/>
          <w:szCs w:val="22"/>
          <w:lang w:val="en-US" w:eastAsia="zh-CN"/>
        </w:rPr>
        <w:t xml:space="preserve">the </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received SSB</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w:t>
      </w:r>
      <w:r>
        <w:rPr>
          <w:rFonts w:hint="eastAsia" w:cs="Times New Roman" w:eastAsiaTheme="minorEastAsia"/>
          <w:sz w:val="20"/>
          <w:szCs w:val="22"/>
          <w:lang w:val="en-US" w:eastAsia="zh-CN"/>
        </w:rPr>
        <w:t xml:space="preserve"> To achieve this function, both RAN2(LPP) and RAN3 (NRPPa) would be affected.</w:t>
      </w:r>
    </w:p>
    <w:p>
      <w:pPr>
        <w:widowControl w:val="0"/>
        <w:snapToGrid w:val="0"/>
        <w:spacing w:before="120" w:after="120" w:line="276" w:lineRule="auto"/>
        <w:rPr>
          <w:rFonts w:hint="eastAsia"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First we need to add the SSB beam sweeping information to the NRPPa message</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beam sweeping information include</w:t>
      </w:r>
      <w:r>
        <w:rPr>
          <w:rFonts w:hint="eastAsia" w:cs="Times New Roman" w:eastAsiaTheme="minorEastAsia"/>
          <w:sz w:val="20"/>
          <w:szCs w:val="22"/>
          <w:lang w:val="en-US" w:eastAsia="zh-CN"/>
        </w:rPr>
        <w:t>s</w:t>
      </w:r>
      <w:r>
        <w:rPr>
          <w:rFonts w:hint="eastAsia" w:ascii="Times New Roman" w:hAnsi="Times New Roman" w:cs="Times New Roman" w:eastAsiaTheme="minorEastAsia"/>
          <w:sz w:val="20"/>
          <w:szCs w:val="22"/>
          <w:lang w:val="en-US" w:eastAsia="zh-CN"/>
        </w:rPr>
        <w:t xml:space="preserve"> numerology(CP length and sub-carrier spacing), SSB periodicity, SSB frequency information to indicate the position in frequency domain,</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number of SSB beams and corresponding SSB index and its direction.</w:t>
      </w:r>
      <w:r>
        <w:rPr>
          <w:rFonts w:hint="eastAsia" w:cs="Times New Roman" w:eastAsiaTheme="minorEastAsia"/>
          <w:sz w:val="20"/>
          <w:szCs w:val="22"/>
          <w:lang w:val="en-US" w:eastAsia="zh-CN"/>
        </w:rPr>
        <w:t xml:space="preserve"> This is for the purpose that the location server can link the UE SSB measurement to geographic position, just like OTDOA.</w:t>
      </w:r>
    </w:p>
    <w:p>
      <w:pPr>
        <w:widowControl w:val="0"/>
        <w:snapToGrid w:val="0"/>
        <w:spacing w:before="120" w:after="120" w:line="276" w:lineRule="auto"/>
        <w:rPr>
          <w:rFonts w:hint="eastAsia"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Different with single-cell positioning, the UE need to know the SSB beam sweeping information of the neighbour cell</w:t>
      </w:r>
      <w:r>
        <w:rPr>
          <w:rFonts w:hint="eastAsia" w:cs="Times New Roman" w:eastAsiaTheme="minorEastAsia"/>
          <w:sz w:val="20"/>
          <w:szCs w:val="22"/>
          <w:lang w:val="en-US" w:eastAsia="zh-CN"/>
        </w:rPr>
        <w:t xml:space="preserve"> for multi-cell E-CID</w:t>
      </w:r>
      <w:r>
        <w:rPr>
          <w:rFonts w:hint="eastAsia" w:ascii="Times New Roman" w:hAnsi="Times New Roman" w:cs="Times New Roman" w:eastAsiaTheme="minorEastAsia"/>
          <w:sz w:val="20"/>
          <w:szCs w:val="22"/>
          <w:lang w:val="en-US" w:eastAsia="zh-CN"/>
        </w:rPr>
        <w:t>, for both UE-based and UE-assisted mode.</w:t>
      </w:r>
      <w:r>
        <w:rPr>
          <w:rFonts w:hint="eastAsia" w:cs="Times New Roman" w:eastAsiaTheme="minorEastAsia"/>
          <w:sz w:val="20"/>
          <w:szCs w:val="22"/>
          <w:lang w:val="en-US" w:eastAsia="zh-CN"/>
        </w:rPr>
        <w:t xml:space="preserve"> So the SSB beam sweeping information should apply to both serving and neighbouring cell.</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b/>
          <w:bCs/>
          <w:sz w:val="20"/>
          <w:szCs w:val="20"/>
          <w:lang w:val="en-US" w:eastAsia="zh-CN"/>
        </w:rPr>
        <w:t xml:space="preserve">Proposal </w:t>
      </w:r>
      <w:r>
        <w:rPr>
          <w:rFonts w:hint="eastAsia" w:eastAsia="宋体"/>
          <w:b/>
          <w:bCs/>
          <w:sz w:val="20"/>
          <w:szCs w:val="20"/>
          <w:lang w:val="en-US" w:eastAsia="zh-CN"/>
        </w:rPr>
        <w:t>3</w:t>
      </w:r>
      <w:r>
        <w:rPr>
          <w:rFonts w:hint="eastAsia" w:ascii="Times New Roman" w:hAnsi="Times New Roman" w:eastAsia="宋体"/>
          <w:b/>
          <w:bCs/>
          <w:sz w:val="20"/>
          <w:szCs w:val="20"/>
          <w:lang w:val="en-US" w:eastAsia="zh-CN"/>
        </w:rPr>
        <w:t>:Add the SSB beam sweeping information to the NRPPa message as E-CID measurement report.</w:t>
      </w:r>
    </w:p>
    <w:p>
      <w:pPr>
        <w:numPr>
          <w:ilvl w:val="0"/>
          <w:numId w:val="0"/>
        </w:num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2080" behindDoc="0" locked="0" layoutInCell="1" allowOverlap="1">
                <wp:simplePos x="0" y="0"/>
                <wp:positionH relativeFrom="column">
                  <wp:posOffset>236855</wp:posOffset>
                </wp:positionH>
                <wp:positionV relativeFrom="paragraph">
                  <wp:posOffset>38735</wp:posOffset>
                </wp:positionV>
                <wp:extent cx="968375" cy="721995"/>
                <wp:effectExtent l="4445" t="5080" r="17780" b="15875"/>
                <wp:wrapNone/>
                <wp:docPr id="12" name="文本框 12"/>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NG-RAN node</w:t>
                            </w:r>
                          </w:p>
                        </w:txbxContent>
                      </wps:txbx>
                      <wps:bodyPr upright="1"/>
                    </wps:wsp>
                  </a:graphicData>
                </a:graphic>
              </wp:anchor>
            </w:drawing>
          </mc:Choice>
          <mc:Fallback>
            <w:pict>
              <v:shape id="_x0000_s1026" o:spid="_x0000_s1026" o:spt="202" type="#_x0000_t202" style="position:absolute;left:0pt;margin-left:18.65pt;margin-top:3.05pt;height:56.85pt;width:76.25pt;z-index:251822080;mso-width-relative:page;mso-height-relative:page;" fillcolor="#FFFFFF" filled="t" stroked="t" coordsize="21600,21600" o:gfxdata="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bn+Of1gAAAAgBAAAPAAAAAAAAAAEAIAAAACIAAABkcnMvZG93bnJldi54bWxQSwECFAAUAAAA&#10;CACHTuJAn4+GCvABAADpAwAADgAAAAAAAAABACAAAAAlAQAAZHJzL2Uyb0RvYy54bWxQSwUGAAAA&#10;AAYABgBZAQAAhwU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NG-RAN node</w:t>
                      </w:r>
                    </w:p>
                  </w:txbxContent>
                </v:textbox>
              </v:shape>
            </w:pict>
          </mc:Fallback>
        </mc:AlternateContent>
      </w:r>
      <w:r>
        <w:rPr>
          <w:sz w:val="20"/>
        </w:rPr>
        <mc:AlternateContent>
          <mc:Choice Requires="wps">
            <w:drawing>
              <wp:anchor distT="0" distB="0" distL="114300" distR="114300" simplePos="0" relativeHeight="251823104" behindDoc="0" locked="0" layoutInCell="1" allowOverlap="1">
                <wp:simplePos x="0" y="0"/>
                <wp:positionH relativeFrom="column">
                  <wp:posOffset>3823970</wp:posOffset>
                </wp:positionH>
                <wp:positionV relativeFrom="paragraph">
                  <wp:posOffset>74295</wp:posOffset>
                </wp:positionV>
                <wp:extent cx="968375" cy="698500"/>
                <wp:effectExtent l="4445" t="5080" r="17780" b="20320"/>
                <wp:wrapNone/>
                <wp:docPr id="5" name="文本框 5"/>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_x0000_s1026" o:spid="_x0000_s1026" o:spt="202" type="#_x0000_t202" style="position:absolute;left:0pt;margin-left:301.1pt;margin-top:5.85pt;height:55pt;width:76.25pt;z-index:251823104;mso-width-relative:page;mso-height-relative:page;" fillcolor="#FFFFFF" filled="t" stroked="t" coordsize="21600,21600" o:gfxdata="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1E8q02AAAAAoBAAAPAAAAAAAAAAEAIAAAACIAAABkcnMvZG93bnJldi54bWxQSwECFAAU&#10;AAAACACHTuJAzqKS+PEBAADnAwAADgAAAAAAAAABACAAAAAnAQAAZHJzL2Uyb0RvYy54bWxQSwUG&#10;AAAAAAYABgBZAQAAigU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Location Server</w:t>
                      </w:r>
                    </w:p>
                  </w:txbxContent>
                </v:textbox>
              </v:shape>
            </w:pict>
          </mc:Fallback>
        </mc:AlternateContent>
      </w:r>
    </w:p>
    <w:p>
      <w:pPr>
        <w:numPr>
          <w:ilvl w:val="0"/>
          <w:numId w:val="0"/>
        </w:num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4128" behindDoc="0" locked="0" layoutInCell="1" allowOverlap="1">
                <wp:simplePos x="0" y="0"/>
                <wp:positionH relativeFrom="column">
                  <wp:posOffset>732790</wp:posOffset>
                </wp:positionH>
                <wp:positionV relativeFrom="paragraph">
                  <wp:posOffset>36195</wp:posOffset>
                </wp:positionV>
                <wp:extent cx="635" cy="1381125"/>
                <wp:effectExtent l="4445" t="0" r="13970" b="9525"/>
                <wp:wrapNone/>
                <wp:docPr id="50" name="直接连接符 50"/>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7.7pt;margin-top:2.85pt;height:108.75pt;width:0.05pt;z-index:251824128;mso-width-relative:page;mso-height-relative:page;" filled="f" stroked="t" coordsize="21600,21600" o:gfxdata="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pQHpfWAAAACQEAAA8AAAAA&#10;AAAAAQAgAAAAIgAAAGRycy9kb3ducmV2LnhtbFBLAQIUABQAAAAIAIdO4kAza7BG3QEAAJoDAAAO&#10;AAAAAAAAAAEAIAAAACUBAABkcnMvZTJvRG9jLnhtbFBLBQYAAAAABgAGAFkBAAB0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25152" behindDoc="0" locked="0" layoutInCell="1" allowOverlap="1">
                <wp:simplePos x="0" y="0"/>
                <wp:positionH relativeFrom="column">
                  <wp:posOffset>4334510</wp:posOffset>
                </wp:positionH>
                <wp:positionV relativeFrom="paragraph">
                  <wp:posOffset>36830</wp:posOffset>
                </wp:positionV>
                <wp:extent cx="7620" cy="1358265"/>
                <wp:effectExtent l="0" t="0" r="0" b="0"/>
                <wp:wrapNone/>
                <wp:docPr id="2" name="直接连接符 2"/>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341.3pt;margin-top:2.9pt;height:106.95pt;width:0.6pt;z-index:251825152;mso-width-relative:page;mso-height-relative:page;" filled="f" stroked="t" coordsize="21600,21600" o:gfxdata="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hAel82AAA&#10;AAkBAAAPAAAAAAAAAAEAIAAAACIAAABkcnMvZG93bnJldi54bWxQSwECFAAUAAAACACHTuJAc/aV&#10;MeUBAACjAwAADgAAAAAAAAABACAAAAAnAQAAZHJzL2Uyb0RvYy54bWxQSwUGAAAAAAYABgBZAQAA&#10;fg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27200" behindDoc="0" locked="0" layoutInCell="1" allowOverlap="1">
                <wp:simplePos x="0" y="0"/>
                <wp:positionH relativeFrom="column">
                  <wp:posOffset>944245</wp:posOffset>
                </wp:positionH>
                <wp:positionV relativeFrom="paragraph">
                  <wp:posOffset>131445</wp:posOffset>
                </wp:positionV>
                <wp:extent cx="3286760" cy="277495"/>
                <wp:effectExtent l="0" t="0" r="8890" b="8255"/>
                <wp:wrapNone/>
                <wp:docPr id="13" name="文本框 13"/>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NRPPa message:E-CID MEASUREMENT REPORT</w:t>
                            </w:r>
                          </w:p>
                        </w:txbxContent>
                      </wps:txbx>
                      <wps:bodyPr upright="1"/>
                    </wps:wsp>
                  </a:graphicData>
                </a:graphic>
              </wp:anchor>
            </w:drawing>
          </mc:Choice>
          <mc:Fallback>
            <w:pict>
              <v:shape id="_x0000_s1026" o:spid="_x0000_s1026" o:spt="202" type="#_x0000_t202" style="position:absolute;left:0pt;margin-left:74.35pt;margin-top:10.35pt;height:21.85pt;width:258.8pt;z-index:251827200;mso-width-relative:page;mso-height-relative:page;" fillcolor="#FFFFFF" filled="t" stroked="f" coordsize="21600,21600" o:gfxdata="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4zNVdYAAAAJAQAADwAA&#10;AAAAAAABACAAAAAiAAAAZHJzL2Rvd25yZXYueG1sUEsBAhQAFAAAAAgAh07iQOqWsYqmAQAAKwMA&#10;AA4AAAAAAAAAAQAgAAAAJQEAAGRycy9lMm9Eb2MueG1sUEsFBgAAAAAGAAYAWQEAAD0FA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NRPPa message:E-CID MEASUREMENT REPORT</w:t>
                      </w:r>
                    </w:p>
                  </w:txbxContent>
                </v:textbox>
              </v:shap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6176" behindDoc="0" locked="0" layoutInCell="1" allowOverlap="1">
                <wp:simplePos x="0" y="0"/>
                <wp:positionH relativeFrom="column">
                  <wp:posOffset>795020</wp:posOffset>
                </wp:positionH>
                <wp:positionV relativeFrom="paragraph">
                  <wp:posOffset>113030</wp:posOffset>
                </wp:positionV>
                <wp:extent cx="3531870" cy="635"/>
                <wp:effectExtent l="0" t="48260" r="11430" b="65405"/>
                <wp:wrapNone/>
                <wp:docPr id="38" name="直接连接符 38"/>
                <wp:cNvGraphicFramePr/>
                <a:graphic xmlns:a="http://schemas.openxmlformats.org/drawingml/2006/main">
                  <a:graphicData uri="http://schemas.microsoft.com/office/word/2010/wordprocessingShape">
                    <wps:wsp>
                      <wps:cNvCnPr/>
                      <wps:spPr>
                        <a:xfrm>
                          <a:off x="0" y="0"/>
                          <a:ext cx="353187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62.6pt;margin-top:8.9pt;height:0.05pt;width:278.1pt;z-index:251826176;mso-width-relative:page;mso-height-relative:page;" filled="f" stroked="t" coordsize="21600,21600" o:gfxdata="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qyWnG2QAAAAkB&#10;AAAPAAAAAAAAAAEAIAAAACIAAABkcnMvZG93bnJldi54bWxQSwECFAAUAAAACACHTuJAojNMk+EB&#10;AACbAwAADgAAAAAAAAABACAAAAAoAQAAZHJzL2Uyb0RvYy54bWxQSwUGAAAAAAYABgBZAQAAewUA&#10;AA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eastAsia="宋体"/>
          <w:sz w:val="20"/>
          <w:szCs w:val="20"/>
          <w:lang w:val="en-US" w:eastAsia="zh-CN"/>
        </w:rPr>
        <w:t>Figure 2 Add SSB beam sweeping information to NRPPa</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For UE-assisted mode, the UE need</w:t>
      </w:r>
      <w:r>
        <w:rPr>
          <w:rFonts w:hint="eastAsia" w:cs="Times New Roman" w:eastAsiaTheme="minorEastAsia"/>
          <w:sz w:val="20"/>
          <w:szCs w:val="22"/>
          <w:lang w:val="en-US" w:eastAsia="zh-CN"/>
        </w:rPr>
        <w:t>s</w:t>
      </w:r>
      <w:r>
        <w:rPr>
          <w:rFonts w:hint="eastAsia" w:ascii="Times New Roman" w:hAnsi="Times New Roman" w:cs="Times New Roman" w:eastAsiaTheme="minorEastAsia"/>
          <w:sz w:val="20"/>
          <w:szCs w:val="22"/>
          <w:lang w:val="en-US" w:eastAsia="zh-CN"/>
        </w:rPr>
        <w:t xml:space="preserve"> to send measurement information to the LMF through LPP/NPP message.The measurement information should include the SSB index, corresponding RSRP and RSRQ of PSS,SSS，PBCH and its DMRS.</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4</w:t>
      </w:r>
      <w:r>
        <w:rPr>
          <w:rFonts w:hint="eastAsia" w:ascii="Times New Roman" w:hAnsi="Times New Roman" w:cs="Times New Roman" w:eastAsiaTheme="minorEastAsia"/>
          <w:b/>
          <w:sz w:val="20"/>
          <w:szCs w:val="22"/>
          <w:lang w:val="en-US" w:eastAsia="zh-CN"/>
        </w:rPr>
        <w:t>:Add the SSB beam sweeping information measurement to the LPP/NPP as E-CID signal measurement information.</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5392" behindDoc="0" locked="0" layoutInCell="1" allowOverlap="1">
                <wp:simplePos x="0" y="0"/>
                <wp:positionH relativeFrom="column">
                  <wp:posOffset>3940175</wp:posOffset>
                </wp:positionH>
                <wp:positionV relativeFrom="paragraph">
                  <wp:posOffset>10160</wp:posOffset>
                </wp:positionV>
                <wp:extent cx="968375" cy="698500"/>
                <wp:effectExtent l="4445" t="5080" r="17780" b="20320"/>
                <wp:wrapNone/>
                <wp:docPr id="47" name="文本框 47"/>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Server</w:t>
                            </w:r>
                          </w:p>
                        </w:txbxContent>
                      </wps:txbx>
                      <wps:bodyPr upright="1"/>
                    </wps:wsp>
                  </a:graphicData>
                </a:graphic>
              </wp:anchor>
            </w:drawing>
          </mc:Choice>
          <mc:Fallback>
            <w:pict>
              <v:shape id="_x0000_s1026" o:spid="_x0000_s1026" o:spt="202" type="#_x0000_t202" style="position:absolute;left:0pt;margin-left:310.25pt;margin-top:0.8pt;height:55pt;width:76.25pt;z-index:251835392;mso-width-relative:page;mso-height-relative:page;" fillcolor="#FFFFFF" filled="t" stroked="t" coordsize="21600,21600" o:gfxdata="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EK6W9cAAAAJAQAADwAAAAAAAAABACAAAAAiAAAAZHJzL2Rvd25yZXYueG1sUEsBAhQA&#10;FAAAAAgAh07iQA2Ovj7zAQAA6QMAAA4AAAAAAAAAAQAgAAAAJgEAAGRycy9lMm9Eb2MueG1sUEsF&#10;BgAAAAAGAAYAWQEAAIsFA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Server</w:t>
                      </w:r>
                    </w:p>
                  </w:txbxContent>
                </v:textbox>
              </v:shape>
            </w:pict>
          </mc:Fallback>
        </mc:AlternateContent>
      </w:r>
      <w:r>
        <w:rPr>
          <w:sz w:val="20"/>
        </w:rPr>
        <mc:AlternateContent>
          <mc:Choice Requires="wps">
            <w:drawing>
              <wp:anchor distT="0" distB="0" distL="114300" distR="114300" simplePos="0" relativeHeight="251834368" behindDoc="0" locked="0" layoutInCell="1" allowOverlap="1">
                <wp:simplePos x="0" y="0"/>
                <wp:positionH relativeFrom="column">
                  <wp:posOffset>325755</wp:posOffset>
                </wp:positionH>
                <wp:positionV relativeFrom="paragraph">
                  <wp:posOffset>29210</wp:posOffset>
                </wp:positionV>
                <wp:extent cx="968375" cy="721995"/>
                <wp:effectExtent l="4445" t="5080" r="17780" b="15875"/>
                <wp:wrapNone/>
                <wp:docPr id="44" name="文本框 44"/>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UE</w:t>
                            </w:r>
                          </w:p>
                        </w:txbxContent>
                      </wps:txbx>
                      <wps:bodyPr upright="1"/>
                    </wps:wsp>
                  </a:graphicData>
                </a:graphic>
              </wp:anchor>
            </w:drawing>
          </mc:Choice>
          <mc:Fallback>
            <w:pict>
              <v:shape id="_x0000_s1026" o:spid="_x0000_s1026" o:spt="202" type="#_x0000_t202" style="position:absolute;left:0pt;margin-left:25.65pt;margin-top:2.3pt;height:56.85pt;width:76.25pt;z-index:251834368;mso-width-relative:page;mso-height-relative:page;" fillcolor="#FFFFFF" filled="t" stroked="t" coordsize="21600,21600" o:gfxdata="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JZ/kPXAAAACAEAAA8AAAAAAAAAAQAgAAAAIgAAAGRycy9kb3ducmV2LnhtbFBLAQIUABQA&#10;AAAIAIdO4kAc4gzq8QEAAOkDAAAOAAAAAAAAAAEAIAAAACYBAABkcnMvZTJvRG9jLnhtbFBLBQYA&#10;AAAABgAGAFkBAACJ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UE</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6416" behindDoc="0" locked="0" layoutInCell="1" allowOverlap="1">
                <wp:simplePos x="0" y="0"/>
                <wp:positionH relativeFrom="column">
                  <wp:posOffset>814705</wp:posOffset>
                </wp:positionH>
                <wp:positionV relativeFrom="paragraph">
                  <wp:posOffset>369570</wp:posOffset>
                </wp:positionV>
                <wp:extent cx="635" cy="1381125"/>
                <wp:effectExtent l="4445" t="0" r="13970" b="9525"/>
                <wp:wrapNone/>
                <wp:docPr id="3" name="直接连接符 3"/>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4.15pt;margin-top:29.1pt;height:108.75pt;width:0.05pt;z-index:251836416;mso-width-relative:page;mso-height-relative:page;" filled="f" stroked="t" coordsize="21600,21600" o:gfxdata="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VTPXPYAAAACgEAAA8AAAAA&#10;AAAAAQAgAAAAIgAAAGRycy9kb3ducmV2LnhtbFBLAQIUABQAAAAIAIdO4kBgPVLp2wEAAJgDAAAO&#10;AAAAAAAAAAEAIAAAACcBAABkcnMvZTJvRG9jLnhtbFBLBQYAAAAABgAGAFkBAAB0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37440" behindDoc="0" locked="0" layoutInCell="1" allowOverlap="1">
                <wp:simplePos x="0" y="0"/>
                <wp:positionH relativeFrom="column">
                  <wp:posOffset>4415790</wp:posOffset>
                </wp:positionH>
                <wp:positionV relativeFrom="paragraph">
                  <wp:posOffset>330200</wp:posOffset>
                </wp:positionV>
                <wp:extent cx="7620" cy="1358265"/>
                <wp:effectExtent l="0" t="0" r="0" b="0"/>
                <wp:wrapNone/>
                <wp:docPr id="46" name="直接连接符 46"/>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347.7pt;margin-top:26pt;height:106.95pt;width:0.6pt;z-index:251837440;mso-width-relative:page;mso-height-relative:page;" filled="f" stroked="t" coordsize="21600,21600" o:gfxdata="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wFQr9gA&#10;AAAKAQAADwAAAAAAAAABACAAAAAiAAAAZHJzL2Rvd25yZXYueG1sUEsBAhQAFAAAAAgAh07iQDCe&#10;0rzmAQAApQMAAA4AAAAAAAAAAQAgAAAAJwEAAGRycy9lMm9Eb2MueG1sUEsFBgAAAAAGAAYAWQEA&#10;AH8FAAAAAA==&#10;">
                <v:fill on="f" focussize="0,0"/>
                <v:stroke color="#000000" joinstyle="round"/>
                <v:imagedata o:title=""/>
                <o:lock v:ext="edit" aspectratio="f"/>
              </v:lin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8464" behindDoc="0" locked="0" layoutInCell="1" allowOverlap="1">
                <wp:simplePos x="0" y="0"/>
                <wp:positionH relativeFrom="column">
                  <wp:posOffset>1034415</wp:posOffset>
                </wp:positionH>
                <wp:positionV relativeFrom="paragraph">
                  <wp:posOffset>269875</wp:posOffset>
                </wp:positionV>
                <wp:extent cx="3286760" cy="277495"/>
                <wp:effectExtent l="0" t="0" r="8890" b="8255"/>
                <wp:wrapNone/>
                <wp:docPr id="48" name="文本框 48"/>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NPP message:E-CID MEASUREMENT DATA</w:t>
                            </w:r>
                          </w:p>
                        </w:txbxContent>
                      </wps:txbx>
                      <wps:bodyPr upright="1"/>
                    </wps:wsp>
                  </a:graphicData>
                </a:graphic>
              </wp:anchor>
            </w:drawing>
          </mc:Choice>
          <mc:Fallback>
            <w:pict>
              <v:shape id="_x0000_s1026" o:spid="_x0000_s1026" o:spt="202" type="#_x0000_t202" style="position:absolute;left:0pt;margin-left:81.45pt;margin-top:21.25pt;height:21.85pt;width:258.8pt;z-index:251838464;mso-width-relative:page;mso-height-relative:page;" fillcolor="#FFFFFF" filled="t" stroked="f" coordsize="21600,21600" o:gfxdata="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Vhx7tYAAAAJAQAADwAA&#10;AAAAAAABACAAAAAiAAAAZHJzL2Rvd25yZXYueG1sUEsBAhQAFAAAAAgAh07iQFk/Ex6mAQAAKwMA&#10;AA4AAAAAAAAAAQAgAAAAJQEAAGRycy9lMm9Eb2MueG1sUEsFBgAAAAAGAAYAWQEAAD0FA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NPP message:E-CID MEASUREMENT DATA</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9488" behindDoc="0" locked="0" layoutInCell="1" allowOverlap="1">
                <wp:simplePos x="0" y="0"/>
                <wp:positionH relativeFrom="column">
                  <wp:posOffset>869315</wp:posOffset>
                </wp:positionH>
                <wp:positionV relativeFrom="paragraph">
                  <wp:posOffset>333375</wp:posOffset>
                </wp:positionV>
                <wp:extent cx="3556000" cy="635"/>
                <wp:effectExtent l="0" t="48260" r="6350" b="65405"/>
                <wp:wrapNone/>
                <wp:docPr id="49" name="直接连接符 49"/>
                <wp:cNvGraphicFramePr/>
                <a:graphic xmlns:a="http://schemas.openxmlformats.org/drawingml/2006/main">
                  <a:graphicData uri="http://schemas.microsoft.com/office/word/2010/wordprocessingShape">
                    <wps:wsp>
                      <wps:cNvCnPr/>
                      <wps:spPr>
                        <a:xfrm>
                          <a:off x="0" y="0"/>
                          <a:ext cx="355600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68.45pt;margin-top:26.25pt;height:0.05pt;width:280pt;z-index:251839488;mso-width-relative:page;mso-height-relative:page;" filled="f" stroked="t" coordsize="21600,21600" o:gfxdata="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4dytcAAAAJAQAA&#10;DwAAAAAAAAABACAAAAAiAAAAZHJzL2Rvd25yZXYueG1sUEsBAhQAFAAAAAgAh07iQMQmAoXhAQAA&#10;mwMAAA4AAAAAAAAAAQAgAAAAJgEAAGRycy9lMm9Eb2MueG1sUEsFBgAAAAAGAAYAWQEAAHkFAAAA&#10;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eastAsia="宋体"/>
          <w:sz w:val="20"/>
          <w:szCs w:val="20"/>
          <w:lang w:val="en-US" w:eastAsia="zh-CN"/>
        </w:rPr>
        <w:t>Figure 3 Add SSB information to E-CID measurement data</w:t>
      </w:r>
    </w:p>
    <w:p>
      <w:pPr>
        <w:widowControl w:val="0"/>
        <w:snapToGrid w:val="0"/>
        <w:spacing w:after="0"/>
        <w:textAlignment w:val="center"/>
        <w:rPr>
          <w:rFonts w:eastAsiaTheme="minorEastAsia"/>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had the following observations:</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1:</w:t>
      </w:r>
      <w:r>
        <w:rPr>
          <w:rFonts w:hint="eastAsia" w:cs="Times New Roman" w:eastAsiaTheme="minorEastAsia"/>
          <w:b w:val="0"/>
          <w:bCs w:val="0"/>
          <w:i/>
          <w:iCs/>
          <w:sz w:val="20"/>
          <w:szCs w:val="22"/>
          <w:lang w:val="en-US" w:eastAsia="zh-CN"/>
        </w:rPr>
        <w:t>NR should support multi-cell E-CID.</w:t>
      </w:r>
      <w:r>
        <w:rPr>
          <w:rFonts w:hint="eastAsia" w:cs="Times New Roman" w:eastAsiaTheme="minorEastAsia"/>
          <w:b/>
          <w:bCs/>
          <w:sz w:val="20"/>
          <w:szCs w:val="22"/>
          <w:lang w:val="en-US" w:eastAsia="zh-CN"/>
        </w:rPr>
        <w:t xml:space="preserve">  </w:t>
      </w:r>
      <w:r>
        <w:rPr>
          <w:rFonts w:hint="eastAsia" w:ascii="Times New Roman" w:hAnsi="Times New Roman" w:eastAsia="宋体" w:cs="Times New Roman"/>
          <w:b w:val="0"/>
          <w:bCs/>
          <w:i/>
          <w:iCs w:val="0"/>
          <w:sz w:val="21"/>
          <w:szCs w:val="20"/>
          <w:u w:val="none"/>
          <w:lang w:val="en-US" w:eastAsia="zh-CN" w:bidi="ar-SA"/>
        </w:rPr>
        <w:t xml:space="preserve"> </w:t>
      </w:r>
      <w:r>
        <w:rPr>
          <w:rFonts w:hint="eastAsia" w:ascii="Times New Roman" w:hAnsi="Times New Roman" w:eastAsia="宋体"/>
          <w:sz w:val="20"/>
          <w:szCs w:val="20"/>
          <w:lang w:val="en-US" w:eastAsia="zh-CN"/>
        </w:rPr>
        <w:t xml:space="preserve"> </w:t>
      </w:r>
      <w:r>
        <w:rPr>
          <w:rFonts w:hint="eastAsia" w:ascii="Times New Roman" w:hAnsi="Times New Roman" w:cs="Times New Roman" w:eastAsiaTheme="minorEastAsia"/>
          <w:b w:val="0"/>
          <w:bCs/>
          <w:i/>
          <w:iCs/>
          <w:sz w:val="20"/>
          <w:szCs w:val="22"/>
          <w:lang w:val="en-US" w:eastAsia="zh-CN"/>
        </w:rPr>
        <w:t>.</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2:</w:t>
      </w:r>
      <w:r>
        <w:rPr>
          <w:rFonts w:hint="eastAsia" w:eastAsia="宋体" w:cs="Times New Roman"/>
          <w:b w:val="0"/>
          <w:bCs/>
          <w:i/>
          <w:iCs w:val="0"/>
          <w:sz w:val="21"/>
          <w:szCs w:val="20"/>
          <w:u w:val="none"/>
          <w:lang w:val="en-US" w:eastAsia="zh-CN" w:bidi="ar-SA"/>
        </w:rPr>
        <w:t>Use</w:t>
      </w:r>
      <w:r>
        <w:rPr>
          <w:rFonts w:hint="eastAsia" w:ascii="Times New Roman" w:hAnsi="Times New Roman" w:eastAsia="宋体" w:cs="Times New Roman"/>
          <w:b w:val="0"/>
          <w:bCs/>
          <w:i/>
          <w:iCs w:val="0"/>
          <w:sz w:val="21"/>
          <w:szCs w:val="20"/>
          <w:u w:val="none"/>
          <w:lang w:val="en-US" w:eastAsia="zh-CN" w:bidi="ar-SA"/>
        </w:rPr>
        <w:t xml:space="preserve"> SSB </w:t>
      </w:r>
      <w:r>
        <w:rPr>
          <w:rFonts w:hint="eastAsia" w:eastAsia="宋体" w:cs="Times New Roman"/>
          <w:b w:val="0"/>
          <w:bCs/>
          <w:i/>
          <w:iCs w:val="0"/>
          <w:sz w:val="21"/>
          <w:szCs w:val="20"/>
          <w:u w:val="none"/>
          <w:lang w:val="en-US" w:eastAsia="zh-CN" w:bidi="ar-SA"/>
        </w:rPr>
        <w:t>beam sweeping configuration</w:t>
      </w:r>
      <w:r>
        <w:rPr>
          <w:rFonts w:hint="eastAsia" w:ascii="Times New Roman" w:hAnsi="Times New Roman" w:eastAsia="宋体" w:cs="Times New Roman"/>
          <w:b w:val="0"/>
          <w:bCs/>
          <w:i/>
          <w:iCs w:val="0"/>
          <w:sz w:val="21"/>
          <w:szCs w:val="20"/>
          <w:u w:val="none"/>
          <w:lang w:val="en-US" w:eastAsia="zh-CN" w:bidi="ar-SA"/>
        </w:rPr>
        <w:t xml:space="preserve"> </w:t>
      </w:r>
      <w:r>
        <w:rPr>
          <w:rFonts w:hint="eastAsia" w:eastAsia="宋体" w:cs="Times New Roman"/>
          <w:b w:val="0"/>
          <w:bCs/>
          <w:i/>
          <w:iCs w:val="0"/>
          <w:sz w:val="21"/>
          <w:szCs w:val="20"/>
          <w:u w:val="none"/>
          <w:lang w:val="en-US" w:eastAsia="zh-CN" w:bidi="ar-SA"/>
        </w:rPr>
        <w:t xml:space="preserve">to enhance multi-cell </w:t>
      </w:r>
      <w:r>
        <w:rPr>
          <w:rFonts w:hint="eastAsia" w:ascii="Times New Roman" w:hAnsi="Times New Roman" w:eastAsia="宋体" w:cs="Times New Roman"/>
          <w:b w:val="0"/>
          <w:bCs/>
          <w:i/>
          <w:iCs w:val="0"/>
          <w:sz w:val="21"/>
          <w:szCs w:val="20"/>
          <w:u w:val="none"/>
          <w:lang w:val="en-US" w:eastAsia="zh-CN" w:bidi="ar-SA"/>
        </w:rPr>
        <w:t xml:space="preserve">E-CID </w:t>
      </w:r>
      <w:r>
        <w:rPr>
          <w:rFonts w:hint="eastAsia" w:eastAsia="宋体" w:cs="Times New Roman"/>
          <w:b w:val="0"/>
          <w:bCs/>
          <w:i/>
          <w:iCs w:val="0"/>
          <w:sz w:val="21"/>
          <w:szCs w:val="20"/>
          <w:u w:val="none"/>
          <w:lang w:val="en-US" w:eastAsia="zh-CN" w:bidi="ar-SA"/>
        </w:rPr>
        <w:t xml:space="preserve">positioning </w:t>
      </w:r>
      <w:r>
        <w:rPr>
          <w:rFonts w:hint="eastAsia" w:ascii="Times New Roman" w:hAnsi="Times New Roman" w:eastAsia="宋体" w:cs="Times New Roman"/>
          <w:b w:val="0"/>
          <w:bCs/>
          <w:i/>
          <w:iCs w:val="0"/>
          <w:sz w:val="21"/>
          <w:szCs w:val="20"/>
          <w:u w:val="none"/>
          <w:lang w:val="en-US" w:eastAsia="zh-CN" w:bidi="ar-SA"/>
        </w:rPr>
        <w:t xml:space="preserve">method. </w:t>
      </w:r>
    </w:p>
    <w:p>
      <w:pPr>
        <w:snapToGrid w:val="0"/>
        <w:spacing w:after="120"/>
        <w:rPr>
          <w:rFonts w:hint="eastAsia" w:ascii="Times New Roman" w:hAnsi="Times New Roman" w:eastAsia="宋体"/>
          <w:b w:val="0"/>
          <w:bCs w:val="0"/>
          <w:i/>
          <w:iCs/>
          <w:sz w:val="20"/>
          <w:szCs w:val="20"/>
          <w:lang w:val="en-US" w:eastAsia="zh-CN"/>
        </w:rPr>
      </w:pPr>
      <w:r>
        <w:rPr>
          <w:rFonts w:hint="eastAsia" w:ascii="Times New Roman" w:hAnsi="Times New Roman" w:cs="Times New Roman" w:eastAsiaTheme="minorEastAsia"/>
          <w:b/>
          <w:bCs/>
          <w:sz w:val="20"/>
          <w:szCs w:val="22"/>
          <w:lang w:val="en-US" w:eastAsia="zh-CN"/>
        </w:rPr>
        <w:t>Proposal 3:</w:t>
      </w:r>
      <w:r>
        <w:rPr>
          <w:rFonts w:hint="eastAsia" w:ascii="Times New Roman" w:hAnsi="Times New Roman" w:eastAsia="宋体"/>
          <w:b w:val="0"/>
          <w:bCs w:val="0"/>
          <w:i/>
          <w:iCs/>
          <w:sz w:val="20"/>
          <w:szCs w:val="20"/>
          <w:lang w:val="en-US" w:eastAsia="zh-CN"/>
        </w:rPr>
        <w:t>Add the SSB beam sweeping information to the NRPPa message as E-CID measurement report.</w:t>
      </w:r>
    </w:p>
    <w:p>
      <w:pPr>
        <w:snapToGrid w:val="0"/>
        <w:spacing w:after="120"/>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4:</w:t>
      </w:r>
      <w:r>
        <w:rPr>
          <w:rFonts w:hint="eastAsia" w:ascii="Times New Roman" w:hAnsi="Times New Roman" w:cs="Times New Roman" w:eastAsiaTheme="minorEastAsia"/>
          <w:b w:val="0"/>
          <w:bCs/>
          <w:i/>
          <w:iCs/>
          <w:sz w:val="20"/>
          <w:szCs w:val="22"/>
          <w:lang w:val="en-US" w:eastAsia="zh-CN"/>
        </w:rPr>
        <w:t>Add the SSB beam sweeping information measurement to the LPP/NPP as E-CID signal measurement information.</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宋体" w:cs="Times New Roman"/>
          <w:b w:val="0"/>
          <w:bCs w:val="0"/>
          <w:sz w:val="20"/>
          <w:szCs w:val="22"/>
          <w:lang w:val="en-US" w:eastAsia="zh-CN"/>
        </w:rPr>
        <w:t xml:space="preserve">3GPP R1-1909796, </w:t>
      </w:r>
      <w:r>
        <w:rPr>
          <w:rFonts w:hint="default" w:ascii="Times New Roman" w:hAnsi="Times New Roman" w:eastAsia="宋体" w:cs="Times New Roman"/>
          <w:b w:val="0"/>
          <w:bCs w:val="0"/>
          <w:sz w:val="20"/>
          <w:szCs w:val="22"/>
          <w:lang w:val="en-US" w:eastAsia="zh-CN"/>
        </w:rPr>
        <w:t>“</w:t>
      </w:r>
      <w:r>
        <w:rPr>
          <w:rFonts w:ascii="Times New Roman" w:hAnsi="Times New Roman" w:eastAsia="Times New Roman" w:cs="Times New Roman"/>
          <w:b w:val="0"/>
          <w:bCs w:val="0"/>
          <w:sz w:val="20"/>
          <w:szCs w:val="22"/>
        </w:rPr>
        <w:t>LS on DL/UL Reference Signals and Measurements for NR Positioning</w:t>
      </w:r>
      <w:r>
        <w:rPr>
          <w:rFonts w:hint="default" w:ascii="Times New Roman" w:hAnsi="Times New Roman" w:eastAsia="宋体" w:cs="Times New Roman"/>
          <w:b w:val="0"/>
          <w:bCs w:val="0"/>
          <w:sz w:val="20"/>
          <w:szCs w:val="22"/>
          <w:lang w:val="en-US" w:eastAsia="zh-CN"/>
        </w:rPr>
        <w:t>”</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hint="eastAsia" w:ascii="Times New Roman" w:hAnsi="Times New Roman" w:eastAsia="宋体" w:cs="Times New Roman"/>
          <w:b w:val="0"/>
          <w:bCs w:val="0"/>
          <w:sz w:val="20"/>
          <w:szCs w:val="22"/>
          <w:lang w:val="en-US" w:eastAsia="zh-CN"/>
        </w:rPr>
        <w:t>[3]   3GPP 36.305,</w:t>
      </w:r>
      <w:r>
        <w:rPr>
          <w:rFonts w:hint="default" w:ascii="Times New Roman" w:hAnsi="Times New Roman" w:eastAsia="Times New Roman" w:cs="Times New Roman"/>
          <w:b w:val="0"/>
          <w:bCs w:val="0"/>
          <w:sz w:val="20"/>
          <w:szCs w:val="22"/>
          <w:lang w:val="en-US" w:eastAsia="zh-CN"/>
        </w:rPr>
        <w:t>”</w:t>
      </w:r>
      <w:r>
        <w:rPr>
          <w:rFonts w:hint="eastAsia" w:ascii="Times New Roman" w:hAnsi="Times New Roman" w:eastAsia="Times New Roman" w:cs="Times New Roman"/>
          <w:b w:val="0"/>
          <w:bCs w:val="0"/>
          <w:sz w:val="20"/>
          <w:szCs w:val="22"/>
          <w:lang w:val="en-US" w:eastAsia="zh-CN"/>
        </w:rPr>
        <w:t>E</w:t>
      </w:r>
      <w:r>
        <w:rPr>
          <w:rFonts w:ascii="Times New Roman" w:hAnsi="Times New Roman" w:eastAsia="Times New Roman" w:cs="Times New Roman"/>
          <w:b w:val="0"/>
          <w:bCs w:val="0"/>
          <w:sz w:val="20"/>
          <w:szCs w:val="22"/>
        </w:rPr>
        <w:t>volved Universal Terrestrial Radio Access Network (E-UTRAN); Stage 2 functional specification of User Equipment (UE) positioning in E-UTRAN</w:t>
      </w:r>
      <w:r>
        <w:rPr>
          <w:rFonts w:hint="default" w:ascii="Times New Roman" w:hAnsi="Times New Roman" w:eastAsia="Times New Roman" w:cs="Times New Roman"/>
          <w:b w:val="0"/>
          <w:bCs w:val="0"/>
          <w:sz w:val="20"/>
          <w:szCs w:val="22"/>
          <w:lang w:val="en-US" w:eastAsia="zh-CN"/>
        </w:rPr>
        <w:t>”</w:t>
      </w:r>
    </w:p>
    <w:p>
      <w:pPr>
        <w:pStyle w:val="4"/>
        <w:numPr>
          <w:ilvl w:val="0"/>
          <w:numId w:val="0"/>
        </w:numPr>
        <w:spacing w:before="0" w:after="0"/>
        <w:rPr>
          <w:rFonts w:hint="default" w:ascii="Times New Roman" w:hAnsi="Times New Roman" w:eastAsia="宋体" w:cs="Times New Roman"/>
          <w:b w:val="0"/>
          <w:bCs w:val="0"/>
          <w:sz w:val="20"/>
          <w:szCs w:val="22"/>
          <w:lang w:val="en-US" w:eastAsia="zh-CN"/>
        </w:rPr>
      </w:pPr>
      <w:r>
        <w:rPr>
          <w:rFonts w:hint="eastAsia" w:ascii="Times New Roman" w:hAnsi="Times New Roman" w:eastAsia="宋体" w:cs="Times New Roman"/>
          <w:b w:val="0"/>
          <w:bCs w:val="0"/>
          <w:sz w:val="20"/>
          <w:szCs w:val="22"/>
          <w:lang w:val="en-US" w:eastAsia="zh-CN"/>
        </w:rPr>
        <w:t>[4]   3GPP R2-,</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Discussion on NR-TDOA positioning</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 ZTE</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宋体" w:cs="Times New Roman"/>
          <w:b w:val="0"/>
          <w:bCs w:val="0"/>
          <w:sz w:val="20"/>
          <w:szCs w:val="22"/>
          <w:lang w:val="en-US" w:eastAsia="zh-CN"/>
        </w:rPr>
        <w:t xml:space="preserve">[5] </w:t>
      </w:r>
      <w:r>
        <w:rPr>
          <w:rFonts w:hint="eastAsia" w:ascii="Times New Roman" w:hAnsi="Times New Roman" w:eastAsia="Times New Roman" w:cs="Times New Roman"/>
          <w:b w:val="0"/>
          <w:bCs w:val="0"/>
          <w:sz w:val="20"/>
          <w:szCs w:val="22"/>
        </w:rPr>
        <w:fldChar w:fldCharType="begin"/>
      </w:r>
      <w:r>
        <w:rPr>
          <w:rFonts w:hint="eastAsia" w:ascii="Times New Roman" w:hAnsi="Times New Roman" w:eastAsia="Times New Roman" w:cs="Times New Roman"/>
          <w:b w:val="0"/>
          <w:bCs w:val="0"/>
          <w:sz w:val="20"/>
          <w:szCs w:val="22"/>
        </w:rPr>
        <w:instrText xml:space="preserve"> HYPERLINK "http://www.sharetechnote.com/html/5G/5G_SS_Block.html" </w:instrText>
      </w:r>
      <w:r>
        <w:rPr>
          <w:rFonts w:hint="eastAsia" w:ascii="Times New Roman" w:hAnsi="Times New Roman" w:eastAsia="Times New Roman" w:cs="Times New Roman"/>
          <w:b w:val="0"/>
          <w:bCs w:val="0"/>
          <w:sz w:val="20"/>
          <w:szCs w:val="22"/>
        </w:rPr>
        <w:fldChar w:fldCharType="separate"/>
      </w:r>
      <w:r>
        <w:rPr>
          <w:rFonts w:hint="eastAsia" w:ascii="Times New Roman" w:hAnsi="Times New Roman" w:eastAsia="Times New Roman" w:cs="Times New Roman"/>
          <w:b w:val="0"/>
          <w:bCs w:val="0"/>
          <w:sz w:val="20"/>
          <w:szCs w:val="22"/>
        </w:rPr>
        <w:t>http://www.sharetechnote.com/html/5G/5G_SS_Block.html</w:t>
      </w:r>
      <w:r>
        <w:rPr>
          <w:rFonts w:hint="eastAsia" w:ascii="Times New Roman" w:hAnsi="Times New Roman" w:eastAsia="Times New Roman" w:cs="Times New Roman"/>
          <w:b w:val="0"/>
          <w:bCs w:val="0"/>
          <w:sz w:val="20"/>
          <w:szCs w:val="22"/>
        </w:rPr>
        <w:fldChar w:fldCharType="end"/>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 xml:space="preserve">” </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Times-Roman">
    <w:altName w:val="Times New Roman"/>
    <w:panose1 w:val="00000000000000000000"/>
    <w:charset w:val="00"/>
    <w:family w:val="auto"/>
    <w:pitch w:val="default"/>
    <w:sig w:usb0="00000000" w:usb1="00000000" w:usb2="00000000" w:usb3="00000000" w:csb0="00000000" w:csb1="00000000"/>
  </w:font>
  <w:font w:name="Times-Italic">
    <w:altName w:val="Segoe Print"/>
    <w:panose1 w:val="00000000000000000000"/>
    <w:charset w:val="00"/>
    <w:family w:val="auto"/>
    <w:pitch w:val="default"/>
    <w:sig w:usb0="00000000" w:usb1="00000000" w:usb2="00000000" w:usb3="00000000" w:csb0="00000000" w:csb1="00000000"/>
  </w:font>
  <w:font w:name="SymbolNew-Medium">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5">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BD07517"/>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337EB5"/>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D26644"/>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506531"/>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3B7734"/>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1F72E2"/>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character" w:customStyle="1" w:styleId="126">
    <w:name w:val="fontstyle01"/>
    <w:basedOn w:val="25"/>
    <w:qFormat/>
    <w:uiPriority w:val="0"/>
    <w:rPr>
      <w:rFonts w:ascii="Times-Roman" w:hAnsi="Times-Roman" w:eastAsia="Times-Roman" w:cs="Times-Roman"/>
      <w:color w:val="231F20"/>
      <w:sz w:val="20"/>
      <w:szCs w:val="20"/>
    </w:rPr>
  </w:style>
  <w:style w:type="character" w:customStyle="1" w:styleId="127">
    <w:name w:val="fontstyle21"/>
    <w:basedOn w:val="25"/>
    <w:qFormat/>
    <w:uiPriority w:val="0"/>
    <w:rPr>
      <w:rFonts w:ascii="Times-Italic" w:hAnsi="Times-Italic" w:eastAsia="Times-Italic" w:cs="Times-Italic"/>
      <w:i/>
      <w:color w:val="231F20"/>
      <w:sz w:val="20"/>
      <w:szCs w:val="20"/>
    </w:rPr>
  </w:style>
  <w:style w:type="character" w:customStyle="1" w:styleId="128">
    <w:name w:val="fontstyle31"/>
    <w:basedOn w:val="25"/>
    <w:qFormat/>
    <w:uiPriority w:val="0"/>
    <w:rPr>
      <w:rFonts w:ascii="SymbolNew-Medium" w:hAnsi="SymbolNew-Medium" w:eastAsia="SymbolNew-Medium" w:cs="SymbolNew-Medium"/>
      <w:color w:val="231F20"/>
      <w:sz w:val="20"/>
      <w:szCs w:val="20"/>
    </w:rPr>
  </w:style>
  <w:style w:type="paragraph" w:customStyle="1" w:styleId="129">
    <w:name w:val="3GPP Text"/>
    <w:basedOn w:val="1"/>
    <w:qFormat/>
    <w:uiPriority w:val="0"/>
    <w:pPr>
      <w:overflowPunct w:val="0"/>
      <w:autoSpaceDE w:val="0"/>
      <w:autoSpaceDN w:val="0"/>
      <w:adjustRightInd w:val="0"/>
      <w:spacing w:before="120" w:after="120" w:line="276" w:lineRule="auto"/>
      <w:jc w:val="both"/>
      <w:textAlignment w:val="baseline"/>
    </w:pPr>
    <w:rPr>
      <w:rFonts w:eastAsia="宋体"/>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5</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2019-09-30T12:04:15Z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