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4A55" w:rsidRPr="00B62621" w:rsidRDefault="00634A55" w:rsidP="00634A55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 w:rsidRPr="00B62621">
        <w:rPr>
          <w:b/>
          <w:noProof/>
          <w:sz w:val="24"/>
          <w:szCs w:val="24"/>
        </w:rPr>
        <w:t>3GPP TSG RAN WG2#10</w:t>
      </w:r>
      <w:r>
        <w:rPr>
          <w:b/>
          <w:noProof/>
          <w:sz w:val="24"/>
          <w:szCs w:val="24"/>
        </w:rPr>
        <w:t>7</w:t>
      </w:r>
      <w:r w:rsidRPr="00B62621">
        <w:rPr>
          <w:b/>
          <w:noProof/>
          <w:sz w:val="24"/>
          <w:szCs w:val="24"/>
        </w:rPr>
        <w:tab/>
        <w:t>R2-190</w:t>
      </w:r>
      <w:r>
        <w:rPr>
          <w:b/>
          <w:noProof/>
          <w:sz w:val="24"/>
          <w:szCs w:val="24"/>
        </w:rPr>
        <w:t>863</w:t>
      </w:r>
      <w:r>
        <w:rPr>
          <w:b/>
          <w:noProof/>
          <w:sz w:val="24"/>
          <w:szCs w:val="24"/>
        </w:rPr>
        <w:t>4</w:t>
      </w:r>
    </w:p>
    <w:p w:rsidR="00634A55" w:rsidRPr="00B62621" w:rsidRDefault="00634A55" w:rsidP="00634A5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Prague, Czech Republic</w:t>
      </w:r>
      <w:r w:rsidRPr="00B62621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26 – 30 August,</w:t>
      </w:r>
      <w:r w:rsidRPr="00B62621">
        <w:rPr>
          <w:b/>
          <w:noProof/>
          <w:sz w:val="24"/>
          <w:szCs w:val="24"/>
        </w:rPr>
        <w:t xml:space="preserve"> 2019</w:t>
      </w:r>
    </w:p>
    <w:p w:rsidR="00634A55" w:rsidRPr="00B62621" w:rsidRDefault="00634A55" w:rsidP="00634A5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634A55" w:rsidRPr="005213F2" w:rsidRDefault="00634A55" w:rsidP="00634A5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2956E8" w:rsidRPr="00D46AC8" w:rsidRDefault="002956E8" w:rsidP="002956E8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91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51561A" w:rsidRPr="0051561A">
        <w:rPr>
          <w:b/>
          <w:noProof/>
          <w:sz w:val="24"/>
        </w:rPr>
        <w:t>R4-</w:t>
      </w:r>
      <w:r w:rsidR="00C76D41" w:rsidRPr="0051561A">
        <w:rPr>
          <w:b/>
          <w:noProof/>
          <w:sz w:val="24"/>
        </w:rPr>
        <w:t>190</w:t>
      </w:r>
      <w:r w:rsidR="00C76D41">
        <w:rPr>
          <w:b/>
          <w:noProof/>
          <w:sz w:val="24"/>
        </w:rPr>
        <w:t>7206</w:t>
      </w:r>
    </w:p>
    <w:p w:rsidR="002956E8" w:rsidRDefault="002956E8" w:rsidP="002956E8">
      <w:pPr>
        <w:pStyle w:val="Header"/>
        <w:jc w:val="both"/>
        <w:rPr>
          <w:sz w:val="24"/>
        </w:rPr>
      </w:pPr>
      <w:r w:rsidRPr="00F7051A">
        <w:rPr>
          <w:sz w:val="24"/>
        </w:rPr>
        <w:t>Reno, US, 13th– 17th May, 2019</w:t>
      </w:r>
    </w:p>
    <w:p w:rsidR="00D142BC" w:rsidRPr="002956E8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  <w:lang w:val="en-US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AF5A33" w:rsidRPr="00AF5A33">
        <w:rPr>
          <w:rFonts w:ascii="Intel Clear" w:hAnsi="Intel Clear" w:cs="Intel Clear"/>
        </w:rPr>
        <w:t>Updated reply LS on intra-band combination for NR-CA and MR-DC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R2-1813442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Rel-15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  <w:t>NR_newRAT-Core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1</w:t>
      </w:r>
      <w:r w:rsidR="008F19AA">
        <w:rPr>
          <w:rFonts w:ascii="Intel Clear" w:hAnsi="Intel Clear" w:cs="Intel Clear"/>
        </w:rPr>
        <w:t xml:space="preserve">, </w:t>
      </w:r>
      <w:r w:rsidR="008F19AA">
        <w:rPr>
          <w:rFonts w:ascii="Intel Clear" w:hAnsi="Intel Clear" w:cs="Intel Clear"/>
          <w:bCs/>
        </w:rPr>
        <w:t>RAN WG 2</w:t>
      </w:r>
    </w:p>
    <w:p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DA4F05" w:rsidRPr="009312D4">
        <w:rPr>
          <w:rFonts w:ascii="Intel Clear" w:hAnsi="Intel Clear" w:cs="Intel Clear"/>
          <w:b/>
        </w:rPr>
        <w:t>Jie Cui</w:t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824CD3" w:rsidRPr="009312D4">
        <w:rPr>
          <w:rFonts w:ascii="Intel Clear" w:hAnsi="Intel Clear" w:cs="Intel Clear"/>
          <w:b/>
        </w:rPr>
        <w:t>jie.cui@intel.com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:rsidR="008810E2" w:rsidRDefault="006D1913" w:rsidP="00ED3112">
      <w:pPr>
        <w:rPr>
          <w:rFonts w:ascii="Intel Clear" w:hAnsi="Intel Clear" w:cs="Intel Clear"/>
        </w:rPr>
      </w:pPr>
      <w:r w:rsidRPr="00BF2F77">
        <w:rPr>
          <w:rFonts w:ascii="Intel Clear" w:hAnsi="Intel Clear" w:cs="Intel Clear"/>
        </w:rPr>
        <w:t xml:space="preserve">During </w:t>
      </w:r>
      <w:r w:rsidR="00072010" w:rsidRPr="00BF2F77">
        <w:rPr>
          <w:rFonts w:ascii="Intel Clear" w:hAnsi="Intel Clear" w:cs="Intel Clear"/>
        </w:rPr>
        <w:t xml:space="preserve">RAN4#88Bis, </w:t>
      </w:r>
      <w:r w:rsidR="001E3C14" w:rsidRPr="00BF2F77">
        <w:rPr>
          <w:rFonts w:ascii="Intel Clear" w:hAnsi="Intel Clear" w:cs="Intel Clear"/>
        </w:rPr>
        <w:t>RAN4 has sent a LS</w:t>
      </w:r>
      <w:r w:rsidR="00CE60B6" w:rsidRPr="00BF2F77">
        <w:rPr>
          <w:rFonts w:ascii="Intel Clear" w:hAnsi="Intel Clear" w:cs="Intel Clear"/>
        </w:rPr>
        <w:t xml:space="preserve"> (R4-1813862)</w:t>
      </w:r>
      <w:r w:rsidR="001E3C14" w:rsidRPr="00BF2F77">
        <w:rPr>
          <w:rFonts w:ascii="Intel Clear" w:hAnsi="Intel Clear" w:cs="Intel Clear"/>
        </w:rPr>
        <w:t xml:space="preserve"> on intra-band combination for NR-CA and MR-DC to RAN2.</w:t>
      </w:r>
      <w:r w:rsidR="00072010" w:rsidRPr="00BF2F77">
        <w:rPr>
          <w:rFonts w:ascii="Intel Clear" w:hAnsi="Intel Clear" w:cs="Intel Clear"/>
        </w:rPr>
        <w:t xml:space="preserve"> </w:t>
      </w:r>
      <w:r w:rsidR="008768A4">
        <w:rPr>
          <w:rFonts w:ascii="Intel Clear" w:hAnsi="Intel Clear" w:cs="Intel Clear"/>
        </w:rPr>
        <w:t>R</w:t>
      </w:r>
      <w:r w:rsidR="001E3C14" w:rsidRPr="00BF2F77">
        <w:rPr>
          <w:rFonts w:ascii="Intel Clear" w:hAnsi="Intel Clear" w:cs="Intel Clear"/>
        </w:rPr>
        <w:t xml:space="preserve">egarding </w:t>
      </w:r>
      <w:r w:rsidR="001D49C5">
        <w:rPr>
          <w:rFonts w:ascii="Intel Clear" w:hAnsi="Intel Clear" w:cs="Intel Clear"/>
        </w:rPr>
        <w:t xml:space="preserve">on </w:t>
      </w:r>
      <w:r w:rsidR="00E971BC" w:rsidRPr="00BF2F77">
        <w:rPr>
          <w:rFonts w:ascii="Intel Clear" w:hAnsi="Intel Clear" w:cs="Intel Clear"/>
        </w:rPr>
        <w:t>the</w:t>
      </w:r>
      <w:r w:rsidR="001E3C14" w:rsidRPr="00BF2F77">
        <w:rPr>
          <w:rFonts w:ascii="Intel Clear" w:hAnsi="Intel Clear" w:cs="Intel Clear"/>
        </w:rPr>
        <w:t xml:space="preserve"> contents related to Question 3 “Handling of TA i</w:t>
      </w:r>
      <w:r w:rsidR="001D49C5">
        <w:rPr>
          <w:rFonts w:ascii="Intel Clear" w:hAnsi="Intel Clear" w:cs="Intel Clear"/>
        </w:rPr>
        <w:t>n Synchronous MR-DC” in the LS</w:t>
      </w:r>
      <w:r w:rsidR="008768A4">
        <w:rPr>
          <w:rFonts w:ascii="Intel Clear" w:hAnsi="Intel Clear" w:cs="Intel Clear"/>
        </w:rPr>
        <w:t xml:space="preserve">, RAN4 has made the following </w:t>
      </w:r>
      <w:r w:rsidR="001D49C5">
        <w:rPr>
          <w:rFonts w:ascii="Intel Clear" w:hAnsi="Intel Clear" w:cs="Intel Clear"/>
        </w:rPr>
        <w:t>conclusion</w:t>
      </w:r>
      <w:r w:rsidR="001E3C14" w:rsidRPr="00BF2F77">
        <w:rPr>
          <w:rFonts w:ascii="Intel Clear" w:hAnsi="Intel Clear" w:cs="Intel Clear"/>
        </w:rPr>
        <w:t>.</w:t>
      </w:r>
    </w:p>
    <w:p w:rsidR="007A4819" w:rsidRDefault="00346D08" w:rsidP="00ED3112">
      <w:pPr>
        <w:rPr>
          <w:rFonts w:ascii="Intel Clear" w:hAnsi="Intel Clear" w:cs="Intel Clear"/>
        </w:rPr>
      </w:pPr>
      <w:r w:rsidRPr="00AF5A33">
        <w:rPr>
          <w:rFonts w:ascii="Intel Clear" w:hAnsi="Intel Clear" w:cs="Intel Clear"/>
        </w:rPr>
        <w:t xml:space="preserve">For intra-band EN-DC, only collocated deployment is </w:t>
      </w:r>
      <w:r w:rsidR="00D02CAB" w:rsidRPr="00AF5A33">
        <w:rPr>
          <w:rFonts w:ascii="Intel Clear" w:hAnsi="Intel Clear" w:cs="Intel Clear"/>
        </w:rPr>
        <w:t>assumed.</w:t>
      </w:r>
      <w:r w:rsidRPr="00D91482">
        <w:rPr>
          <w:rFonts w:ascii="Intel Clear" w:hAnsi="Intel Clear" w:cs="Intel Clear"/>
        </w:rPr>
        <w:t xml:space="preserve"> </w:t>
      </w:r>
      <w:r w:rsidR="007A4819">
        <w:rPr>
          <w:rFonts w:ascii="Intel Clear" w:hAnsi="Intel Clear" w:cs="Intel Clear"/>
        </w:rPr>
        <w:t xml:space="preserve">The MTTD requirements for intra-band </w:t>
      </w:r>
      <w:r w:rsidR="007A4819" w:rsidRPr="007A4819">
        <w:rPr>
          <w:rFonts w:ascii="Intel Clear" w:hAnsi="Intel Clear" w:cs="Intel Clear"/>
        </w:rPr>
        <w:t xml:space="preserve">synchronous </w:t>
      </w:r>
      <w:r w:rsidR="007A4819">
        <w:rPr>
          <w:rFonts w:ascii="Intel Clear" w:hAnsi="Intel Clear" w:cs="Intel Clear"/>
        </w:rPr>
        <w:t>EN-DC are defined in RAN4 as below,</w:t>
      </w:r>
    </w:p>
    <w:p w:rsidR="00C76D41" w:rsidRDefault="00C76D41" w:rsidP="00C76D41">
      <w:pPr>
        <w:pStyle w:val="TH"/>
        <w:rPr>
          <w:snapToGrid w:val="0"/>
        </w:rPr>
      </w:pPr>
      <w:r>
        <w:rPr>
          <w:snapToGrid w:val="0"/>
        </w:rPr>
        <w:t xml:space="preserve">Table 7.5.3-1 Maximum uplink transmission timing difference requirement for intra-band synchronous </w:t>
      </w:r>
      <w:r>
        <w:rPr>
          <w:snapToGrid w:val="0"/>
          <w:lang w:eastAsia="zh-CN"/>
        </w:rPr>
        <w:t>EN-DC</w:t>
      </w: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76D41" w:rsidTr="000559F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H"/>
            </w:pPr>
            <w:r>
              <w:t>Sub-carrier spacing in E-UTRA PCell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H"/>
            </w:pPr>
            <w:r>
              <w:t>UL Sub-carrier spacing for data in PSCell (kHz)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H"/>
            </w:pPr>
            <w:r>
              <w:t>Maximum uplink transmission timing difference (µs)</w:t>
            </w:r>
          </w:p>
        </w:tc>
      </w:tr>
      <w:tr w:rsidR="00C76D41" w:rsidTr="000559F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rPr>
                <w:lang w:eastAsia="zh-CN"/>
              </w:rPr>
              <w:t>[</w:t>
            </w:r>
            <w:r>
              <w:t>5.21]</w:t>
            </w:r>
            <w:r>
              <w:rPr>
                <w:vertAlign w:val="superscript"/>
              </w:rPr>
              <w:t>Note1</w:t>
            </w:r>
          </w:p>
        </w:tc>
      </w:tr>
      <w:tr w:rsidR="00C76D41" w:rsidTr="000559F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 w:rsidP="000559F1">
            <w:pPr>
              <w:pStyle w:val="TAC"/>
            </w:pPr>
            <w:r>
              <w:t xml:space="preserve">[5.21] </w:t>
            </w:r>
          </w:p>
        </w:tc>
      </w:tr>
      <w:tr w:rsidR="00C76D41" w:rsidTr="000559F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 w:rsidP="000559F1">
            <w:pPr>
              <w:pStyle w:val="TAC"/>
            </w:pPr>
            <w:r>
              <w:t>[5.21]</w:t>
            </w:r>
            <w:r>
              <w:rPr>
                <w:vertAlign w:val="superscript"/>
              </w:rPr>
              <w:t xml:space="preserve"> </w:t>
            </w:r>
          </w:p>
        </w:tc>
      </w:tr>
      <w:tr w:rsidR="00C76D41" w:rsidTr="000559F1"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</w:rPr>
              <w:t>1:</w:t>
            </w:r>
            <w:r>
              <w:rPr>
                <w:lang w:eastAsia="ko-KR"/>
              </w:rPr>
              <w:tab/>
            </w:r>
            <w:r>
              <w:rPr>
                <w:rFonts w:cs="Arial"/>
                <w:szCs w:val="18"/>
              </w:rPr>
              <w:t>This is not applicable for a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UE </w:t>
            </w:r>
            <w:r>
              <w:t>which</w:t>
            </w:r>
            <w:r>
              <w:rPr>
                <w:rFonts w:cs="Arial"/>
                <w:szCs w:val="18"/>
              </w:rPr>
              <w:t xml:space="preserve"> indicates the capability of only supporting single UL timing (</w:t>
            </w:r>
            <w:r>
              <w:rPr>
                <w:rFonts w:cs="Arial"/>
                <w:i/>
                <w:szCs w:val="18"/>
              </w:rPr>
              <w:t xml:space="preserve">ul-TimingAlignmentEUTRA-NR </w:t>
            </w:r>
            <w:r>
              <w:rPr>
                <w:rFonts w:cs="Arial"/>
                <w:szCs w:val="18"/>
              </w:rPr>
              <w:t>is signalled). Single UL timing for E-UTRA and NR cell is assumed for this UE.</w:t>
            </w:r>
          </w:p>
        </w:tc>
      </w:tr>
    </w:tbl>
    <w:p w:rsidR="000559F1" w:rsidRPr="00AC3DFE" w:rsidRDefault="00633401" w:rsidP="00AC3DFE">
      <w:pPr>
        <w:rPr>
          <w:i/>
        </w:rPr>
      </w:pPr>
      <w:r w:rsidRPr="00CD3E4C">
        <w:rPr>
          <w:i/>
        </w:rPr>
        <w:t>Edito</w:t>
      </w:r>
      <w:r>
        <w:rPr>
          <w:i/>
        </w:rPr>
        <w:t>r</w:t>
      </w:r>
      <w:r w:rsidRPr="00CD3E4C">
        <w:rPr>
          <w:i/>
        </w:rPr>
        <w:t xml:space="preserve">’s Note: </w:t>
      </w:r>
      <w:r>
        <w:rPr>
          <w:i/>
        </w:rPr>
        <w:t>UE transmit signal quality degradation could be expected if the maximum transmit time difference exceeds a certain threshold. The threshold and how to specify corresponding requirements is FFS</w:t>
      </w:r>
      <w:bookmarkStart w:id="0" w:name="_GoBack"/>
      <w:bookmarkEnd w:id="0"/>
    </w:p>
    <w:p w:rsidR="007A4819" w:rsidRDefault="007A4819" w:rsidP="00ED3112">
      <w:pPr>
        <w:rPr>
          <w:rFonts w:ascii="Intel Clear" w:hAnsi="Intel Clear" w:cs="Intel Clear"/>
        </w:rPr>
      </w:pPr>
    </w:p>
    <w:p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WG1, WG2 group.</w:t>
      </w:r>
    </w:p>
    <w:p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lastRenderedPageBreak/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RAN1 and RAN2 to </w:t>
      </w:r>
      <w:r w:rsidR="00322830" w:rsidRPr="00BF2F77">
        <w:rPr>
          <w:rFonts w:ascii="Intel Clear" w:hAnsi="Intel Clear" w:cs="Intel Clear"/>
        </w:rPr>
        <w:t>take the above information into account.</w:t>
      </w:r>
    </w:p>
    <w:p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:rsidR="00D05630" w:rsidRPr="00521626" w:rsidRDefault="00D05630" w:rsidP="00D05630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  <w:t>26th – 30th Aug 2019   Ljubljana, SI</w:t>
      </w:r>
    </w:p>
    <w:p w:rsidR="00D05630" w:rsidRPr="00521626" w:rsidRDefault="00D05630" w:rsidP="00D05630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>
        <w:rPr>
          <w:rFonts w:ascii="Intel Clear" w:hAnsi="Intel Clear" w:cs="Intel Clear"/>
        </w:rPr>
        <w:t>bis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14</w:t>
      </w:r>
      <w:r w:rsidRPr="00521626">
        <w:rPr>
          <w:rFonts w:ascii="Intel Clear" w:hAnsi="Intel Clear" w:cs="Intel Clear"/>
        </w:rPr>
        <w:t xml:space="preserve">th – </w:t>
      </w:r>
      <w:r>
        <w:rPr>
          <w:rFonts w:ascii="Intel Clear" w:hAnsi="Intel Clear" w:cs="Intel Clear"/>
        </w:rPr>
        <w:t>18</w:t>
      </w:r>
      <w:r w:rsidRPr="00521626">
        <w:rPr>
          <w:rFonts w:ascii="Intel Clear" w:hAnsi="Intel Clear" w:cs="Intel Clear"/>
        </w:rPr>
        <w:t xml:space="preserve">th </w:t>
      </w:r>
      <w:r>
        <w:rPr>
          <w:rFonts w:ascii="Intel Clear" w:hAnsi="Intel Clear" w:cs="Intel Clear"/>
        </w:rPr>
        <w:t>Oct</w:t>
      </w:r>
      <w:r w:rsidRPr="00521626">
        <w:rPr>
          <w:rFonts w:ascii="Intel Clear" w:hAnsi="Intel Clear" w:cs="Intel Clear"/>
        </w:rPr>
        <w:t xml:space="preserve"> 2019   </w:t>
      </w:r>
      <w:r>
        <w:rPr>
          <w:rFonts w:ascii="Intel Clear" w:hAnsi="Intel Clear" w:cs="Intel Clear"/>
        </w:rPr>
        <w:t xml:space="preserve"> China</w:t>
      </w:r>
    </w:p>
    <w:p w:rsidR="00CD2B04" w:rsidRPr="006A0712" w:rsidRDefault="00CD2B04" w:rsidP="00E41DB4">
      <w:pPr>
        <w:widowControl w:val="0"/>
        <w:overflowPunct/>
        <w:autoSpaceDE/>
        <w:adjustRightInd/>
        <w:jc w:val="both"/>
        <w:textAlignment w:val="auto"/>
        <w:rPr>
          <w:rFonts w:ascii="Intel Clear" w:eastAsia="MS Mincho" w:hAnsi="Intel Clear" w:cs="Intel Clear"/>
          <w:lang w:bidi="hi-IN"/>
        </w:rPr>
      </w:pPr>
    </w:p>
    <w:sectPr w:rsidR="00CD2B04" w:rsidRPr="006A0712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0C6" w:rsidRDefault="001140C6">
      <w:r>
        <w:separator/>
      </w:r>
    </w:p>
  </w:endnote>
  <w:endnote w:type="continuationSeparator" w:id="0">
    <w:p w:rsidR="001140C6" w:rsidRDefault="001140C6">
      <w:r>
        <w:continuationSeparator/>
      </w:r>
    </w:p>
  </w:endnote>
  <w:endnote w:type="continuationNotice" w:id="1">
    <w:p w:rsidR="001140C6" w:rsidRDefault="001140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340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3401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0C6" w:rsidRDefault="001140C6">
      <w:r>
        <w:separator/>
      </w:r>
    </w:p>
  </w:footnote>
  <w:footnote w:type="continuationSeparator" w:id="0">
    <w:p w:rsidR="001140C6" w:rsidRDefault="001140C6">
      <w:r>
        <w:continuationSeparator/>
      </w:r>
    </w:p>
  </w:footnote>
  <w:footnote w:type="continuationNotice" w:id="1">
    <w:p w:rsidR="001140C6" w:rsidRDefault="001140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8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0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2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5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24"/>
  </w:num>
  <w:num w:numId="4">
    <w:abstractNumId w:val="1"/>
  </w:num>
  <w:num w:numId="5">
    <w:abstractNumId w:val="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1"/>
  </w:num>
  <w:num w:numId="9">
    <w:abstractNumId w:val="12"/>
  </w:num>
  <w:num w:numId="10">
    <w:abstractNumId w:val="9"/>
  </w:num>
  <w:num w:numId="11">
    <w:abstractNumId w:val="26"/>
  </w:num>
  <w:num w:numId="12">
    <w:abstractNumId w:val="47"/>
  </w:num>
  <w:num w:numId="13">
    <w:abstractNumId w:val="37"/>
  </w:num>
  <w:num w:numId="14">
    <w:abstractNumId w:val="25"/>
  </w:num>
  <w:num w:numId="15">
    <w:abstractNumId w:val="5"/>
  </w:num>
  <w:num w:numId="16">
    <w:abstractNumId w:val="7"/>
  </w:num>
  <w:num w:numId="17">
    <w:abstractNumId w:val="45"/>
  </w:num>
  <w:num w:numId="18">
    <w:abstractNumId w:val="39"/>
  </w:num>
  <w:num w:numId="19">
    <w:abstractNumId w:val="41"/>
  </w:num>
  <w:num w:numId="20">
    <w:abstractNumId w:val="33"/>
  </w:num>
  <w:num w:numId="21">
    <w:abstractNumId w:val="40"/>
  </w:num>
  <w:num w:numId="22">
    <w:abstractNumId w:val="18"/>
  </w:num>
  <w:num w:numId="23">
    <w:abstractNumId w:val="15"/>
  </w:num>
  <w:num w:numId="24">
    <w:abstractNumId w:val="36"/>
  </w:num>
  <w:num w:numId="25">
    <w:abstractNumId w:val="46"/>
  </w:num>
  <w:num w:numId="26">
    <w:abstractNumId w:val="30"/>
  </w:num>
  <w:num w:numId="27">
    <w:abstractNumId w:val="28"/>
  </w:num>
  <w:num w:numId="28">
    <w:abstractNumId w:val="43"/>
  </w:num>
  <w:num w:numId="29">
    <w:abstractNumId w:val="21"/>
  </w:num>
  <w:num w:numId="30">
    <w:abstractNumId w:val="4"/>
  </w:num>
  <w:num w:numId="31">
    <w:abstractNumId w:val="42"/>
  </w:num>
  <w:num w:numId="32">
    <w:abstractNumId w:val="23"/>
  </w:num>
  <w:num w:numId="33">
    <w:abstractNumId w:val="38"/>
  </w:num>
  <w:num w:numId="34">
    <w:abstractNumId w:val="32"/>
  </w:num>
  <w:num w:numId="35">
    <w:abstractNumId w:val="13"/>
  </w:num>
  <w:num w:numId="36">
    <w:abstractNumId w:val="44"/>
  </w:num>
  <w:num w:numId="37">
    <w:abstractNumId w:val="19"/>
  </w:num>
  <w:num w:numId="38">
    <w:abstractNumId w:val="3"/>
  </w:num>
  <w:num w:numId="39">
    <w:abstractNumId w:val="17"/>
  </w:num>
  <w:num w:numId="40">
    <w:abstractNumId w:val="10"/>
  </w:num>
  <w:num w:numId="41">
    <w:abstractNumId w:val="34"/>
  </w:num>
  <w:num w:numId="42">
    <w:abstractNumId w:val="16"/>
  </w:num>
  <w:num w:numId="43">
    <w:abstractNumId w:val="14"/>
  </w:num>
  <w:num w:numId="44">
    <w:abstractNumId w:val="27"/>
  </w:num>
  <w:num w:numId="45">
    <w:abstractNumId w:val="31"/>
  </w:num>
  <w:num w:numId="46">
    <w:abstractNumId w:val="35"/>
  </w:num>
  <w:num w:numId="47">
    <w:abstractNumId w:val="2"/>
  </w:num>
  <w:num w:numId="4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987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9F1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FAC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2D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C6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4F7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BE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37F8A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464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6E8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5DB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61A"/>
    <w:rsid w:val="00515907"/>
    <w:rsid w:val="00515E2B"/>
    <w:rsid w:val="00516B96"/>
    <w:rsid w:val="005173A4"/>
    <w:rsid w:val="0051770E"/>
    <w:rsid w:val="00517B28"/>
    <w:rsid w:val="0052001B"/>
    <w:rsid w:val="005205C8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054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401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4A5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74E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4F6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984"/>
    <w:rsid w:val="009A1E77"/>
    <w:rsid w:val="009A1FBC"/>
    <w:rsid w:val="009A20C4"/>
    <w:rsid w:val="009A20F1"/>
    <w:rsid w:val="009A2180"/>
    <w:rsid w:val="009A246A"/>
    <w:rsid w:val="009A2817"/>
    <w:rsid w:val="009A2D6B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3DFE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6D41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C36"/>
    <w:rsid w:val="00D02CAB"/>
    <w:rsid w:val="00D02E17"/>
    <w:rsid w:val="00D03E71"/>
    <w:rsid w:val="00D0407B"/>
    <w:rsid w:val="00D04FC8"/>
    <w:rsid w:val="00D05393"/>
    <w:rsid w:val="00D05630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0C0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,"/>
  <w14:docId w14:val="6CE9E5FF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4A5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1"/>
    <w:qFormat/>
    <w:rsid w:val="00634A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34A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34A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634A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34A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4A55"/>
    <w:pPr>
      <w:outlineLvl w:val="5"/>
    </w:pPr>
  </w:style>
  <w:style w:type="paragraph" w:styleId="Heading7">
    <w:name w:val="heading 7"/>
    <w:basedOn w:val="H6"/>
    <w:next w:val="Normal"/>
    <w:qFormat/>
    <w:rsid w:val="00634A55"/>
    <w:pPr>
      <w:outlineLvl w:val="6"/>
    </w:pPr>
  </w:style>
  <w:style w:type="paragraph" w:styleId="Heading8">
    <w:name w:val="heading 8"/>
    <w:basedOn w:val="Heading1"/>
    <w:next w:val="Normal"/>
    <w:qFormat/>
    <w:rsid w:val="00634A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4A55"/>
    <w:pPr>
      <w:outlineLvl w:val="8"/>
    </w:pPr>
  </w:style>
  <w:style w:type="character" w:default="1" w:styleId="DefaultParagraphFont">
    <w:name w:val="Default Paragraph Font"/>
    <w:semiHidden/>
    <w:rsid w:val="00634A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4A55"/>
  </w:style>
  <w:style w:type="paragraph" w:styleId="TOC8">
    <w:name w:val="toc 8"/>
    <w:basedOn w:val="TOC1"/>
    <w:semiHidden/>
    <w:rsid w:val="00634A55"/>
    <w:pPr>
      <w:spacing w:before="180"/>
      <w:ind w:left="2693" w:hanging="2693"/>
    </w:pPr>
    <w:rPr>
      <w:b/>
    </w:rPr>
  </w:style>
  <w:style w:type="paragraph" w:styleId="TOC1">
    <w:name w:val="toc 1"/>
    <w:semiHidden/>
    <w:rsid w:val="00634A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34A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34A55"/>
    <w:pPr>
      <w:ind w:left="1701" w:hanging="1701"/>
    </w:pPr>
  </w:style>
  <w:style w:type="paragraph" w:styleId="TOC4">
    <w:name w:val="toc 4"/>
    <w:basedOn w:val="TOC3"/>
    <w:semiHidden/>
    <w:rsid w:val="00634A55"/>
    <w:pPr>
      <w:ind w:left="1418" w:hanging="1418"/>
    </w:pPr>
  </w:style>
  <w:style w:type="paragraph" w:styleId="TOC3">
    <w:name w:val="toc 3"/>
    <w:basedOn w:val="TOC2"/>
    <w:semiHidden/>
    <w:rsid w:val="00634A55"/>
    <w:pPr>
      <w:ind w:left="1134" w:hanging="1134"/>
    </w:pPr>
  </w:style>
  <w:style w:type="paragraph" w:styleId="TOC2">
    <w:name w:val="toc 2"/>
    <w:basedOn w:val="TOC1"/>
    <w:semiHidden/>
    <w:rsid w:val="00634A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4A55"/>
    <w:pPr>
      <w:ind w:left="284"/>
    </w:pPr>
  </w:style>
  <w:style w:type="paragraph" w:styleId="Index1">
    <w:name w:val="index 1"/>
    <w:basedOn w:val="Normal"/>
    <w:semiHidden/>
    <w:rsid w:val="00634A55"/>
    <w:pPr>
      <w:keepLines/>
      <w:spacing w:after="0"/>
    </w:pPr>
  </w:style>
  <w:style w:type="paragraph" w:customStyle="1" w:styleId="ZH">
    <w:name w:val="ZH"/>
    <w:rsid w:val="00634A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34A55"/>
    <w:pPr>
      <w:outlineLvl w:val="9"/>
    </w:pPr>
  </w:style>
  <w:style w:type="paragraph" w:styleId="ListNumber2">
    <w:name w:val="List Number 2"/>
    <w:basedOn w:val="ListNumber"/>
    <w:rsid w:val="00634A55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34A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634A55"/>
    <w:rPr>
      <w:b/>
      <w:position w:val="6"/>
      <w:sz w:val="16"/>
    </w:rPr>
  </w:style>
  <w:style w:type="paragraph" w:styleId="FootnoteText">
    <w:name w:val="footnote text"/>
    <w:basedOn w:val="Normal"/>
    <w:semiHidden/>
    <w:rsid w:val="00634A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34A55"/>
    <w:rPr>
      <w:b/>
    </w:rPr>
  </w:style>
  <w:style w:type="paragraph" w:customStyle="1" w:styleId="TAC">
    <w:name w:val="TAC"/>
    <w:basedOn w:val="TAL"/>
    <w:link w:val="TACChar"/>
    <w:rsid w:val="00634A55"/>
    <w:pPr>
      <w:jc w:val="center"/>
    </w:pPr>
  </w:style>
  <w:style w:type="paragraph" w:customStyle="1" w:styleId="TF">
    <w:name w:val="TF"/>
    <w:basedOn w:val="TH"/>
    <w:rsid w:val="00634A55"/>
    <w:pPr>
      <w:keepNext w:val="0"/>
      <w:spacing w:before="0" w:after="240"/>
    </w:pPr>
  </w:style>
  <w:style w:type="paragraph" w:customStyle="1" w:styleId="NO">
    <w:name w:val="NO"/>
    <w:basedOn w:val="Normal"/>
    <w:rsid w:val="00634A55"/>
    <w:pPr>
      <w:keepLines/>
      <w:ind w:left="1135" w:hanging="851"/>
    </w:pPr>
  </w:style>
  <w:style w:type="paragraph" w:styleId="TOC9">
    <w:name w:val="toc 9"/>
    <w:basedOn w:val="TOC8"/>
    <w:semiHidden/>
    <w:rsid w:val="00634A55"/>
    <w:pPr>
      <w:ind w:left="1418" w:hanging="1418"/>
    </w:pPr>
  </w:style>
  <w:style w:type="paragraph" w:customStyle="1" w:styleId="EX">
    <w:name w:val="EX"/>
    <w:basedOn w:val="Normal"/>
    <w:rsid w:val="00634A55"/>
    <w:pPr>
      <w:keepLines/>
      <w:ind w:left="1702" w:hanging="1418"/>
    </w:pPr>
  </w:style>
  <w:style w:type="paragraph" w:customStyle="1" w:styleId="FP">
    <w:name w:val="FP"/>
    <w:basedOn w:val="Normal"/>
    <w:rsid w:val="00634A55"/>
    <w:pPr>
      <w:spacing w:after="0"/>
    </w:pPr>
  </w:style>
  <w:style w:type="paragraph" w:customStyle="1" w:styleId="LD">
    <w:name w:val="LD"/>
    <w:rsid w:val="00634A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34A55"/>
    <w:pPr>
      <w:spacing w:after="0"/>
    </w:pPr>
  </w:style>
  <w:style w:type="paragraph" w:customStyle="1" w:styleId="EW">
    <w:name w:val="EW"/>
    <w:basedOn w:val="EX"/>
    <w:rsid w:val="00634A55"/>
    <w:pPr>
      <w:spacing w:after="0"/>
    </w:pPr>
  </w:style>
  <w:style w:type="paragraph" w:styleId="TOC6">
    <w:name w:val="toc 6"/>
    <w:basedOn w:val="TOC5"/>
    <w:next w:val="Normal"/>
    <w:semiHidden/>
    <w:rsid w:val="00634A55"/>
    <w:pPr>
      <w:ind w:left="1985" w:hanging="1985"/>
    </w:pPr>
  </w:style>
  <w:style w:type="paragraph" w:styleId="TOC7">
    <w:name w:val="toc 7"/>
    <w:basedOn w:val="TOC6"/>
    <w:next w:val="Normal"/>
    <w:semiHidden/>
    <w:rsid w:val="00634A55"/>
    <w:pPr>
      <w:ind w:left="2268" w:hanging="2268"/>
    </w:pPr>
  </w:style>
  <w:style w:type="paragraph" w:styleId="ListBullet2">
    <w:name w:val="List Bullet 2"/>
    <w:basedOn w:val="ListBullet"/>
    <w:rsid w:val="00634A55"/>
    <w:pPr>
      <w:ind w:left="851"/>
    </w:pPr>
  </w:style>
  <w:style w:type="paragraph" w:styleId="ListBullet3">
    <w:name w:val="List Bullet 3"/>
    <w:basedOn w:val="ListBullet2"/>
    <w:rsid w:val="00634A55"/>
    <w:pPr>
      <w:ind w:left="1135"/>
    </w:pPr>
  </w:style>
  <w:style w:type="paragraph" w:styleId="ListNumber">
    <w:name w:val="List Number"/>
    <w:basedOn w:val="List"/>
    <w:rsid w:val="00634A55"/>
  </w:style>
  <w:style w:type="paragraph" w:customStyle="1" w:styleId="EQ">
    <w:name w:val="EQ"/>
    <w:basedOn w:val="Normal"/>
    <w:next w:val="Normal"/>
    <w:rsid w:val="00634A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34A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4A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4A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34A55"/>
    <w:pPr>
      <w:jc w:val="right"/>
    </w:pPr>
  </w:style>
  <w:style w:type="paragraph" w:customStyle="1" w:styleId="H6">
    <w:name w:val="H6"/>
    <w:basedOn w:val="Heading5"/>
    <w:next w:val="Normal"/>
    <w:rsid w:val="00634A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34A55"/>
    <w:pPr>
      <w:ind w:left="851" w:hanging="851"/>
    </w:pPr>
  </w:style>
  <w:style w:type="paragraph" w:customStyle="1" w:styleId="TAL">
    <w:name w:val="TAL"/>
    <w:basedOn w:val="Normal"/>
    <w:link w:val="TALCar"/>
    <w:rsid w:val="00634A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34A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34A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34A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34A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34A55"/>
    <w:pPr>
      <w:framePr w:wrap="notBeside" w:y="16161"/>
    </w:pPr>
  </w:style>
  <w:style w:type="character" w:customStyle="1" w:styleId="ZGSM">
    <w:name w:val="ZGSM"/>
    <w:rsid w:val="00634A55"/>
  </w:style>
  <w:style w:type="paragraph" w:styleId="List2">
    <w:name w:val="List 2"/>
    <w:basedOn w:val="List"/>
    <w:rsid w:val="00634A55"/>
    <w:pPr>
      <w:ind w:left="851"/>
    </w:pPr>
  </w:style>
  <w:style w:type="paragraph" w:customStyle="1" w:styleId="ZG">
    <w:name w:val="ZG"/>
    <w:rsid w:val="00634A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34A55"/>
    <w:pPr>
      <w:ind w:left="1135"/>
    </w:pPr>
  </w:style>
  <w:style w:type="paragraph" w:styleId="List4">
    <w:name w:val="List 4"/>
    <w:basedOn w:val="List3"/>
    <w:rsid w:val="00634A55"/>
    <w:pPr>
      <w:ind w:left="1418"/>
    </w:pPr>
  </w:style>
  <w:style w:type="paragraph" w:styleId="List5">
    <w:name w:val="List 5"/>
    <w:basedOn w:val="List4"/>
    <w:rsid w:val="00634A55"/>
    <w:pPr>
      <w:ind w:left="1702"/>
    </w:pPr>
  </w:style>
  <w:style w:type="paragraph" w:customStyle="1" w:styleId="EditorsNote">
    <w:name w:val="Editor's Note"/>
    <w:basedOn w:val="NO"/>
    <w:rsid w:val="00634A55"/>
    <w:rPr>
      <w:color w:val="FF0000"/>
    </w:rPr>
  </w:style>
  <w:style w:type="paragraph" w:styleId="List">
    <w:name w:val="List"/>
    <w:basedOn w:val="Normal"/>
    <w:rsid w:val="00634A55"/>
    <w:pPr>
      <w:ind w:left="568" w:hanging="284"/>
    </w:pPr>
  </w:style>
  <w:style w:type="paragraph" w:styleId="ListBullet">
    <w:name w:val="List Bullet"/>
    <w:basedOn w:val="List"/>
    <w:rsid w:val="00634A55"/>
  </w:style>
  <w:style w:type="paragraph" w:styleId="ListBullet4">
    <w:name w:val="List Bullet 4"/>
    <w:basedOn w:val="ListBullet3"/>
    <w:rsid w:val="00634A55"/>
    <w:pPr>
      <w:ind w:left="1418"/>
    </w:pPr>
  </w:style>
  <w:style w:type="paragraph" w:styleId="ListBullet5">
    <w:name w:val="List Bullet 5"/>
    <w:basedOn w:val="ListBullet4"/>
    <w:rsid w:val="00634A55"/>
    <w:pPr>
      <w:ind w:left="1702"/>
    </w:pPr>
  </w:style>
  <w:style w:type="paragraph" w:customStyle="1" w:styleId="B1">
    <w:name w:val="B1"/>
    <w:basedOn w:val="List"/>
    <w:rsid w:val="00634A55"/>
  </w:style>
  <w:style w:type="paragraph" w:customStyle="1" w:styleId="B2">
    <w:name w:val="B2"/>
    <w:basedOn w:val="List2"/>
    <w:rsid w:val="00634A55"/>
  </w:style>
  <w:style w:type="paragraph" w:customStyle="1" w:styleId="B3">
    <w:name w:val="B3"/>
    <w:basedOn w:val="List3"/>
    <w:rsid w:val="00634A55"/>
  </w:style>
  <w:style w:type="paragraph" w:customStyle="1" w:styleId="B4">
    <w:name w:val="B4"/>
    <w:basedOn w:val="List4"/>
    <w:rsid w:val="00634A55"/>
  </w:style>
  <w:style w:type="paragraph" w:customStyle="1" w:styleId="B5">
    <w:name w:val="B5"/>
    <w:basedOn w:val="List5"/>
    <w:rsid w:val="00634A55"/>
  </w:style>
  <w:style w:type="paragraph" w:styleId="Footer">
    <w:name w:val="footer"/>
    <w:basedOn w:val="Header"/>
    <w:link w:val="FooterChar"/>
    <w:rsid w:val="00634A55"/>
    <w:pPr>
      <w:jc w:val="center"/>
    </w:pPr>
    <w:rPr>
      <w:i/>
    </w:rPr>
  </w:style>
  <w:style w:type="paragraph" w:customStyle="1" w:styleId="ZTD">
    <w:name w:val="ZTD"/>
    <w:basedOn w:val="ZB"/>
    <w:rsid w:val="00634A55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ja-JP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qFormat/>
    <w:rsid w:val="00564F02"/>
    <w:rPr>
      <w:rFonts w:ascii="Arial" w:eastAsia="Times New Roman" w:hAnsi="Arial"/>
      <w:b/>
      <w:lang w:val="en-GB" w:eastAsia="ja-JP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ja-JP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paragraph" w:styleId="ListNumber3">
    <w:name w:val="List Number 3"/>
    <w:basedOn w:val="Normal"/>
    <w:rsid w:val="00D05630"/>
    <w:pPr>
      <w:numPr>
        <w:numId w:val="48"/>
      </w:numPr>
      <w:tabs>
        <w:tab w:val="left" w:pos="926"/>
      </w:tabs>
      <w:ind w:left="926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76549CD-702F-45C2-B204-8A8C1B6D69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C1CEA7-8918-48EB-BF24-1091F7A23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Draft version 4</cp:lastModifiedBy>
  <cp:revision>3</cp:revision>
  <cp:lastPrinted>2016-11-03T02:40:00Z</cp:lastPrinted>
  <dcterms:created xsi:type="dcterms:W3CDTF">2019-07-12T22:07:00Z</dcterms:created>
  <dcterms:modified xsi:type="dcterms:W3CDTF">2019-07-12T22:10:00Z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3484646f-e36d-4ccc-ab0b-c13ea9e1ca37</vt:lpwstr>
  </property>
  <property fmtid="{D5CDD505-2E9C-101B-9397-08002B2CF9AE}" pid="4" name="CTP_TimeStamp">
    <vt:lpwstr>2019-05-17 22:14:25Z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