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w:t>
      </w:r>
      <w:r w:rsidR="00833572">
        <w:rPr>
          <w:rFonts w:ascii="Arial" w:eastAsia="Times New Roman" w:hAnsi="Arial"/>
          <w:b/>
          <w:sz w:val="24"/>
          <w:szCs w:val="24"/>
        </w:rPr>
        <w:t>10</w:t>
      </w:r>
      <w:r w:rsidR="000543A6">
        <w:rPr>
          <w:rFonts w:ascii="Arial" w:eastAsia="Times New Roman" w:hAnsi="Arial"/>
          <w:b/>
          <w:sz w:val="24"/>
          <w:szCs w:val="24"/>
        </w:rPr>
        <w:t>7</w:t>
      </w:r>
      <w:r w:rsidRPr="00341812">
        <w:rPr>
          <w:rFonts w:ascii="Arial" w:eastAsia="Times New Roman" w:hAnsi="Arial"/>
          <w:b/>
          <w:bCs/>
          <w:sz w:val="24"/>
          <w:szCs w:val="24"/>
        </w:rPr>
        <w:tab/>
      </w:r>
      <w:r w:rsidR="0031355F" w:rsidRPr="0031355F">
        <w:rPr>
          <w:rFonts w:ascii="Arial" w:eastAsia="Times New Roman" w:hAnsi="Arial"/>
          <w:b/>
          <w:bCs/>
          <w:sz w:val="24"/>
          <w:szCs w:val="24"/>
        </w:rPr>
        <w:t>R2-1911368</w:t>
      </w:r>
    </w:p>
    <w:p w:rsidR="006D3016" w:rsidRPr="00341812" w:rsidRDefault="000543A6"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1"/>
      <w:r w:rsidR="0091700D" w:rsidRPr="00341812">
        <w:rPr>
          <w:rFonts w:ascii="Arial" w:hAnsi="Arial"/>
          <w:b/>
          <w:sz w:val="24"/>
          <w:szCs w:val="24"/>
        </w:rPr>
        <w:tab/>
      </w:r>
      <w:r w:rsidRPr="00FA21C0">
        <w:rPr>
          <w:rFonts w:ascii="Arial" w:hAnsi="Arial"/>
          <w:b/>
          <w:sz w:val="24"/>
          <w:szCs w:val="24"/>
        </w:rPr>
        <w:t xml:space="preserve">Revision of </w:t>
      </w:r>
      <w:r w:rsidRPr="00D47C24">
        <w:rPr>
          <w:rFonts w:ascii="Arial" w:eastAsia="Times New Roman" w:hAnsi="Arial"/>
          <w:b/>
          <w:bCs/>
          <w:sz w:val="24"/>
          <w:szCs w:val="24"/>
        </w:rPr>
        <w:t>R2-190</w:t>
      </w:r>
      <w:r>
        <w:rPr>
          <w:rFonts w:ascii="Arial" w:eastAsia="Times New Roman" w:hAnsi="Arial"/>
          <w:b/>
          <w:bCs/>
          <w:sz w:val="24"/>
          <w:szCs w:val="24"/>
        </w:rPr>
        <w:t>7914</w:t>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597D59">
        <w:rPr>
          <w:rFonts w:ascii="Arial" w:eastAsia="MS Mincho" w:hAnsi="Arial" w:cs="Arial"/>
          <w:b/>
          <w:bCs/>
          <w:sz w:val="24"/>
        </w:rPr>
        <w:t>3</w:t>
      </w:r>
      <w:r w:rsidR="00332DAA">
        <w:rPr>
          <w:rFonts w:ascii="Arial" w:eastAsia="MS Mincho" w:hAnsi="Arial" w:cs="Arial"/>
          <w:b/>
          <w:bCs/>
          <w:sz w:val="24"/>
        </w:rPr>
        <w:t>.</w:t>
      </w:r>
      <w:r w:rsidR="000543A6">
        <w:rPr>
          <w:rFonts w:ascii="Arial" w:eastAsia="MS Mincho" w:hAnsi="Arial" w:cs="Arial"/>
          <w:b/>
          <w:bCs/>
          <w:sz w:val="24"/>
        </w:rPr>
        <w:t>6</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bookmarkStart w:id="2" w:name="_Hlk16772394"/>
      <w:r w:rsidR="006B31D9">
        <w:rPr>
          <w:rFonts w:ascii="Arial" w:eastAsia="Times New Roman" w:hAnsi="Arial" w:cs="Arial"/>
          <w:b/>
          <w:bCs/>
          <w:sz w:val="24"/>
          <w:lang w:eastAsia="en-US"/>
        </w:rPr>
        <w:t>D</w:t>
      </w:r>
      <w:r w:rsidR="006B31D9" w:rsidRPr="006B31D9">
        <w:rPr>
          <w:rFonts w:ascii="Arial" w:eastAsia="Times New Roman" w:hAnsi="Arial" w:cs="Arial"/>
          <w:b/>
          <w:bCs/>
          <w:sz w:val="24"/>
          <w:lang w:eastAsia="en-US"/>
        </w:rPr>
        <w:t>iscussion on using dedicated preamb</w:t>
      </w:r>
      <w:bookmarkStart w:id="3" w:name="_GoBack"/>
      <w:bookmarkEnd w:id="3"/>
      <w:r w:rsidR="006B31D9" w:rsidRPr="006B31D9">
        <w:rPr>
          <w:rFonts w:ascii="Arial" w:eastAsia="Times New Roman" w:hAnsi="Arial" w:cs="Arial"/>
          <w:b/>
          <w:bCs/>
          <w:sz w:val="24"/>
          <w:lang w:eastAsia="en-US"/>
        </w:rPr>
        <w:t>le for 2-step RACH</w:t>
      </w:r>
      <w:bookmarkEnd w:id="2"/>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4"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4"/>
    </w:p>
    <w:p w:rsidR="00CD1FF7" w:rsidRPr="00341812" w:rsidRDefault="00CD1FF7" w:rsidP="00AE3E14">
      <w:pPr>
        <w:pStyle w:val="Heading1"/>
        <w:rPr>
          <w:lang w:val="en-US"/>
        </w:rPr>
      </w:pPr>
      <w:r w:rsidRPr="00341812">
        <w:rPr>
          <w:lang w:val="en-US"/>
        </w:rPr>
        <w:t>Introduction</w:t>
      </w:r>
    </w:p>
    <w:p w:rsidR="00415507" w:rsidRPr="001E5E9D" w:rsidRDefault="000A03FD" w:rsidP="00370C38">
      <w:pPr>
        <w:spacing w:after="240"/>
        <w:ind w:right="-101"/>
        <w:jc w:val="both"/>
      </w:pPr>
      <w:r w:rsidRPr="001E5E9D">
        <w:t xml:space="preserve">In </w:t>
      </w:r>
      <w:r w:rsidR="001237C2" w:rsidRPr="001E5E9D">
        <w:t xml:space="preserve">current 2-step RACH </w:t>
      </w:r>
      <w:r w:rsidR="000D210F" w:rsidRPr="001E5E9D">
        <w:t>WID</w:t>
      </w:r>
      <w:r w:rsidR="001237C2" w:rsidRPr="001E5E9D">
        <w:t xml:space="preserve">, </w:t>
      </w:r>
      <w:r w:rsidR="000D210F" w:rsidRPr="001E5E9D">
        <w:t>only contention based 2-step RACH (CBRA) is specified</w:t>
      </w:r>
      <w:r w:rsidR="001237C2" w:rsidRPr="001E5E9D">
        <w:t xml:space="preserve"> and studied.</w:t>
      </w:r>
      <w:r w:rsidR="008D0A59" w:rsidRPr="001E5E9D">
        <w:t xml:space="preserve"> In our view, </w:t>
      </w:r>
      <w:r w:rsidR="007C0F40" w:rsidRPr="001E5E9D">
        <w:t xml:space="preserve">network still can configure the dedicated resource for UE to do 2-step RACH (i.e. </w:t>
      </w:r>
      <w:r w:rsidR="008D0A59" w:rsidRPr="001E5E9D">
        <w:t xml:space="preserve">with </w:t>
      </w:r>
      <w:r w:rsidR="007C0F40" w:rsidRPr="001E5E9D">
        <w:t xml:space="preserve">dedicated preamble). </w:t>
      </w:r>
      <w:r w:rsidR="00581CE7" w:rsidRPr="001E5E9D">
        <w:t>We</w:t>
      </w:r>
      <w:r w:rsidR="000D210F" w:rsidRPr="001E5E9D">
        <w:t xml:space="preserve"> do</w:t>
      </w:r>
      <w:r w:rsidR="00581CE7" w:rsidRPr="001E5E9D">
        <w:t xml:space="preserve"> see there are benefit</w:t>
      </w:r>
      <w:r w:rsidR="0087480A" w:rsidRPr="001E5E9D">
        <w:t>s</w:t>
      </w:r>
      <w:r w:rsidR="00581CE7" w:rsidRPr="001E5E9D">
        <w:t xml:space="preserve"> on </w:t>
      </w:r>
      <w:r w:rsidR="000D210F" w:rsidRPr="001E5E9D">
        <w:t>using dedicated preamble for 2-step RACH</w:t>
      </w:r>
      <w:r w:rsidR="00581CE7" w:rsidRPr="001E5E9D">
        <w:t xml:space="preserve"> configured by network in various use case.</w:t>
      </w:r>
      <w:r w:rsidR="00415507" w:rsidRPr="001E5E9D">
        <w:t xml:space="preserve"> </w:t>
      </w:r>
    </w:p>
    <w:p w:rsidR="003921BC" w:rsidRPr="00341812" w:rsidRDefault="00332DAA" w:rsidP="00370C38">
      <w:pPr>
        <w:spacing w:after="240"/>
        <w:ind w:right="-101"/>
        <w:jc w:val="both"/>
      </w:pPr>
      <w:r w:rsidRPr="001E5E9D">
        <w:t>I</w:t>
      </w:r>
      <w:r w:rsidR="003921BC" w:rsidRPr="001E5E9D">
        <w:t>n this paper, we</w:t>
      </w:r>
      <w:r w:rsidR="0012062B" w:rsidRPr="001E5E9D">
        <w:t xml:space="preserve"> would like to </w:t>
      </w:r>
      <w:r w:rsidR="004B2E29" w:rsidRPr="001E5E9D">
        <w:t xml:space="preserve">discuss </w:t>
      </w:r>
      <w:r w:rsidR="001237C2" w:rsidRPr="001E5E9D">
        <w:t>using dedicated preamble for 2-step RACH.</w:t>
      </w:r>
    </w:p>
    <w:p w:rsidR="00AE3E14" w:rsidRPr="00341812" w:rsidRDefault="00AE3E14" w:rsidP="00AE3E14">
      <w:pPr>
        <w:pStyle w:val="Heading1"/>
        <w:rPr>
          <w:lang w:val="en-US"/>
        </w:rPr>
      </w:pPr>
      <w:r w:rsidRPr="00341812">
        <w:rPr>
          <w:lang w:val="en-US"/>
        </w:rPr>
        <w:t>Discussion</w:t>
      </w:r>
    </w:p>
    <w:p w:rsidR="00370C38" w:rsidRPr="001E5E9D" w:rsidRDefault="00553570" w:rsidP="004B2E29">
      <w:pPr>
        <w:jc w:val="both"/>
      </w:pPr>
      <w:r w:rsidRPr="001E5E9D">
        <w:t xml:space="preserve">In the WID of 2-step RACH for NR in Rel-16, it has been indicated that all triggers for Rel-15 NR 4-step RACH are applied for 2-step RACH only except for SI Request and BFR which can be further discussed in RAN2. In the last RAN2 #105bis meeting, RAN2 </w:t>
      </w:r>
      <w:r w:rsidR="005D25FF" w:rsidRPr="001E5E9D">
        <w:t xml:space="preserve">has </w:t>
      </w:r>
      <w:r w:rsidRPr="001E5E9D">
        <w:t xml:space="preserve">made the agreement that msg3 based SI </w:t>
      </w:r>
      <w:r w:rsidR="00D00C12" w:rsidRPr="001E5E9D">
        <w:t>request and CB</w:t>
      </w:r>
      <w:r w:rsidR="003F6E4A" w:rsidRPr="001E5E9D">
        <w:t>RA</w:t>
      </w:r>
      <w:r w:rsidR="00D00C12" w:rsidRPr="001E5E9D">
        <w:t xml:space="preserve"> BFR</w:t>
      </w:r>
      <w:r w:rsidR="003F6E4A" w:rsidRPr="001E5E9D">
        <w:t xml:space="preserve"> can be applied for 2-step RACH. But </w:t>
      </w:r>
      <w:r w:rsidR="005D25FF" w:rsidRPr="001E5E9D">
        <w:t xml:space="preserve">2-step </w:t>
      </w:r>
      <w:r w:rsidR="003F6E4A" w:rsidRPr="001E5E9D">
        <w:t>CFRA BFR is FFS.</w:t>
      </w:r>
    </w:p>
    <w:p w:rsidR="006A1F93" w:rsidRDefault="003F6E4A" w:rsidP="004B2E29">
      <w:pPr>
        <w:jc w:val="both"/>
      </w:pPr>
      <w:r w:rsidRPr="001E5E9D">
        <w:t>In the Rel-15</w:t>
      </w:r>
      <w:r w:rsidR="003E26E4" w:rsidRPr="001E5E9D">
        <w:t xml:space="preserve"> RACH</w:t>
      </w:r>
      <w:r w:rsidR="00581CE7" w:rsidRPr="001E5E9D">
        <w:t>, it has been already supported that network can configure dedicated source for UE.</w:t>
      </w:r>
      <w:r w:rsidRPr="001E5E9D">
        <w:t xml:space="preserve"> </w:t>
      </w:r>
      <w:r w:rsidR="00C55896" w:rsidRPr="001E5E9D">
        <w:t>N</w:t>
      </w:r>
      <w:r w:rsidRPr="001E5E9D">
        <w:t>etwork</w:t>
      </w:r>
      <w:r w:rsidR="00C55896" w:rsidRPr="001E5E9D">
        <w:t xml:space="preserve"> can</w:t>
      </w:r>
      <w:r w:rsidRPr="001E5E9D">
        <w:t xml:space="preserve"> provid</w:t>
      </w:r>
      <w:r w:rsidR="00C55896" w:rsidRPr="001E5E9D">
        <w:t>e</w:t>
      </w:r>
      <w:r w:rsidRPr="001E5E9D">
        <w:t xml:space="preserve"> a dedicated preamble for UE </w:t>
      </w:r>
      <w:r w:rsidR="00C55896" w:rsidRPr="001E5E9D">
        <w:t xml:space="preserve">in Rel-15 </w:t>
      </w:r>
      <w:r w:rsidR="00581CE7" w:rsidRPr="001E5E9D">
        <w:t xml:space="preserve">RACH </w:t>
      </w:r>
      <w:r w:rsidRPr="001E5E9D">
        <w:t xml:space="preserve">and hence there is no resource contention involved. </w:t>
      </w:r>
      <w:r w:rsidR="00C55896" w:rsidRPr="001E5E9D">
        <w:t xml:space="preserve">There are two RACH triggering events that can be applicable for </w:t>
      </w:r>
      <w:r w:rsidR="00581CE7" w:rsidRPr="001E5E9D">
        <w:t>dedicated preamble configuration case</w:t>
      </w:r>
      <w:r w:rsidR="00C55896" w:rsidRPr="001E5E9D">
        <w:t>: handover and BFR. For</w:t>
      </w:r>
      <w:r w:rsidR="00C55896">
        <w:t xml:space="preserve"> handover case, if we consider 2-step RACH, UE can contain RRC Reconfiguration Complete message and/or other additional information in the </w:t>
      </w:r>
      <w:r w:rsidR="005D25FF">
        <w:t xml:space="preserve">msgA </w:t>
      </w:r>
      <w:r w:rsidR="00C55896">
        <w:t xml:space="preserve">payload to speed up the handover procedure and to reduce the handover latency. For BFR case, </w:t>
      </w:r>
      <w:r w:rsidR="00767EB7">
        <w:t>if 2-step RACH</w:t>
      </w:r>
      <w:r w:rsidR="001239DE">
        <w:t xml:space="preserve"> is applied</w:t>
      </w:r>
      <w:r w:rsidR="00767EB7">
        <w:t>, the simpler</w:t>
      </w:r>
      <w:r w:rsidR="00C55896">
        <w:t xml:space="preserve"> way is UE can include extra information in msgA payload to help </w:t>
      </w:r>
      <w:r w:rsidR="001239DE">
        <w:t xml:space="preserve">reduce </w:t>
      </w:r>
      <w:r w:rsidR="00C55896">
        <w:t>the overall latency of BFR procedure.</w:t>
      </w:r>
      <w:r w:rsidR="006D2543">
        <w:t xml:space="preserve"> </w:t>
      </w:r>
    </w:p>
    <w:p w:rsidR="00581CE7" w:rsidRDefault="001239DE" w:rsidP="004B2E29">
      <w:pPr>
        <w:jc w:val="both"/>
        <w:rPr>
          <w:u w:val="single"/>
        </w:rPr>
      </w:pPr>
      <w:r w:rsidRPr="001E5E9D">
        <w:t xml:space="preserve">In the following we </w:t>
      </w:r>
      <w:r w:rsidR="00276E81" w:rsidRPr="001E5E9D">
        <w:t xml:space="preserve">first </w:t>
      </w:r>
      <w:r w:rsidRPr="001E5E9D">
        <w:t>provide</w:t>
      </w:r>
      <w:r w:rsidR="006D2543" w:rsidRPr="001E5E9D">
        <w:t xml:space="preserve"> two </w:t>
      </w:r>
      <w:r w:rsidRPr="001E5E9D">
        <w:t xml:space="preserve">use </w:t>
      </w:r>
      <w:r w:rsidR="006D2543" w:rsidRPr="001E5E9D">
        <w:t>cases to illustrate the benefit</w:t>
      </w:r>
      <w:r w:rsidR="0087480A" w:rsidRPr="001E5E9D">
        <w:t>s</w:t>
      </w:r>
      <w:r w:rsidR="006D2543" w:rsidRPr="001E5E9D">
        <w:t xml:space="preserve"> of </w:t>
      </w:r>
      <w:r w:rsidRPr="001E5E9D">
        <w:t xml:space="preserve">applying </w:t>
      </w:r>
      <w:r w:rsidR="00581CE7" w:rsidRPr="001E5E9D">
        <w:t xml:space="preserve">configuration </w:t>
      </w:r>
      <w:r w:rsidR="0087480A" w:rsidRPr="001E5E9D">
        <w:t xml:space="preserve">of </w:t>
      </w:r>
      <w:r w:rsidR="00581CE7" w:rsidRPr="001E5E9D">
        <w:t xml:space="preserve">dedicated preamble for </w:t>
      </w:r>
      <w:r w:rsidR="004E7E8B" w:rsidRPr="001E5E9D">
        <w:t>2</w:t>
      </w:r>
      <w:r w:rsidRPr="001E5E9D">
        <w:t xml:space="preserve">-step RACH for </w:t>
      </w:r>
      <w:r w:rsidR="006D2543" w:rsidRPr="001E5E9D">
        <w:t>BFR</w:t>
      </w:r>
      <w:r w:rsidR="00581CE7" w:rsidRPr="001E5E9D">
        <w:t xml:space="preserve"> case</w:t>
      </w:r>
      <w:r w:rsidR="00040BBE" w:rsidRPr="001E5E9D">
        <w:t>.</w:t>
      </w:r>
      <w:r w:rsidR="00276E81">
        <w:t xml:space="preserve"> </w:t>
      </w:r>
    </w:p>
    <w:p w:rsidR="008328CC" w:rsidRPr="00AC7C50" w:rsidRDefault="008328CC" w:rsidP="004B2E29">
      <w:pPr>
        <w:jc w:val="both"/>
        <w:rPr>
          <w:u w:val="single"/>
        </w:rPr>
      </w:pPr>
      <w:r w:rsidRPr="00AC7C50">
        <w:rPr>
          <w:u w:val="single"/>
        </w:rPr>
        <w:t>Use case 1.</w:t>
      </w:r>
      <w:r>
        <w:rPr>
          <w:u w:val="single"/>
        </w:rPr>
        <w:t xml:space="preserve"> UE falls back to initial BWP to perform BFR</w:t>
      </w:r>
    </w:p>
    <w:p w:rsidR="00AA3DC1" w:rsidRDefault="008328CC" w:rsidP="008328CC">
      <w:pPr>
        <w:jc w:val="both"/>
      </w:pPr>
      <w:r>
        <w:t xml:space="preserve">In </w:t>
      </w:r>
      <w:r w:rsidR="005D25FF">
        <w:t>Rel-15</w:t>
      </w:r>
      <w:r w:rsidR="00C17B6C">
        <w:t xml:space="preserve">, </w:t>
      </w:r>
      <w:r>
        <w:t>a</w:t>
      </w:r>
      <w:r w:rsidR="00767EB7">
        <w:t xml:space="preserve">fter beam failure is detected, UE should first decide in which BWP to perform BFR. </w:t>
      </w:r>
      <w:r w:rsidR="00A307E1">
        <w:t>If the current active BWP has BFR resource</w:t>
      </w:r>
      <w:r>
        <w:t>s</w:t>
      </w:r>
      <w:r w:rsidR="00A307E1">
        <w:t xml:space="preserve">, UE can stay in the current </w:t>
      </w:r>
      <w:r w:rsidR="005D25FF">
        <w:t xml:space="preserve">active </w:t>
      </w:r>
      <w:r w:rsidR="00A307E1">
        <w:t xml:space="preserve">BWP and perform BFR. Otherwise, UE switches to </w:t>
      </w:r>
      <w:r>
        <w:t xml:space="preserve">the </w:t>
      </w:r>
      <w:r w:rsidR="00A307E1">
        <w:t>initial BWP and perform</w:t>
      </w:r>
      <w:r>
        <w:t>s</w:t>
      </w:r>
      <w:r w:rsidR="00A307E1">
        <w:t xml:space="preserve"> BFR in the initial BWP</w:t>
      </w:r>
      <w:r w:rsidR="00D550F8">
        <w:t>. The baseline UE behavior in Rel-15 consists of t</w:t>
      </w:r>
      <w:r w:rsidR="00AA3DC1">
        <w:t>he following steps:</w:t>
      </w:r>
    </w:p>
    <w:p w:rsidR="00D550F8" w:rsidRDefault="007D7C9E" w:rsidP="00AC7C50">
      <w:pPr>
        <w:numPr>
          <w:ilvl w:val="0"/>
          <w:numId w:val="10"/>
        </w:numPr>
        <w:jc w:val="both"/>
      </w:pPr>
      <w:r>
        <w:t xml:space="preserve">UE </w:t>
      </w:r>
      <w:r w:rsidR="00AA3DC1">
        <w:t>first</w:t>
      </w:r>
      <w:r>
        <w:t xml:space="preserve"> </w:t>
      </w:r>
      <w:r w:rsidR="00AA3DC1">
        <w:t>measures the link quality of</w:t>
      </w:r>
      <w:r>
        <w:t xml:space="preserve"> the reference beams configured for the initial BWP</w:t>
      </w:r>
      <w:r w:rsidR="00AA3DC1">
        <w:t xml:space="preserve"> and select a target beam for recovery</w:t>
      </w:r>
      <w:r>
        <w:t>.</w:t>
      </w:r>
      <w:r w:rsidR="003B03DC">
        <w:t xml:space="preserve"> </w:t>
      </w:r>
      <w:r w:rsidR="00D550F8">
        <w:t xml:space="preserve">This recovery can be either </w:t>
      </w:r>
      <w:r w:rsidR="003361E3">
        <w:t>type of RACH</w:t>
      </w:r>
      <w:r w:rsidR="00D550F8">
        <w:t xml:space="preserve">, depend on the availability of dedicated BFR resources and/or the link quality of candidate beams. </w:t>
      </w:r>
      <w:r w:rsidR="003B03DC">
        <w:t xml:space="preserve">UE </w:t>
      </w:r>
      <w:r w:rsidR="00D550F8">
        <w:t xml:space="preserve">then transmits </w:t>
      </w:r>
      <w:r w:rsidR="003B03DC">
        <w:t>in the RACH occasion</w:t>
      </w:r>
      <w:r w:rsidR="00D550F8">
        <w:t>(</w:t>
      </w:r>
      <w:r w:rsidR="003B03DC">
        <w:t>s</w:t>
      </w:r>
      <w:r w:rsidR="00D550F8">
        <w:t>)</w:t>
      </w:r>
      <w:r w:rsidR="003B03DC">
        <w:t xml:space="preserve"> which are tied to </w:t>
      </w:r>
      <w:r w:rsidR="00D550F8">
        <w:t xml:space="preserve">the selected target beam. Note that only SSBs, which are low gain, are configured in the initial BWP. Hence the target beam selected by UE in this step is one of the SSBs. </w:t>
      </w:r>
    </w:p>
    <w:p w:rsidR="00F96039" w:rsidRDefault="003B03DC" w:rsidP="00AC7C50">
      <w:pPr>
        <w:numPr>
          <w:ilvl w:val="0"/>
          <w:numId w:val="10"/>
        </w:numPr>
        <w:jc w:val="both"/>
      </w:pPr>
      <w:r>
        <w:t>After BFR is complete</w:t>
      </w:r>
      <w:r w:rsidR="00D550F8">
        <w:t xml:space="preserve"> in the initial BWP</w:t>
      </w:r>
      <w:r>
        <w:t xml:space="preserve">, </w:t>
      </w:r>
      <w:r w:rsidR="00D550F8">
        <w:t xml:space="preserve">it is expected that </w:t>
      </w:r>
      <w:r>
        <w:t>network switch</w:t>
      </w:r>
      <w:r w:rsidR="00D550F8">
        <w:t>es</w:t>
      </w:r>
      <w:r>
        <w:t xml:space="preserve"> UE </w:t>
      </w:r>
      <w:r w:rsidR="00D550F8">
        <w:t xml:space="preserve">back </w:t>
      </w:r>
      <w:r>
        <w:t xml:space="preserve">to </w:t>
      </w:r>
      <w:r w:rsidR="00D550F8">
        <w:t xml:space="preserve">an </w:t>
      </w:r>
      <w:r>
        <w:t>active BWP</w:t>
      </w:r>
      <w:r w:rsidR="00D550F8">
        <w:t xml:space="preserve"> with wider bandwidth. Since wide BWP typically is configured with CSI-RS, which </w:t>
      </w:r>
      <w:r w:rsidR="00C17622">
        <w:t xml:space="preserve">are </w:t>
      </w:r>
      <w:r w:rsidR="00C17622">
        <w:lastRenderedPageBreak/>
        <w:t xml:space="preserve">narrower beams with higher gains than SSBs, </w:t>
      </w:r>
      <w:r>
        <w:t>network</w:t>
      </w:r>
      <w:r w:rsidR="00C17622">
        <w:t xml:space="preserve"> would </w:t>
      </w:r>
      <w:r>
        <w:t>perform beam management procedure</w:t>
      </w:r>
      <w:r w:rsidR="00C17622">
        <w:t xml:space="preserve"> to </w:t>
      </w:r>
      <w:r>
        <w:t xml:space="preserve">refine </w:t>
      </w:r>
      <w:r w:rsidR="00C17622">
        <w:t xml:space="preserve">UE’s </w:t>
      </w:r>
      <w:r>
        <w:t>beams</w:t>
      </w:r>
      <w:r w:rsidR="00C17622">
        <w:t xml:space="preserve"> after UE finishes BFR in the initial BWP. The whole procedure is concluded by a reconfiguration of </w:t>
      </w:r>
      <w:r>
        <w:t>UE’s TCI state</w:t>
      </w:r>
      <w:r w:rsidR="00C17622">
        <w:t>s</w:t>
      </w:r>
      <w:r>
        <w:t xml:space="preserve">. </w:t>
      </w:r>
    </w:p>
    <w:p w:rsidR="00ED5458" w:rsidRDefault="00D7317D" w:rsidP="0076591D">
      <w:pPr>
        <w:jc w:val="both"/>
      </w:pPr>
      <w:r w:rsidRPr="001E5E9D">
        <w:t>We</w:t>
      </w:r>
      <w:r w:rsidR="00C17622" w:rsidRPr="001E5E9D">
        <w:t xml:space="preserve"> observe that there are opportunities to reduce latency further in the above two steps, if </w:t>
      </w:r>
      <w:r w:rsidR="00C00834" w:rsidRPr="001E5E9D">
        <w:t>2-step</w:t>
      </w:r>
      <w:r w:rsidR="00C17622" w:rsidRPr="001E5E9D">
        <w:t xml:space="preserve"> </w:t>
      </w:r>
      <w:r w:rsidRPr="001E5E9D">
        <w:t>RACH</w:t>
      </w:r>
      <w:r w:rsidR="00B146E1" w:rsidRPr="001E5E9D">
        <w:t xml:space="preserve"> with dedicated preamble configuration </w:t>
      </w:r>
      <w:r w:rsidR="00C17622" w:rsidRPr="001E5E9D">
        <w:t>can be applied. First, UE can select its target beam in the active BWP</w:t>
      </w:r>
      <w:r w:rsidR="0076591D" w:rsidRPr="001E5E9D">
        <w:t xml:space="preserve"> where beam failure has occurred</w:t>
      </w:r>
      <w:r w:rsidR="00EA2001" w:rsidRPr="001E5E9D">
        <w:t xml:space="preserve">, which </w:t>
      </w:r>
      <w:r w:rsidR="0087480A" w:rsidRPr="001E5E9D">
        <w:t xml:space="preserve">is </w:t>
      </w:r>
      <w:r w:rsidR="00EA2001" w:rsidRPr="001E5E9D">
        <w:t>likely a CSI-RS</w:t>
      </w:r>
      <w:r w:rsidR="0076591D" w:rsidRPr="001E5E9D">
        <w:t xml:space="preserve">. Then it switches to the initial BWP to perform BFR, using </w:t>
      </w:r>
      <w:r w:rsidR="00C00834" w:rsidRPr="001E5E9D">
        <w:t>2-step</w:t>
      </w:r>
      <w:r w:rsidR="0076591D" w:rsidRPr="001E5E9D">
        <w:t xml:space="preserve"> RACH</w:t>
      </w:r>
      <w:r w:rsidR="003E26E4" w:rsidRPr="001E5E9D">
        <w:t xml:space="preserve"> with </w:t>
      </w:r>
      <w:r w:rsidR="006E5CF2" w:rsidRPr="001E5E9D">
        <w:t>dedicated preamble</w:t>
      </w:r>
      <w:r w:rsidR="00F965B7" w:rsidRPr="001E5E9D">
        <w:t xml:space="preserve"> configuration</w:t>
      </w:r>
      <w:r w:rsidR="0076591D" w:rsidRPr="001E5E9D">
        <w:t xml:space="preserve">. </w:t>
      </w:r>
      <w:r w:rsidR="00ED5458" w:rsidRPr="001E5E9D">
        <w:t>Since the dedicated preamble is configured for 2-step RACH, it can avoid delays</w:t>
      </w:r>
      <w:r w:rsidR="00CC3B3E" w:rsidRPr="001E5E9D">
        <w:t xml:space="preserve"> caused by contention based procedure,</w:t>
      </w:r>
      <w:r w:rsidR="00ED5458" w:rsidRPr="001E5E9D">
        <w:t xml:space="preserve"> </w:t>
      </w:r>
      <w:r w:rsidR="006E5CF2" w:rsidRPr="001E5E9D">
        <w:t xml:space="preserve">and </w:t>
      </w:r>
      <w:r w:rsidR="00CC3B3E" w:rsidRPr="001E5E9D">
        <w:t>can</w:t>
      </w:r>
      <w:r w:rsidR="006E5CF2" w:rsidRPr="001E5E9D">
        <w:t xml:space="preserve"> have </w:t>
      </w:r>
      <w:r w:rsidR="00CC3B3E" w:rsidRPr="001E5E9D">
        <w:t>higher</w:t>
      </w:r>
      <w:r w:rsidR="006E5CF2" w:rsidRPr="001E5E9D">
        <w:t xml:space="preserve"> </w:t>
      </w:r>
      <w:r w:rsidR="00CC3B3E" w:rsidRPr="001E5E9D">
        <w:t xml:space="preserve">possibility </w:t>
      </w:r>
      <w:r w:rsidR="0087480A" w:rsidRPr="001E5E9D">
        <w:t>of</w:t>
      </w:r>
      <w:r w:rsidR="006E5CF2" w:rsidRPr="001E5E9D">
        <w:t xml:space="preserve"> succes</w:t>
      </w:r>
      <w:r w:rsidR="00CC3B3E" w:rsidRPr="001E5E9D">
        <w:t>s due to configured dedicated PRACH resource.</w:t>
      </w:r>
    </w:p>
    <w:p w:rsidR="0076591D" w:rsidRDefault="0076591D" w:rsidP="0076591D">
      <w:pPr>
        <w:jc w:val="both"/>
      </w:pPr>
      <w:r>
        <w:t>In the payload of the msgA, it can include the index of the selected target beam. We see two advantages with this change:</w:t>
      </w:r>
    </w:p>
    <w:p w:rsidR="00C17622" w:rsidRDefault="0076591D" w:rsidP="0076591D">
      <w:pPr>
        <w:numPr>
          <w:ilvl w:val="0"/>
          <w:numId w:val="12"/>
        </w:numPr>
        <w:jc w:val="both"/>
      </w:pPr>
      <w:r>
        <w:t xml:space="preserve">During RACH procedure performed in the initial BWP, the selection of RACH occasion is no longer tied to the selected target beam. This enables UE to choose any suitable beam to RACH, i.e. any beam with good enough quality for UE’s msgA to reach </w:t>
      </w:r>
      <w:proofErr w:type="spellStart"/>
      <w:r>
        <w:t>gNB</w:t>
      </w:r>
      <w:proofErr w:type="spellEnd"/>
      <w:r>
        <w:t xml:space="preserve">, which can be available much earlier than RACH occasion tied to the target beam. Earlier transmission means short latency for the RACH procedure. On FR2 cells, this difference in time can be quite significant because some PRACH configurations can have very long period. </w:t>
      </w:r>
    </w:p>
    <w:p w:rsidR="0076591D" w:rsidRDefault="0076591D" w:rsidP="00E9685A">
      <w:pPr>
        <w:numPr>
          <w:ilvl w:val="0"/>
          <w:numId w:val="12"/>
        </w:numPr>
        <w:jc w:val="both"/>
      </w:pPr>
      <w:r>
        <w:t xml:space="preserve">After </w:t>
      </w:r>
      <w:proofErr w:type="spellStart"/>
      <w:r>
        <w:t>gNB</w:t>
      </w:r>
      <w:proofErr w:type="spellEnd"/>
      <w:r>
        <w:t xml:space="preserve"> receives UE’s indication of its desired target beam for recovery, </w:t>
      </w:r>
      <w:r w:rsidR="00EA2001">
        <w:t>it can directly reconfigure UE’s TCI states based on that information, without performing an extra beam management procedure, as in the baseline. This is another reduction in latency before UE can start using its new TCI states.</w:t>
      </w:r>
    </w:p>
    <w:p w:rsidR="006E415C" w:rsidRDefault="006E415C" w:rsidP="006E415C">
      <w:pPr>
        <w:jc w:val="both"/>
        <w:rPr>
          <w:b/>
          <w:bCs/>
        </w:rPr>
      </w:pPr>
      <w:r w:rsidRPr="001E5E9D">
        <w:rPr>
          <w:b/>
          <w:bCs/>
        </w:rPr>
        <w:t xml:space="preserve">Observation </w:t>
      </w:r>
      <w:r w:rsidR="00EA2001" w:rsidRPr="001E5E9D">
        <w:rPr>
          <w:b/>
          <w:bCs/>
        </w:rPr>
        <w:t>1</w:t>
      </w:r>
      <w:r w:rsidRPr="001E5E9D">
        <w:rPr>
          <w:b/>
          <w:bCs/>
        </w:rPr>
        <w:t xml:space="preserve">: 2-step </w:t>
      </w:r>
      <w:r w:rsidR="00D7317D" w:rsidRPr="001E5E9D">
        <w:rPr>
          <w:b/>
          <w:bCs/>
        </w:rPr>
        <w:t xml:space="preserve">RACH </w:t>
      </w:r>
      <w:r w:rsidR="00B146E1" w:rsidRPr="001E5E9D">
        <w:rPr>
          <w:b/>
          <w:bCs/>
        </w:rPr>
        <w:t xml:space="preserve">with dedicated preamble configuration </w:t>
      </w:r>
      <w:r w:rsidRPr="001E5E9D">
        <w:rPr>
          <w:b/>
          <w:bCs/>
        </w:rPr>
        <w:t xml:space="preserve">based BFR can reduce the overall latency of beam failure recovery by the means of carrying preferred beam index in msgA </w:t>
      </w:r>
      <w:r w:rsidR="008E4749" w:rsidRPr="001E5E9D">
        <w:rPr>
          <w:rFonts w:hint="eastAsia"/>
          <w:b/>
          <w:bCs/>
        </w:rPr>
        <w:t>payload</w:t>
      </w:r>
      <w:r w:rsidRPr="001E5E9D">
        <w:rPr>
          <w:b/>
          <w:bCs/>
        </w:rPr>
        <w:t>.</w:t>
      </w:r>
    </w:p>
    <w:p w:rsidR="00EA2001" w:rsidRPr="00E9685A" w:rsidRDefault="00EA2001" w:rsidP="006E415C">
      <w:pPr>
        <w:jc w:val="both"/>
        <w:rPr>
          <w:bCs/>
          <w:u w:val="single"/>
        </w:rPr>
      </w:pPr>
      <w:r w:rsidRPr="00E9685A">
        <w:rPr>
          <w:bCs/>
          <w:u w:val="single"/>
        </w:rPr>
        <w:t>Use case 2. BFR for SCell</w:t>
      </w:r>
    </w:p>
    <w:p w:rsidR="00173F42" w:rsidRDefault="00EA2001" w:rsidP="004B2E29">
      <w:pPr>
        <w:jc w:val="both"/>
      </w:pPr>
      <w:r>
        <w:t xml:space="preserve">In Rel-15, </w:t>
      </w:r>
      <w:r w:rsidR="00173F42">
        <w:t xml:space="preserve">BFR for SCell in inter-band CA configurations is not supported. But it is expected to be discussed and supported in Rel-16. In this example, we discuss how </w:t>
      </w:r>
      <w:r w:rsidR="00C00834">
        <w:t>2-step</w:t>
      </w:r>
      <w:r w:rsidR="00173F42">
        <w:t xml:space="preserve"> RACH may be used to enable fast BFR for SCell in inter-band CA configuration. </w:t>
      </w:r>
    </w:p>
    <w:p w:rsidR="00636E17" w:rsidRDefault="00173F42" w:rsidP="004B2E29">
      <w:pPr>
        <w:jc w:val="both"/>
      </w:pPr>
      <w:r>
        <w:t>In inter-band CA configuration</w:t>
      </w:r>
      <w:r w:rsidR="00EA2001">
        <w:t xml:space="preserve">, </w:t>
      </w:r>
      <w:r>
        <w:t xml:space="preserve">since </w:t>
      </w:r>
      <w:proofErr w:type="spellStart"/>
      <w:r>
        <w:t>PCell</w:t>
      </w:r>
      <w:proofErr w:type="spellEnd"/>
      <w:r>
        <w:t xml:space="preserve"> and SCell have different reference beams, </w:t>
      </w:r>
      <w:r w:rsidR="00EA2001">
        <w:t xml:space="preserve">network can configure </w:t>
      </w:r>
      <w:r>
        <w:t xml:space="preserve">extra </w:t>
      </w:r>
      <w:r w:rsidR="00EA2001">
        <w:t xml:space="preserve">RACH occasion on </w:t>
      </w:r>
      <w:proofErr w:type="spellStart"/>
      <w:r w:rsidR="00EA2001">
        <w:t>PCell</w:t>
      </w:r>
      <w:proofErr w:type="spellEnd"/>
      <w:r>
        <w:t xml:space="preserve"> which are tied to </w:t>
      </w:r>
      <w:proofErr w:type="spellStart"/>
      <w:r>
        <w:t>SCell’s</w:t>
      </w:r>
      <w:proofErr w:type="spellEnd"/>
      <w:r>
        <w:t xml:space="preserve"> reference </w:t>
      </w:r>
      <w:r w:rsidR="00636E17">
        <w:t>beams</w:t>
      </w:r>
      <w:r>
        <w:t xml:space="preserve">. </w:t>
      </w:r>
      <w:r w:rsidR="00636E17">
        <w:t xml:space="preserve">And network can candidate beams for UE in each band. </w:t>
      </w:r>
      <w:r>
        <w:t xml:space="preserve">When beam failure is detected on a SCell, UE </w:t>
      </w:r>
      <w:r w:rsidR="00636E17">
        <w:t xml:space="preserve">can first perform measurement on the candidate beams associated with that cell and select a target beam for recovery. It then performs RACH on the BFR resources on </w:t>
      </w:r>
      <w:proofErr w:type="spellStart"/>
      <w:r w:rsidR="00636E17">
        <w:t>PCell</w:t>
      </w:r>
      <w:proofErr w:type="spellEnd"/>
      <w:r w:rsidR="00636E17">
        <w:t xml:space="preserve"> to recover to its target beam on that SCell.</w:t>
      </w:r>
    </w:p>
    <w:p w:rsidR="00EA2001" w:rsidRDefault="00636E17" w:rsidP="004B2E29">
      <w:pPr>
        <w:jc w:val="both"/>
      </w:pPr>
      <w:r>
        <w:t xml:space="preserve">In this case, the total number of reference beams that PRACH configuration </w:t>
      </w:r>
      <w:proofErr w:type="gramStart"/>
      <w:r>
        <w:t>has to</w:t>
      </w:r>
      <w:proofErr w:type="gramEnd"/>
      <w:r>
        <w:t xml:space="preserve"> include (e.g. 8 on FR1 and 64 on FR2). This means that, as explained in the previous use case, average delay for BFR can be quite </w:t>
      </w:r>
      <w:r w:rsidRPr="001E5E9D">
        <w:t xml:space="preserve">long if RACH occasions are tied to target beams. If </w:t>
      </w:r>
      <w:r w:rsidR="00C00834" w:rsidRPr="001E5E9D">
        <w:t>2-step</w:t>
      </w:r>
      <w:r w:rsidRPr="001E5E9D">
        <w:t xml:space="preserve"> RACH </w:t>
      </w:r>
      <w:r w:rsidR="004E4B52" w:rsidRPr="001E5E9D">
        <w:t xml:space="preserve">with dedicated preamble configuration </w:t>
      </w:r>
      <w:r w:rsidRPr="001E5E9D">
        <w:t xml:space="preserve">can be applied, including index for target beam </w:t>
      </w:r>
      <w:r w:rsidR="003B6CBB" w:rsidRPr="001E5E9D">
        <w:t xml:space="preserve">and serving cell index </w:t>
      </w:r>
      <w:r w:rsidRPr="001E5E9D">
        <w:t>in msgA payload</w:t>
      </w:r>
      <w:r w:rsidR="0087480A" w:rsidRPr="001E5E9D">
        <w:t>, it</w:t>
      </w:r>
      <w:r w:rsidRPr="001E5E9D">
        <w:t xml:space="preserve"> can help decouple RACH occasion</w:t>
      </w:r>
      <w:r w:rsidR="0087480A" w:rsidRPr="001E5E9D">
        <w:t>s</w:t>
      </w:r>
      <w:r w:rsidRPr="001E5E9D">
        <w:t xml:space="preserve"> and </w:t>
      </w:r>
      <w:r w:rsidR="006F0042" w:rsidRPr="001E5E9D">
        <w:t xml:space="preserve">target beams. </w:t>
      </w:r>
      <w:r w:rsidR="009A0602" w:rsidRPr="001E5E9D">
        <w:t xml:space="preserve">Furthermore, the dedicated preamble configuration </w:t>
      </w:r>
      <w:r w:rsidR="0087480A" w:rsidRPr="001E5E9D">
        <w:t>for</w:t>
      </w:r>
      <w:r w:rsidR="009A0602" w:rsidRPr="001E5E9D">
        <w:t xml:space="preserve"> 2-step RACH can help UE to reduce the delay</w:t>
      </w:r>
      <w:r w:rsidR="00CC3B3E" w:rsidRPr="001E5E9D">
        <w:t xml:space="preserve"> and acquire higher possibility </w:t>
      </w:r>
      <w:r w:rsidR="0087480A" w:rsidRPr="001E5E9D">
        <w:t>of</w:t>
      </w:r>
      <w:r w:rsidR="00CC3B3E" w:rsidRPr="001E5E9D">
        <w:t xml:space="preserve"> success</w:t>
      </w:r>
      <w:r w:rsidR="009A0602" w:rsidRPr="001E5E9D">
        <w:t xml:space="preserve"> </w:t>
      </w:r>
      <w:r w:rsidR="0087480A" w:rsidRPr="001E5E9D">
        <w:t>compared to</w:t>
      </w:r>
      <w:r w:rsidR="009A0602" w:rsidRPr="001E5E9D">
        <w:t xml:space="preserve"> contention based RACH procedure. </w:t>
      </w:r>
      <w:r w:rsidR="006F0042" w:rsidRPr="001E5E9D">
        <w:t xml:space="preserve">This would </w:t>
      </w:r>
      <w:r w:rsidR="009A0602" w:rsidRPr="001E5E9D">
        <w:t xml:space="preserve">also </w:t>
      </w:r>
      <w:r w:rsidR="006F0042" w:rsidRPr="001E5E9D">
        <w:t xml:space="preserve">enable network to configure BFR resources with a much shorter period (e.g. at most 8 beams on FR1 </w:t>
      </w:r>
      <w:proofErr w:type="spellStart"/>
      <w:r w:rsidR="006F0042" w:rsidRPr="001E5E9D">
        <w:t>PCell</w:t>
      </w:r>
      <w:proofErr w:type="spellEnd"/>
      <w:r w:rsidR="006F0042" w:rsidRPr="001E5E9D">
        <w:t xml:space="preserve">) and UE only needs to use a suitable beam on </w:t>
      </w:r>
      <w:proofErr w:type="spellStart"/>
      <w:r w:rsidR="006F0042" w:rsidRPr="001E5E9D">
        <w:t>PCell</w:t>
      </w:r>
      <w:proofErr w:type="spellEnd"/>
      <w:r w:rsidR="006F0042" w:rsidRPr="001E5E9D">
        <w:t xml:space="preserve"> which does not need to have</w:t>
      </w:r>
      <w:r w:rsidR="006F0042">
        <w:t xml:space="preserve"> any association with the target beam to transmit its msgA. This would significantly reduce the latency of BFR.</w:t>
      </w:r>
    </w:p>
    <w:p w:rsidR="006F0042" w:rsidRDefault="00D7317D" w:rsidP="004B2E29">
      <w:pPr>
        <w:jc w:val="both"/>
      </w:pPr>
      <w:r>
        <w:t>Additionally</w:t>
      </w:r>
      <w:r w:rsidR="006F0042">
        <w:t xml:space="preserve">, as in the previous use case, </w:t>
      </w:r>
      <w:r>
        <w:t xml:space="preserve">network can directly reconfigure UE’s TCI state without extra beam management procedure. </w:t>
      </w:r>
    </w:p>
    <w:p w:rsidR="0002624A" w:rsidRPr="001E5E9D" w:rsidRDefault="0002624A" w:rsidP="0002624A">
      <w:pPr>
        <w:jc w:val="both"/>
        <w:rPr>
          <w:b/>
          <w:bCs/>
        </w:rPr>
      </w:pPr>
      <w:r w:rsidRPr="001E5E9D">
        <w:rPr>
          <w:b/>
          <w:bCs/>
        </w:rPr>
        <w:t xml:space="preserve">Observation </w:t>
      </w:r>
      <w:r w:rsidR="00D7317D" w:rsidRPr="001E5E9D">
        <w:rPr>
          <w:b/>
          <w:bCs/>
        </w:rPr>
        <w:t>2</w:t>
      </w:r>
      <w:r w:rsidRPr="001E5E9D">
        <w:rPr>
          <w:b/>
          <w:bCs/>
        </w:rPr>
        <w:t xml:space="preserve">: 2-step </w:t>
      </w:r>
      <w:r w:rsidR="00D7317D" w:rsidRPr="001E5E9D">
        <w:rPr>
          <w:b/>
          <w:bCs/>
        </w:rPr>
        <w:t xml:space="preserve">RACH </w:t>
      </w:r>
      <w:r w:rsidR="004E4B52" w:rsidRPr="001E5E9D">
        <w:rPr>
          <w:b/>
          <w:bCs/>
        </w:rPr>
        <w:t xml:space="preserve">with dedicated preamble configuration </w:t>
      </w:r>
      <w:r w:rsidRPr="001E5E9D">
        <w:rPr>
          <w:b/>
          <w:bCs/>
        </w:rPr>
        <w:t xml:space="preserve">based BFR can reduce </w:t>
      </w:r>
      <w:r w:rsidR="00D642C2" w:rsidRPr="001E5E9D">
        <w:rPr>
          <w:b/>
          <w:bCs/>
        </w:rPr>
        <w:t xml:space="preserve">latency in the case of BFR for </w:t>
      </w:r>
      <w:proofErr w:type="spellStart"/>
      <w:r w:rsidR="00D642C2" w:rsidRPr="001E5E9D">
        <w:rPr>
          <w:b/>
          <w:bCs/>
        </w:rPr>
        <w:t>SCells</w:t>
      </w:r>
      <w:proofErr w:type="spellEnd"/>
      <w:r w:rsidR="00D7317D" w:rsidRPr="001E5E9D">
        <w:rPr>
          <w:b/>
          <w:bCs/>
        </w:rPr>
        <w:t xml:space="preserve"> in inter-band CA configuration</w:t>
      </w:r>
      <w:r w:rsidR="00D642C2" w:rsidRPr="001E5E9D">
        <w:rPr>
          <w:b/>
          <w:bCs/>
        </w:rPr>
        <w:t>.</w:t>
      </w:r>
    </w:p>
    <w:p w:rsidR="002B64D3" w:rsidRPr="001E5E9D" w:rsidRDefault="009A0602" w:rsidP="0002624A">
      <w:pPr>
        <w:jc w:val="both"/>
      </w:pPr>
      <w:r w:rsidRPr="001E5E9D">
        <w:t>No matter in 2-step RACH or 4-step RACH, network can always configure the dedicated resource for UE.</w:t>
      </w:r>
      <w:r w:rsidR="002B64D3" w:rsidRPr="001E5E9D">
        <w:t xml:space="preserve"> For 2-step RACH user, network can configure the dedicated preamble like </w:t>
      </w:r>
      <w:r w:rsidR="0087480A" w:rsidRPr="001E5E9D">
        <w:t>existing</w:t>
      </w:r>
      <w:r w:rsidR="002B64D3" w:rsidRPr="001E5E9D">
        <w:t xml:space="preserve"> 4-step RACH. For the </w:t>
      </w:r>
      <w:r w:rsidR="002B64D3" w:rsidRPr="001E5E9D">
        <w:lastRenderedPageBreak/>
        <w:t>PUSCH part in 2-step RACH, whether PUSCH</w:t>
      </w:r>
      <w:r w:rsidR="00A238FA" w:rsidRPr="001E5E9D">
        <w:t xml:space="preserve"> </w:t>
      </w:r>
      <w:r w:rsidR="002B64D3" w:rsidRPr="001E5E9D">
        <w:t xml:space="preserve">is dedicated or </w:t>
      </w:r>
      <w:r w:rsidR="000D43C7" w:rsidRPr="001E5E9D">
        <w:t>shared</w:t>
      </w:r>
      <w:r w:rsidR="002B64D3" w:rsidRPr="001E5E9D">
        <w:t xml:space="preserve"> depend</w:t>
      </w:r>
      <w:r w:rsidR="00A238FA" w:rsidRPr="001E5E9D">
        <w:t>ing</w:t>
      </w:r>
      <w:r w:rsidR="002B64D3" w:rsidRPr="001E5E9D">
        <w:t xml:space="preserve"> on the mapping </w:t>
      </w:r>
      <w:r w:rsidR="000D43C7" w:rsidRPr="001E5E9D">
        <w:t xml:space="preserve">relationship </w:t>
      </w:r>
      <w:r w:rsidR="002B64D3" w:rsidRPr="001E5E9D">
        <w:t>between RACH occasion and PUSCH occasion</w:t>
      </w:r>
      <w:r w:rsidR="00A238FA" w:rsidRPr="001E5E9D">
        <w:t xml:space="preserve"> which is</w:t>
      </w:r>
      <w:r w:rsidR="002B64D3" w:rsidRPr="001E5E9D">
        <w:t xml:space="preserve"> up to network to decide and configure</w:t>
      </w:r>
      <w:r w:rsidR="00D7165B" w:rsidRPr="001E5E9D">
        <w:t xml:space="preserve">. </w:t>
      </w:r>
      <w:r w:rsidR="00A238FA" w:rsidRPr="001E5E9D">
        <w:t xml:space="preserve">We believe the dedicated preamble configuration method </w:t>
      </w:r>
      <w:r w:rsidR="000D43C7" w:rsidRPr="001E5E9D">
        <w:t xml:space="preserve">should be </w:t>
      </w:r>
      <w:r w:rsidR="00D7165B" w:rsidRPr="001E5E9D">
        <w:t xml:space="preserve">the </w:t>
      </w:r>
      <w:r w:rsidR="000D43C7" w:rsidRPr="001E5E9D">
        <w:t>same or similar with the CBRA.</w:t>
      </w:r>
      <w:r w:rsidR="002B64D3" w:rsidRPr="001E5E9D">
        <w:t xml:space="preserve"> </w:t>
      </w:r>
      <w:r w:rsidR="00176ABC" w:rsidRPr="001E5E9D">
        <w:t xml:space="preserve">Even in Rel-15, network can always configure a dedicated PRACH region for handover and BFR, the preamble space does not need to be partitioned. </w:t>
      </w:r>
      <w:r w:rsidR="002B64D3" w:rsidRPr="001E5E9D">
        <w:t>Hence</w:t>
      </w:r>
      <w:r w:rsidR="00D7165B" w:rsidRPr="001E5E9D">
        <w:t>, there should be no RAN1 impact on configuration</w:t>
      </w:r>
      <w:r w:rsidR="0087480A" w:rsidRPr="001E5E9D">
        <w:t xml:space="preserve"> of</w:t>
      </w:r>
      <w:r w:rsidR="00D7165B" w:rsidRPr="001E5E9D">
        <w:t xml:space="preserve"> dedicated preamble</w:t>
      </w:r>
      <w:r w:rsidR="002B64D3" w:rsidRPr="001E5E9D">
        <w:t xml:space="preserve"> </w:t>
      </w:r>
      <w:r w:rsidR="00D7165B" w:rsidRPr="001E5E9D">
        <w:t>for 2-step RACH.</w:t>
      </w:r>
      <w:r w:rsidR="001A7D39" w:rsidRPr="001E5E9D">
        <w:t xml:space="preserve"> The resource allocation is just network configuration.</w:t>
      </w:r>
    </w:p>
    <w:p w:rsidR="002C4D92" w:rsidRPr="001E5E9D" w:rsidRDefault="002C4D92" w:rsidP="0002624A">
      <w:pPr>
        <w:jc w:val="both"/>
        <w:rPr>
          <w:b/>
          <w:bCs/>
        </w:rPr>
      </w:pPr>
      <w:r w:rsidRPr="001E5E9D">
        <w:rPr>
          <w:b/>
          <w:bCs/>
        </w:rPr>
        <w:t xml:space="preserve">Observation 3: </w:t>
      </w:r>
      <w:r w:rsidR="00D7165B" w:rsidRPr="001E5E9D">
        <w:rPr>
          <w:b/>
          <w:bCs/>
        </w:rPr>
        <w:t>There should be no RAN1 impact on configuration</w:t>
      </w:r>
      <w:r w:rsidR="0087480A" w:rsidRPr="001E5E9D">
        <w:rPr>
          <w:b/>
          <w:bCs/>
        </w:rPr>
        <w:t xml:space="preserve"> of</w:t>
      </w:r>
      <w:r w:rsidR="00D7165B" w:rsidRPr="001E5E9D">
        <w:rPr>
          <w:b/>
          <w:bCs/>
        </w:rPr>
        <w:t xml:space="preserve"> dedicated preamble for 2-step RACH.</w:t>
      </w:r>
    </w:p>
    <w:p w:rsidR="00CC6F36" w:rsidRPr="001E5E9D" w:rsidRDefault="00CC6F36" w:rsidP="0002624A">
      <w:pPr>
        <w:jc w:val="both"/>
        <w:rPr>
          <w:bCs/>
        </w:rPr>
      </w:pPr>
      <w:r w:rsidRPr="001E5E9D">
        <w:rPr>
          <w:bCs/>
        </w:rPr>
        <w:t>Tak</w:t>
      </w:r>
      <w:r w:rsidR="00276E81" w:rsidRPr="001E5E9D">
        <w:rPr>
          <w:bCs/>
        </w:rPr>
        <w:t>ing</w:t>
      </w:r>
      <w:r w:rsidRPr="001E5E9D">
        <w:rPr>
          <w:bCs/>
        </w:rPr>
        <w:t xml:space="preserve"> the above analysis into account, we make the following proposal:</w:t>
      </w:r>
    </w:p>
    <w:p w:rsidR="00370C38" w:rsidRPr="00761129" w:rsidRDefault="00370C38" w:rsidP="00761129">
      <w:pPr>
        <w:jc w:val="both"/>
        <w:rPr>
          <w:b/>
        </w:rPr>
      </w:pPr>
      <w:r w:rsidRPr="001E5E9D">
        <w:rPr>
          <w:b/>
          <w:bCs/>
        </w:rPr>
        <w:t xml:space="preserve">Proposal: </w:t>
      </w:r>
      <w:r w:rsidR="008F5076" w:rsidRPr="001E5E9D">
        <w:rPr>
          <w:b/>
          <w:bCs/>
        </w:rPr>
        <w:t xml:space="preserve">Configuration on dedicated preamble for </w:t>
      </w:r>
      <w:r w:rsidRPr="001E5E9D">
        <w:rPr>
          <w:b/>
          <w:bCs/>
        </w:rPr>
        <w:t xml:space="preserve">2-step </w:t>
      </w:r>
      <w:r w:rsidR="008F5076" w:rsidRPr="001E5E9D">
        <w:rPr>
          <w:b/>
          <w:bCs/>
        </w:rPr>
        <w:t>RACH should be supported.</w:t>
      </w:r>
    </w:p>
    <w:p w:rsidR="00C20C06" w:rsidRPr="00341812" w:rsidRDefault="00501D61" w:rsidP="00C20C06">
      <w:pPr>
        <w:pStyle w:val="Heading1"/>
        <w:rPr>
          <w:lang w:val="en-US"/>
        </w:rPr>
      </w:pPr>
      <w:r w:rsidRPr="00341812">
        <w:rPr>
          <w:lang w:val="en-US"/>
        </w:rPr>
        <w:t>Conclusion</w:t>
      </w:r>
    </w:p>
    <w:p w:rsidR="004C2D20" w:rsidRDefault="00B9495F" w:rsidP="001E59F8">
      <w:pPr>
        <w:spacing w:before="120"/>
        <w:jc w:val="both"/>
        <w:rPr>
          <w:lang w:eastAsia="ja-JP"/>
        </w:rPr>
      </w:pPr>
      <w:r>
        <w:rPr>
          <w:lang w:eastAsia="ja-JP"/>
        </w:rPr>
        <w:t>W</w:t>
      </w:r>
      <w:r w:rsidR="004C2D20" w:rsidRPr="00341812">
        <w:rPr>
          <w:lang w:eastAsia="ja-JP"/>
        </w:rPr>
        <w:t xml:space="preserve">e’d recommend RAN2 to discuss and adopt the following </w:t>
      </w:r>
      <w:r w:rsidR="00030BE0">
        <w:rPr>
          <w:lang w:eastAsia="ja-JP"/>
        </w:rPr>
        <w:t xml:space="preserve">observations and </w:t>
      </w:r>
      <w:r w:rsidR="004C2D20" w:rsidRPr="00341812">
        <w:rPr>
          <w:lang w:eastAsia="ja-JP"/>
        </w:rPr>
        <w:t>proposals:</w:t>
      </w:r>
    </w:p>
    <w:p w:rsidR="002B64D3" w:rsidRDefault="002B64D3" w:rsidP="002B64D3">
      <w:pPr>
        <w:jc w:val="both"/>
        <w:rPr>
          <w:b/>
          <w:bCs/>
        </w:rPr>
      </w:pPr>
      <w:bookmarkStart w:id="5" w:name="_Hlk7728940"/>
      <w:r>
        <w:rPr>
          <w:b/>
          <w:bCs/>
        </w:rPr>
        <w:t>Observation</w:t>
      </w:r>
      <w:r w:rsidRPr="004C6F3C">
        <w:rPr>
          <w:b/>
          <w:bCs/>
        </w:rPr>
        <w:t xml:space="preserve"> </w:t>
      </w:r>
      <w:r>
        <w:rPr>
          <w:b/>
          <w:bCs/>
        </w:rPr>
        <w:t>1</w:t>
      </w:r>
      <w:r w:rsidRPr="004C6F3C">
        <w:rPr>
          <w:b/>
          <w:bCs/>
        </w:rPr>
        <w:t xml:space="preserve">: </w:t>
      </w:r>
      <w:r>
        <w:rPr>
          <w:b/>
          <w:bCs/>
        </w:rPr>
        <w:t xml:space="preserve">2-step RACH with dedicated preamble configuration based BFR can reduce the overall latency of beam failure recovery by the means of carrying preferred beam index in msgA </w:t>
      </w:r>
      <w:r>
        <w:rPr>
          <w:rFonts w:hint="eastAsia"/>
          <w:b/>
          <w:bCs/>
        </w:rPr>
        <w:t>payload</w:t>
      </w:r>
      <w:r>
        <w:rPr>
          <w:b/>
          <w:bCs/>
        </w:rPr>
        <w:t>.</w:t>
      </w:r>
    </w:p>
    <w:p w:rsidR="002B64D3" w:rsidRDefault="002B64D3" w:rsidP="002B64D3">
      <w:pPr>
        <w:jc w:val="both"/>
        <w:rPr>
          <w:b/>
          <w:bCs/>
        </w:rPr>
      </w:pPr>
      <w:r>
        <w:rPr>
          <w:b/>
          <w:bCs/>
        </w:rPr>
        <w:t>Observation</w:t>
      </w:r>
      <w:r w:rsidRPr="004C6F3C">
        <w:rPr>
          <w:b/>
          <w:bCs/>
        </w:rPr>
        <w:t xml:space="preserve"> </w:t>
      </w:r>
      <w:r>
        <w:rPr>
          <w:b/>
          <w:bCs/>
        </w:rPr>
        <w:t>2</w:t>
      </w:r>
      <w:r w:rsidRPr="004C6F3C">
        <w:rPr>
          <w:b/>
          <w:bCs/>
        </w:rPr>
        <w:t xml:space="preserve">: </w:t>
      </w:r>
      <w:r>
        <w:rPr>
          <w:b/>
          <w:bCs/>
        </w:rPr>
        <w:t xml:space="preserve">2-step RACH with dedicated preamble configuration based BFR can reduce latency in the case of BFR for </w:t>
      </w:r>
      <w:proofErr w:type="spellStart"/>
      <w:r>
        <w:rPr>
          <w:b/>
          <w:bCs/>
        </w:rPr>
        <w:t>SCells</w:t>
      </w:r>
      <w:proofErr w:type="spellEnd"/>
      <w:r>
        <w:rPr>
          <w:b/>
          <w:bCs/>
        </w:rPr>
        <w:t xml:space="preserve"> in inter-band CA configuration.</w:t>
      </w:r>
    </w:p>
    <w:bookmarkEnd w:id="5"/>
    <w:p w:rsidR="00D7165B" w:rsidRPr="00E9685A" w:rsidRDefault="00D7165B" w:rsidP="00D7165B">
      <w:pPr>
        <w:jc w:val="both"/>
        <w:rPr>
          <w:b/>
          <w:bCs/>
        </w:rPr>
      </w:pPr>
      <w:r w:rsidRPr="00E9685A">
        <w:rPr>
          <w:b/>
          <w:bCs/>
        </w:rPr>
        <w:t xml:space="preserve">Observation 3: </w:t>
      </w:r>
      <w:r>
        <w:rPr>
          <w:b/>
          <w:bCs/>
        </w:rPr>
        <w:t>T</w:t>
      </w:r>
      <w:r w:rsidRPr="00D7165B">
        <w:rPr>
          <w:b/>
          <w:bCs/>
        </w:rPr>
        <w:t xml:space="preserve">here should be no RAN1 impact on configuration </w:t>
      </w:r>
      <w:r w:rsidR="0087480A">
        <w:rPr>
          <w:b/>
          <w:bCs/>
        </w:rPr>
        <w:t xml:space="preserve">of </w:t>
      </w:r>
      <w:r w:rsidRPr="00D7165B">
        <w:rPr>
          <w:b/>
          <w:bCs/>
        </w:rPr>
        <w:t>dedicated preamble for 2-step RACH.</w:t>
      </w:r>
    </w:p>
    <w:p w:rsidR="00D7165B" w:rsidRPr="00761129" w:rsidRDefault="00D7165B" w:rsidP="00D7165B">
      <w:pPr>
        <w:jc w:val="both"/>
        <w:rPr>
          <w:b/>
        </w:rPr>
      </w:pPr>
      <w:r w:rsidRPr="004C6F3C">
        <w:rPr>
          <w:b/>
          <w:bCs/>
        </w:rPr>
        <w:t xml:space="preserve">Proposal: </w:t>
      </w:r>
      <w:r>
        <w:rPr>
          <w:b/>
          <w:bCs/>
        </w:rPr>
        <w:t xml:space="preserve">Configuration on dedicated preamble for </w:t>
      </w:r>
      <w:r w:rsidRPr="004C6F3C">
        <w:rPr>
          <w:b/>
          <w:bCs/>
        </w:rPr>
        <w:t xml:space="preserve">2-step </w:t>
      </w:r>
      <w:r>
        <w:rPr>
          <w:b/>
          <w:bCs/>
        </w:rPr>
        <w:t>RACH should be supported.</w:t>
      </w:r>
    </w:p>
    <w:p w:rsidR="00597D59" w:rsidRPr="00383F56" w:rsidRDefault="00597D59" w:rsidP="00597D59">
      <w:pPr>
        <w:pStyle w:val="Heading1"/>
      </w:pPr>
      <w:r w:rsidRPr="00383F56">
        <w:t>References</w:t>
      </w:r>
    </w:p>
    <w:p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1C2" w:rsidRDefault="00CA41C2">
      <w:r>
        <w:separator/>
      </w:r>
    </w:p>
    <w:p w:rsidR="00CA41C2" w:rsidRDefault="00CA41C2"/>
  </w:endnote>
  <w:endnote w:type="continuationSeparator" w:id="0">
    <w:p w:rsidR="00CA41C2" w:rsidRDefault="00CA41C2">
      <w:r>
        <w:continuationSeparator/>
      </w:r>
    </w:p>
    <w:p w:rsidR="00CA41C2" w:rsidRDefault="00CA4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1C2" w:rsidRDefault="00CA41C2">
      <w:r>
        <w:separator/>
      </w:r>
    </w:p>
    <w:p w:rsidR="00CA41C2" w:rsidRDefault="00CA41C2"/>
  </w:footnote>
  <w:footnote w:type="continuationSeparator" w:id="0">
    <w:p w:rsidR="00CA41C2" w:rsidRDefault="00CA41C2">
      <w:r>
        <w:continuationSeparator/>
      </w:r>
    </w:p>
    <w:p w:rsidR="00CA41C2" w:rsidRDefault="00CA4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3B31DFF"/>
    <w:multiLevelType w:val="hybridMultilevel"/>
    <w:tmpl w:val="D45C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2A6CA3"/>
    <w:multiLevelType w:val="hybridMultilevel"/>
    <w:tmpl w:val="DDB89F50"/>
    <w:lvl w:ilvl="0" w:tplc="5A4EBCE2">
      <w:start w:val="1"/>
      <w:numFmt w:val="bullet"/>
      <w:lvlText w:val="◦"/>
      <w:lvlJc w:val="left"/>
      <w:pPr>
        <w:tabs>
          <w:tab w:val="num" w:pos="360"/>
        </w:tabs>
        <w:ind w:left="360" w:hanging="360"/>
      </w:pPr>
      <w:rPr>
        <w:rFonts w:ascii="Microsoft Sans Serif" w:hAnsi="Microsoft Sans Serif" w:hint="default"/>
      </w:rPr>
    </w:lvl>
    <w:lvl w:ilvl="1" w:tplc="D21E6AF2">
      <w:start w:val="1"/>
      <w:numFmt w:val="bullet"/>
      <w:lvlText w:val="◦"/>
      <w:lvlJc w:val="left"/>
      <w:pPr>
        <w:tabs>
          <w:tab w:val="num" w:pos="1080"/>
        </w:tabs>
        <w:ind w:left="1080" w:hanging="360"/>
      </w:pPr>
      <w:rPr>
        <w:rFonts w:ascii="Microsoft Sans Serif" w:hAnsi="Microsoft Sans Serif" w:hint="default"/>
      </w:rPr>
    </w:lvl>
    <w:lvl w:ilvl="2" w:tplc="317A5B5E" w:tentative="1">
      <w:start w:val="1"/>
      <w:numFmt w:val="bullet"/>
      <w:lvlText w:val="◦"/>
      <w:lvlJc w:val="left"/>
      <w:pPr>
        <w:tabs>
          <w:tab w:val="num" w:pos="1800"/>
        </w:tabs>
        <w:ind w:left="1800" w:hanging="360"/>
      </w:pPr>
      <w:rPr>
        <w:rFonts w:ascii="Microsoft Sans Serif" w:hAnsi="Microsoft Sans Serif" w:hint="default"/>
      </w:rPr>
    </w:lvl>
    <w:lvl w:ilvl="3" w:tplc="BC8846B2" w:tentative="1">
      <w:start w:val="1"/>
      <w:numFmt w:val="bullet"/>
      <w:lvlText w:val="◦"/>
      <w:lvlJc w:val="left"/>
      <w:pPr>
        <w:tabs>
          <w:tab w:val="num" w:pos="2520"/>
        </w:tabs>
        <w:ind w:left="2520" w:hanging="360"/>
      </w:pPr>
      <w:rPr>
        <w:rFonts w:ascii="Microsoft Sans Serif" w:hAnsi="Microsoft Sans Serif" w:hint="default"/>
      </w:rPr>
    </w:lvl>
    <w:lvl w:ilvl="4" w:tplc="A0624F5E" w:tentative="1">
      <w:start w:val="1"/>
      <w:numFmt w:val="bullet"/>
      <w:lvlText w:val="◦"/>
      <w:lvlJc w:val="left"/>
      <w:pPr>
        <w:tabs>
          <w:tab w:val="num" w:pos="3240"/>
        </w:tabs>
        <w:ind w:left="3240" w:hanging="360"/>
      </w:pPr>
      <w:rPr>
        <w:rFonts w:ascii="Microsoft Sans Serif" w:hAnsi="Microsoft Sans Serif" w:hint="default"/>
      </w:rPr>
    </w:lvl>
    <w:lvl w:ilvl="5" w:tplc="3F7E3E9A" w:tentative="1">
      <w:start w:val="1"/>
      <w:numFmt w:val="bullet"/>
      <w:lvlText w:val="◦"/>
      <w:lvlJc w:val="left"/>
      <w:pPr>
        <w:tabs>
          <w:tab w:val="num" w:pos="3960"/>
        </w:tabs>
        <w:ind w:left="3960" w:hanging="360"/>
      </w:pPr>
      <w:rPr>
        <w:rFonts w:ascii="Microsoft Sans Serif" w:hAnsi="Microsoft Sans Serif" w:hint="default"/>
      </w:rPr>
    </w:lvl>
    <w:lvl w:ilvl="6" w:tplc="F4DAD280" w:tentative="1">
      <w:start w:val="1"/>
      <w:numFmt w:val="bullet"/>
      <w:lvlText w:val="◦"/>
      <w:lvlJc w:val="left"/>
      <w:pPr>
        <w:tabs>
          <w:tab w:val="num" w:pos="4680"/>
        </w:tabs>
        <w:ind w:left="4680" w:hanging="360"/>
      </w:pPr>
      <w:rPr>
        <w:rFonts w:ascii="Microsoft Sans Serif" w:hAnsi="Microsoft Sans Serif" w:hint="default"/>
      </w:rPr>
    </w:lvl>
    <w:lvl w:ilvl="7" w:tplc="31F29394" w:tentative="1">
      <w:start w:val="1"/>
      <w:numFmt w:val="bullet"/>
      <w:lvlText w:val="◦"/>
      <w:lvlJc w:val="left"/>
      <w:pPr>
        <w:tabs>
          <w:tab w:val="num" w:pos="5400"/>
        </w:tabs>
        <w:ind w:left="5400" w:hanging="360"/>
      </w:pPr>
      <w:rPr>
        <w:rFonts w:ascii="Microsoft Sans Serif" w:hAnsi="Microsoft Sans Serif" w:hint="default"/>
      </w:rPr>
    </w:lvl>
    <w:lvl w:ilvl="8" w:tplc="144E43E2"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51A0DD2"/>
    <w:multiLevelType w:val="hybridMultilevel"/>
    <w:tmpl w:val="B3A2C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786038"/>
    <w:multiLevelType w:val="hybridMultilevel"/>
    <w:tmpl w:val="38F8D0E8"/>
    <w:lvl w:ilvl="0" w:tplc="F14451CC">
      <w:start w:val="1"/>
      <w:numFmt w:val="bullet"/>
      <w:lvlText w:val="◦"/>
      <w:lvlJc w:val="left"/>
      <w:pPr>
        <w:tabs>
          <w:tab w:val="num" w:pos="360"/>
        </w:tabs>
        <w:ind w:left="360" w:hanging="360"/>
      </w:pPr>
      <w:rPr>
        <w:rFonts w:ascii="Microsoft Sans Serif" w:hAnsi="Microsoft Sans Serif" w:hint="default"/>
      </w:rPr>
    </w:lvl>
    <w:lvl w:ilvl="1" w:tplc="6E10D5C4">
      <w:start w:val="1"/>
      <w:numFmt w:val="bullet"/>
      <w:lvlText w:val="◦"/>
      <w:lvlJc w:val="left"/>
      <w:pPr>
        <w:tabs>
          <w:tab w:val="num" w:pos="1080"/>
        </w:tabs>
        <w:ind w:left="1080" w:hanging="360"/>
      </w:pPr>
      <w:rPr>
        <w:rFonts w:ascii="Microsoft Sans Serif" w:hAnsi="Microsoft Sans Serif" w:hint="default"/>
      </w:rPr>
    </w:lvl>
    <w:lvl w:ilvl="2" w:tplc="6ACC8B42" w:tentative="1">
      <w:start w:val="1"/>
      <w:numFmt w:val="bullet"/>
      <w:lvlText w:val="◦"/>
      <w:lvlJc w:val="left"/>
      <w:pPr>
        <w:tabs>
          <w:tab w:val="num" w:pos="1800"/>
        </w:tabs>
        <w:ind w:left="1800" w:hanging="360"/>
      </w:pPr>
      <w:rPr>
        <w:rFonts w:ascii="Microsoft Sans Serif" w:hAnsi="Microsoft Sans Serif" w:hint="default"/>
      </w:rPr>
    </w:lvl>
    <w:lvl w:ilvl="3" w:tplc="EC344B5C" w:tentative="1">
      <w:start w:val="1"/>
      <w:numFmt w:val="bullet"/>
      <w:lvlText w:val="◦"/>
      <w:lvlJc w:val="left"/>
      <w:pPr>
        <w:tabs>
          <w:tab w:val="num" w:pos="2520"/>
        </w:tabs>
        <w:ind w:left="2520" w:hanging="360"/>
      </w:pPr>
      <w:rPr>
        <w:rFonts w:ascii="Microsoft Sans Serif" w:hAnsi="Microsoft Sans Serif" w:hint="default"/>
      </w:rPr>
    </w:lvl>
    <w:lvl w:ilvl="4" w:tplc="9A320542" w:tentative="1">
      <w:start w:val="1"/>
      <w:numFmt w:val="bullet"/>
      <w:lvlText w:val="◦"/>
      <w:lvlJc w:val="left"/>
      <w:pPr>
        <w:tabs>
          <w:tab w:val="num" w:pos="3240"/>
        </w:tabs>
        <w:ind w:left="3240" w:hanging="360"/>
      </w:pPr>
      <w:rPr>
        <w:rFonts w:ascii="Microsoft Sans Serif" w:hAnsi="Microsoft Sans Serif" w:hint="default"/>
      </w:rPr>
    </w:lvl>
    <w:lvl w:ilvl="5" w:tplc="1CB49498" w:tentative="1">
      <w:start w:val="1"/>
      <w:numFmt w:val="bullet"/>
      <w:lvlText w:val="◦"/>
      <w:lvlJc w:val="left"/>
      <w:pPr>
        <w:tabs>
          <w:tab w:val="num" w:pos="3960"/>
        </w:tabs>
        <w:ind w:left="3960" w:hanging="360"/>
      </w:pPr>
      <w:rPr>
        <w:rFonts w:ascii="Microsoft Sans Serif" w:hAnsi="Microsoft Sans Serif" w:hint="default"/>
      </w:rPr>
    </w:lvl>
    <w:lvl w:ilvl="6" w:tplc="38B041DE" w:tentative="1">
      <w:start w:val="1"/>
      <w:numFmt w:val="bullet"/>
      <w:lvlText w:val="◦"/>
      <w:lvlJc w:val="left"/>
      <w:pPr>
        <w:tabs>
          <w:tab w:val="num" w:pos="4680"/>
        </w:tabs>
        <w:ind w:left="4680" w:hanging="360"/>
      </w:pPr>
      <w:rPr>
        <w:rFonts w:ascii="Microsoft Sans Serif" w:hAnsi="Microsoft Sans Serif" w:hint="default"/>
      </w:rPr>
    </w:lvl>
    <w:lvl w:ilvl="7" w:tplc="341C62EA" w:tentative="1">
      <w:start w:val="1"/>
      <w:numFmt w:val="bullet"/>
      <w:lvlText w:val="◦"/>
      <w:lvlJc w:val="left"/>
      <w:pPr>
        <w:tabs>
          <w:tab w:val="num" w:pos="5400"/>
        </w:tabs>
        <w:ind w:left="5400" w:hanging="360"/>
      </w:pPr>
      <w:rPr>
        <w:rFonts w:ascii="Microsoft Sans Serif" w:hAnsi="Microsoft Sans Serif" w:hint="default"/>
      </w:rPr>
    </w:lvl>
    <w:lvl w:ilvl="8" w:tplc="1054CBE2"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A65501"/>
    <w:multiLevelType w:val="hybridMultilevel"/>
    <w:tmpl w:val="AB682F1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3"/>
  </w:num>
  <w:num w:numId="4">
    <w:abstractNumId w:val="5"/>
  </w:num>
  <w:num w:numId="5">
    <w:abstractNumId w:val="0"/>
  </w:num>
  <w:num w:numId="6">
    <w:abstractNumId w:val="1"/>
  </w:num>
  <w:num w:numId="7">
    <w:abstractNumId w:val="8"/>
  </w:num>
  <w:num w:numId="8">
    <w:abstractNumId w:val="7"/>
  </w:num>
  <w:num w:numId="9">
    <w:abstractNumId w:val="4"/>
  </w:num>
  <w:num w:numId="10">
    <w:abstractNumId w:val="2"/>
  </w:num>
  <w:num w:numId="11">
    <w:abstractNumId w:val="6"/>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11393"/>
    <w:rsid w:val="00012946"/>
    <w:rsid w:val="00013F15"/>
    <w:rsid w:val="00016491"/>
    <w:rsid w:val="000168CE"/>
    <w:rsid w:val="00024A54"/>
    <w:rsid w:val="00024BA4"/>
    <w:rsid w:val="0002512D"/>
    <w:rsid w:val="0002624A"/>
    <w:rsid w:val="000262F3"/>
    <w:rsid w:val="0002667A"/>
    <w:rsid w:val="00030BE0"/>
    <w:rsid w:val="00031410"/>
    <w:rsid w:val="0003211B"/>
    <w:rsid w:val="00033E77"/>
    <w:rsid w:val="00033F8E"/>
    <w:rsid w:val="00036376"/>
    <w:rsid w:val="00037DEE"/>
    <w:rsid w:val="00040BBE"/>
    <w:rsid w:val="000420DE"/>
    <w:rsid w:val="0005282C"/>
    <w:rsid w:val="000537B7"/>
    <w:rsid w:val="000543A6"/>
    <w:rsid w:val="00056C34"/>
    <w:rsid w:val="00056EB0"/>
    <w:rsid w:val="00057080"/>
    <w:rsid w:val="00063734"/>
    <w:rsid w:val="000659FC"/>
    <w:rsid w:val="00067869"/>
    <w:rsid w:val="000678B9"/>
    <w:rsid w:val="00071818"/>
    <w:rsid w:val="000736BD"/>
    <w:rsid w:val="00074453"/>
    <w:rsid w:val="0007617D"/>
    <w:rsid w:val="00076DE5"/>
    <w:rsid w:val="00080137"/>
    <w:rsid w:val="00080956"/>
    <w:rsid w:val="00083A87"/>
    <w:rsid w:val="00086940"/>
    <w:rsid w:val="00086AB3"/>
    <w:rsid w:val="00086C64"/>
    <w:rsid w:val="000917C6"/>
    <w:rsid w:val="00093599"/>
    <w:rsid w:val="000957BB"/>
    <w:rsid w:val="000A03FD"/>
    <w:rsid w:val="000A256F"/>
    <w:rsid w:val="000A42BB"/>
    <w:rsid w:val="000A4674"/>
    <w:rsid w:val="000B09D4"/>
    <w:rsid w:val="000B0C75"/>
    <w:rsid w:val="000B1AB0"/>
    <w:rsid w:val="000B1ACF"/>
    <w:rsid w:val="000B2858"/>
    <w:rsid w:val="000B2C38"/>
    <w:rsid w:val="000B5B95"/>
    <w:rsid w:val="000C19FB"/>
    <w:rsid w:val="000C50B2"/>
    <w:rsid w:val="000C6060"/>
    <w:rsid w:val="000C6D75"/>
    <w:rsid w:val="000C7D57"/>
    <w:rsid w:val="000D210F"/>
    <w:rsid w:val="000D2514"/>
    <w:rsid w:val="000D2E8D"/>
    <w:rsid w:val="000D38E5"/>
    <w:rsid w:val="000D43C7"/>
    <w:rsid w:val="000D49ED"/>
    <w:rsid w:val="000D4B4D"/>
    <w:rsid w:val="000D544F"/>
    <w:rsid w:val="000D6B55"/>
    <w:rsid w:val="000D7E08"/>
    <w:rsid w:val="000E2958"/>
    <w:rsid w:val="000E2FA0"/>
    <w:rsid w:val="000E37C3"/>
    <w:rsid w:val="000E397B"/>
    <w:rsid w:val="000E5ECA"/>
    <w:rsid w:val="000F064E"/>
    <w:rsid w:val="000F24A4"/>
    <w:rsid w:val="000F39D2"/>
    <w:rsid w:val="00100D2A"/>
    <w:rsid w:val="00101378"/>
    <w:rsid w:val="00103145"/>
    <w:rsid w:val="00103159"/>
    <w:rsid w:val="00103882"/>
    <w:rsid w:val="0010621B"/>
    <w:rsid w:val="00106D9E"/>
    <w:rsid w:val="00111EEC"/>
    <w:rsid w:val="00112C5B"/>
    <w:rsid w:val="00112C9D"/>
    <w:rsid w:val="0012062B"/>
    <w:rsid w:val="00121AF3"/>
    <w:rsid w:val="001237C2"/>
    <w:rsid w:val="001239DE"/>
    <w:rsid w:val="00124ED7"/>
    <w:rsid w:val="00132C80"/>
    <w:rsid w:val="001349BE"/>
    <w:rsid w:val="00135175"/>
    <w:rsid w:val="0013715F"/>
    <w:rsid w:val="001375FA"/>
    <w:rsid w:val="00137A78"/>
    <w:rsid w:val="0014472B"/>
    <w:rsid w:val="00145643"/>
    <w:rsid w:val="001470E8"/>
    <w:rsid w:val="00154D57"/>
    <w:rsid w:val="00156591"/>
    <w:rsid w:val="001570F6"/>
    <w:rsid w:val="00162432"/>
    <w:rsid w:val="00165C3F"/>
    <w:rsid w:val="00167524"/>
    <w:rsid w:val="00170A65"/>
    <w:rsid w:val="00171382"/>
    <w:rsid w:val="00173E7B"/>
    <w:rsid w:val="00173F42"/>
    <w:rsid w:val="00176ABC"/>
    <w:rsid w:val="0018120D"/>
    <w:rsid w:val="00183D6D"/>
    <w:rsid w:val="00186C20"/>
    <w:rsid w:val="00187B63"/>
    <w:rsid w:val="00187C49"/>
    <w:rsid w:val="00187D01"/>
    <w:rsid w:val="00187F9D"/>
    <w:rsid w:val="00193662"/>
    <w:rsid w:val="00195014"/>
    <w:rsid w:val="00195336"/>
    <w:rsid w:val="001969E5"/>
    <w:rsid w:val="00197278"/>
    <w:rsid w:val="00197D91"/>
    <w:rsid w:val="001A0FA0"/>
    <w:rsid w:val="001A19FC"/>
    <w:rsid w:val="001A27B4"/>
    <w:rsid w:val="001A28B1"/>
    <w:rsid w:val="001A38D4"/>
    <w:rsid w:val="001A7919"/>
    <w:rsid w:val="001A7D39"/>
    <w:rsid w:val="001B27AF"/>
    <w:rsid w:val="001C0343"/>
    <w:rsid w:val="001C1215"/>
    <w:rsid w:val="001C1FBB"/>
    <w:rsid w:val="001C28D1"/>
    <w:rsid w:val="001C37C6"/>
    <w:rsid w:val="001C4590"/>
    <w:rsid w:val="001C51AE"/>
    <w:rsid w:val="001C5668"/>
    <w:rsid w:val="001C6AEB"/>
    <w:rsid w:val="001D1E21"/>
    <w:rsid w:val="001D56D0"/>
    <w:rsid w:val="001E1651"/>
    <w:rsid w:val="001E17B4"/>
    <w:rsid w:val="001E1A61"/>
    <w:rsid w:val="001E59F8"/>
    <w:rsid w:val="001E5E9D"/>
    <w:rsid w:val="001E5FF1"/>
    <w:rsid w:val="001F069B"/>
    <w:rsid w:val="001F0B93"/>
    <w:rsid w:val="001F0FB5"/>
    <w:rsid w:val="001F546F"/>
    <w:rsid w:val="00207E3C"/>
    <w:rsid w:val="00215936"/>
    <w:rsid w:val="00220202"/>
    <w:rsid w:val="00220F04"/>
    <w:rsid w:val="00223C63"/>
    <w:rsid w:val="002274FD"/>
    <w:rsid w:val="002332E4"/>
    <w:rsid w:val="00233CB1"/>
    <w:rsid w:val="00234BB1"/>
    <w:rsid w:val="0023537E"/>
    <w:rsid w:val="00235FB6"/>
    <w:rsid w:val="00236BF6"/>
    <w:rsid w:val="00236BF8"/>
    <w:rsid w:val="002370D8"/>
    <w:rsid w:val="002403F6"/>
    <w:rsid w:val="00242D18"/>
    <w:rsid w:val="00245CE7"/>
    <w:rsid w:val="00250B57"/>
    <w:rsid w:val="00250E23"/>
    <w:rsid w:val="00252497"/>
    <w:rsid w:val="002524A8"/>
    <w:rsid w:val="00252518"/>
    <w:rsid w:val="00253ACC"/>
    <w:rsid w:val="002631F9"/>
    <w:rsid w:val="00265F68"/>
    <w:rsid w:val="002668E6"/>
    <w:rsid w:val="002675DC"/>
    <w:rsid w:val="00267AD3"/>
    <w:rsid w:val="00274BB4"/>
    <w:rsid w:val="002769B8"/>
    <w:rsid w:val="00276E81"/>
    <w:rsid w:val="002A072A"/>
    <w:rsid w:val="002A5549"/>
    <w:rsid w:val="002A76ED"/>
    <w:rsid w:val="002A7BDE"/>
    <w:rsid w:val="002A7FA0"/>
    <w:rsid w:val="002B64D3"/>
    <w:rsid w:val="002C34FC"/>
    <w:rsid w:val="002C4B4A"/>
    <w:rsid w:val="002C4CC5"/>
    <w:rsid w:val="002C4D92"/>
    <w:rsid w:val="002C5094"/>
    <w:rsid w:val="002C570F"/>
    <w:rsid w:val="002C6C9B"/>
    <w:rsid w:val="002D00E4"/>
    <w:rsid w:val="002D176F"/>
    <w:rsid w:val="002D2C4B"/>
    <w:rsid w:val="002D4766"/>
    <w:rsid w:val="002D51B5"/>
    <w:rsid w:val="002D59B9"/>
    <w:rsid w:val="002D6F60"/>
    <w:rsid w:val="002E02CB"/>
    <w:rsid w:val="002F08B7"/>
    <w:rsid w:val="002F1B15"/>
    <w:rsid w:val="002F55FC"/>
    <w:rsid w:val="002F6BD6"/>
    <w:rsid w:val="002F7416"/>
    <w:rsid w:val="003006C7"/>
    <w:rsid w:val="00301AC2"/>
    <w:rsid w:val="0030249D"/>
    <w:rsid w:val="0030633B"/>
    <w:rsid w:val="0030664C"/>
    <w:rsid w:val="003077D1"/>
    <w:rsid w:val="003128DB"/>
    <w:rsid w:val="00312F4D"/>
    <w:rsid w:val="0031355F"/>
    <w:rsid w:val="00314F91"/>
    <w:rsid w:val="00314FEF"/>
    <w:rsid w:val="00315971"/>
    <w:rsid w:val="00322315"/>
    <w:rsid w:val="00330341"/>
    <w:rsid w:val="00332DAA"/>
    <w:rsid w:val="00332FC8"/>
    <w:rsid w:val="0033314E"/>
    <w:rsid w:val="003352A7"/>
    <w:rsid w:val="003361E3"/>
    <w:rsid w:val="00341812"/>
    <w:rsid w:val="00343045"/>
    <w:rsid w:val="0034731B"/>
    <w:rsid w:val="00351E31"/>
    <w:rsid w:val="00351EE0"/>
    <w:rsid w:val="0035353B"/>
    <w:rsid w:val="00353C45"/>
    <w:rsid w:val="003552EC"/>
    <w:rsid w:val="003553A3"/>
    <w:rsid w:val="0035554B"/>
    <w:rsid w:val="00355A7E"/>
    <w:rsid w:val="00356349"/>
    <w:rsid w:val="00357A4B"/>
    <w:rsid w:val="003621A4"/>
    <w:rsid w:val="003622F9"/>
    <w:rsid w:val="00362629"/>
    <w:rsid w:val="00370C38"/>
    <w:rsid w:val="00371977"/>
    <w:rsid w:val="00371FD7"/>
    <w:rsid w:val="0037220B"/>
    <w:rsid w:val="00372AEC"/>
    <w:rsid w:val="00373086"/>
    <w:rsid w:val="003743D5"/>
    <w:rsid w:val="00374809"/>
    <w:rsid w:val="0037609B"/>
    <w:rsid w:val="00377092"/>
    <w:rsid w:val="00377ED9"/>
    <w:rsid w:val="00377FE2"/>
    <w:rsid w:val="003802A4"/>
    <w:rsid w:val="003802C3"/>
    <w:rsid w:val="0038044F"/>
    <w:rsid w:val="00380B2A"/>
    <w:rsid w:val="0038101D"/>
    <w:rsid w:val="00381E0E"/>
    <w:rsid w:val="00382FE0"/>
    <w:rsid w:val="00383422"/>
    <w:rsid w:val="00383F56"/>
    <w:rsid w:val="00385D49"/>
    <w:rsid w:val="003872A7"/>
    <w:rsid w:val="00391119"/>
    <w:rsid w:val="003921BC"/>
    <w:rsid w:val="00393472"/>
    <w:rsid w:val="00395573"/>
    <w:rsid w:val="003A2F64"/>
    <w:rsid w:val="003A47CC"/>
    <w:rsid w:val="003A7BB0"/>
    <w:rsid w:val="003B03DC"/>
    <w:rsid w:val="003B2C12"/>
    <w:rsid w:val="003B2F0C"/>
    <w:rsid w:val="003B554F"/>
    <w:rsid w:val="003B6CBB"/>
    <w:rsid w:val="003B7A52"/>
    <w:rsid w:val="003B7A73"/>
    <w:rsid w:val="003C0DBC"/>
    <w:rsid w:val="003C4E23"/>
    <w:rsid w:val="003C7B9E"/>
    <w:rsid w:val="003D03B0"/>
    <w:rsid w:val="003D46B6"/>
    <w:rsid w:val="003D4B50"/>
    <w:rsid w:val="003D4D48"/>
    <w:rsid w:val="003E26E4"/>
    <w:rsid w:val="003E2BF5"/>
    <w:rsid w:val="003E31A4"/>
    <w:rsid w:val="003E4F96"/>
    <w:rsid w:val="003E7A13"/>
    <w:rsid w:val="003E7DBD"/>
    <w:rsid w:val="003F0765"/>
    <w:rsid w:val="003F30F0"/>
    <w:rsid w:val="003F4407"/>
    <w:rsid w:val="003F6DFC"/>
    <w:rsid w:val="003F6E4A"/>
    <w:rsid w:val="003F785F"/>
    <w:rsid w:val="00400157"/>
    <w:rsid w:val="004004CB"/>
    <w:rsid w:val="004009EE"/>
    <w:rsid w:val="00403446"/>
    <w:rsid w:val="00403FA1"/>
    <w:rsid w:val="00406853"/>
    <w:rsid w:val="00411013"/>
    <w:rsid w:val="0041355A"/>
    <w:rsid w:val="00415507"/>
    <w:rsid w:val="004160DA"/>
    <w:rsid w:val="00423C12"/>
    <w:rsid w:val="00425742"/>
    <w:rsid w:val="00426A19"/>
    <w:rsid w:val="004310C7"/>
    <w:rsid w:val="00433B46"/>
    <w:rsid w:val="004342AD"/>
    <w:rsid w:val="00435F29"/>
    <w:rsid w:val="00440E8D"/>
    <w:rsid w:val="00442F80"/>
    <w:rsid w:val="00445301"/>
    <w:rsid w:val="00445819"/>
    <w:rsid w:val="00445AE2"/>
    <w:rsid w:val="00447D98"/>
    <w:rsid w:val="00455BEE"/>
    <w:rsid w:val="00456588"/>
    <w:rsid w:val="00456919"/>
    <w:rsid w:val="00461DAF"/>
    <w:rsid w:val="004729B5"/>
    <w:rsid w:val="00472D91"/>
    <w:rsid w:val="00473216"/>
    <w:rsid w:val="00473E60"/>
    <w:rsid w:val="004744BA"/>
    <w:rsid w:val="00475165"/>
    <w:rsid w:val="00481685"/>
    <w:rsid w:val="00483B91"/>
    <w:rsid w:val="004853D3"/>
    <w:rsid w:val="004861B6"/>
    <w:rsid w:val="00491099"/>
    <w:rsid w:val="00496682"/>
    <w:rsid w:val="00496A38"/>
    <w:rsid w:val="004A10E3"/>
    <w:rsid w:val="004A5683"/>
    <w:rsid w:val="004A58C1"/>
    <w:rsid w:val="004A5AA1"/>
    <w:rsid w:val="004A65EA"/>
    <w:rsid w:val="004A6A9A"/>
    <w:rsid w:val="004A75B8"/>
    <w:rsid w:val="004B20DB"/>
    <w:rsid w:val="004B2E29"/>
    <w:rsid w:val="004B3D91"/>
    <w:rsid w:val="004B5CCC"/>
    <w:rsid w:val="004C1FE5"/>
    <w:rsid w:val="004C2D20"/>
    <w:rsid w:val="004C5244"/>
    <w:rsid w:val="004D21A0"/>
    <w:rsid w:val="004D5202"/>
    <w:rsid w:val="004D7C7D"/>
    <w:rsid w:val="004E1A1D"/>
    <w:rsid w:val="004E40E2"/>
    <w:rsid w:val="004E4B52"/>
    <w:rsid w:val="004E4B70"/>
    <w:rsid w:val="004E5F65"/>
    <w:rsid w:val="004E6461"/>
    <w:rsid w:val="004E6B25"/>
    <w:rsid w:val="004E6FE5"/>
    <w:rsid w:val="004E7D49"/>
    <w:rsid w:val="004E7E8B"/>
    <w:rsid w:val="004F163B"/>
    <w:rsid w:val="004F1A98"/>
    <w:rsid w:val="004F2720"/>
    <w:rsid w:val="004F5FF0"/>
    <w:rsid w:val="004F70C3"/>
    <w:rsid w:val="00501D61"/>
    <w:rsid w:val="00504F0F"/>
    <w:rsid w:val="005052ED"/>
    <w:rsid w:val="005064EC"/>
    <w:rsid w:val="0050667C"/>
    <w:rsid w:val="0051128C"/>
    <w:rsid w:val="0051209F"/>
    <w:rsid w:val="0051319C"/>
    <w:rsid w:val="0052199B"/>
    <w:rsid w:val="005226CF"/>
    <w:rsid w:val="005232B5"/>
    <w:rsid w:val="00523739"/>
    <w:rsid w:val="00525F74"/>
    <w:rsid w:val="0053456B"/>
    <w:rsid w:val="00535910"/>
    <w:rsid w:val="00543BFF"/>
    <w:rsid w:val="00543DB1"/>
    <w:rsid w:val="0054493E"/>
    <w:rsid w:val="00544A6F"/>
    <w:rsid w:val="00545D9A"/>
    <w:rsid w:val="005500CB"/>
    <w:rsid w:val="00553570"/>
    <w:rsid w:val="00554D54"/>
    <w:rsid w:val="00561EA0"/>
    <w:rsid w:val="005628CE"/>
    <w:rsid w:val="00566C35"/>
    <w:rsid w:val="005718E2"/>
    <w:rsid w:val="00571CFE"/>
    <w:rsid w:val="00572741"/>
    <w:rsid w:val="00572A89"/>
    <w:rsid w:val="00573DBE"/>
    <w:rsid w:val="00574E30"/>
    <w:rsid w:val="005766D2"/>
    <w:rsid w:val="00577BAD"/>
    <w:rsid w:val="00577ECB"/>
    <w:rsid w:val="005810B3"/>
    <w:rsid w:val="00581CE7"/>
    <w:rsid w:val="00582E48"/>
    <w:rsid w:val="0058734D"/>
    <w:rsid w:val="00590EDE"/>
    <w:rsid w:val="00591CBD"/>
    <w:rsid w:val="005922FA"/>
    <w:rsid w:val="00596976"/>
    <w:rsid w:val="00597D59"/>
    <w:rsid w:val="005A49AD"/>
    <w:rsid w:val="005A5552"/>
    <w:rsid w:val="005B2812"/>
    <w:rsid w:val="005C31C9"/>
    <w:rsid w:val="005C3FD4"/>
    <w:rsid w:val="005C4BA8"/>
    <w:rsid w:val="005C6198"/>
    <w:rsid w:val="005C6C23"/>
    <w:rsid w:val="005D197F"/>
    <w:rsid w:val="005D1ACB"/>
    <w:rsid w:val="005D25FF"/>
    <w:rsid w:val="005D36DD"/>
    <w:rsid w:val="005D4237"/>
    <w:rsid w:val="005D6AF9"/>
    <w:rsid w:val="005E0C9E"/>
    <w:rsid w:val="005E3525"/>
    <w:rsid w:val="005E509B"/>
    <w:rsid w:val="005E5639"/>
    <w:rsid w:val="005F074E"/>
    <w:rsid w:val="005F0C44"/>
    <w:rsid w:val="005F110A"/>
    <w:rsid w:val="005F69A1"/>
    <w:rsid w:val="00602BA5"/>
    <w:rsid w:val="0060542D"/>
    <w:rsid w:val="00605D63"/>
    <w:rsid w:val="00606408"/>
    <w:rsid w:val="006103D7"/>
    <w:rsid w:val="006148F0"/>
    <w:rsid w:val="00617E3D"/>
    <w:rsid w:val="00621BB2"/>
    <w:rsid w:val="00622C09"/>
    <w:rsid w:val="00623A4E"/>
    <w:rsid w:val="00627A07"/>
    <w:rsid w:val="006303D8"/>
    <w:rsid w:val="00631432"/>
    <w:rsid w:val="0063219A"/>
    <w:rsid w:val="00632977"/>
    <w:rsid w:val="00633DFE"/>
    <w:rsid w:val="00634B26"/>
    <w:rsid w:val="00636E17"/>
    <w:rsid w:val="00641109"/>
    <w:rsid w:val="00641859"/>
    <w:rsid w:val="00643296"/>
    <w:rsid w:val="00643357"/>
    <w:rsid w:val="00643D76"/>
    <w:rsid w:val="00644EF7"/>
    <w:rsid w:val="0064551A"/>
    <w:rsid w:val="006461BA"/>
    <w:rsid w:val="00646259"/>
    <w:rsid w:val="006462A0"/>
    <w:rsid w:val="00650302"/>
    <w:rsid w:val="00653FF4"/>
    <w:rsid w:val="00655058"/>
    <w:rsid w:val="00657BE2"/>
    <w:rsid w:val="00660928"/>
    <w:rsid w:val="00662460"/>
    <w:rsid w:val="00667B4D"/>
    <w:rsid w:val="006709BE"/>
    <w:rsid w:val="0067152D"/>
    <w:rsid w:val="006757F3"/>
    <w:rsid w:val="00677EDC"/>
    <w:rsid w:val="00680DE8"/>
    <w:rsid w:val="00681173"/>
    <w:rsid w:val="00681BE8"/>
    <w:rsid w:val="006857F5"/>
    <w:rsid w:val="00685D76"/>
    <w:rsid w:val="006876A5"/>
    <w:rsid w:val="00687FF9"/>
    <w:rsid w:val="00690FF4"/>
    <w:rsid w:val="00692F45"/>
    <w:rsid w:val="00693132"/>
    <w:rsid w:val="00695480"/>
    <w:rsid w:val="006959A2"/>
    <w:rsid w:val="006A06AC"/>
    <w:rsid w:val="006A1F93"/>
    <w:rsid w:val="006A4C41"/>
    <w:rsid w:val="006B005C"/>
    <w:rsid w:val="006B0E03"/>
    <w:rsid w:val="006B10A4"/>
    <w:rsid w:val="006B31D9"/>
    <w:rsid w:val="006B42A1"/>
    <w:rsid w:val="006B438B"/>
    <w:rsid w:val="006B4ADB"/>
    <w:rsid w:val="006B635F"/>
    <w:rsid w:val="006B708B"/>
    <w:rsid w:val="006B77A7"/>
    <w:rsid w:val="006C07FA"/>
    <w:rsid w:val="006C50C0"/>
    <w:rsid w:val="006D2543"/>
    <w:rsid w:val="006D3016"/>
    <w:rsid w:val="006D4FD1"/>
    <w:rsid w:val="006D5330"/>
    <w:rsid w:val="006D615B"/>
    <w:rsid w:val="006D63B6"/>
    <w:rsid w:val="006D6F22"/>
    <w:rsid w:val="006E0DD5"/>
    <w:rsid w:val="006E415C"/>
    <w:rsid w:val="006E5655"/>
    <w:rsid w:val="006E5CF2"/>
    <w:rsid w:val="006E67D0"/>
    <w:rsid w:val="006E6DE4"/>
    <w:rsid w:val="006F0042"/>
    <w:rsid w:val="006F0530"/>
    <w:rsid w:val="006F0F7A"/>
    <w:rsid w:val="006F107E"/>
    <w:rsid w:val="006F3372"/>
    <w:rsid w:val="006F58A3"/>
    <w:rsid w:val="006F6F1A"/>
    <w:rsid w:val="00702DE1"/>
    <w:rsid w:val="0070685C"/>
    <w:rsid w:val="00707611"/>
    <w:rsid w:val="00710245"/>
    <w:rsid w:val="007132EE"/>
    <w:rsid w:val="00732EF0"/>
    <w:rsid w:val="00733627"/>
    <w:rsid w:val="007341B1"/>
    <w:rsid w:val="00734E92"/>
    <w:rsid w:val="007427ED"/>
    <w:rsid w:val="007433E8"/>
    <w:rsid w:val="00746BB9"/>
    <w:rsid w:val="00747B75"/>
    <w:rsid w:val="00751BBE"/>
    <w:rsid w:val="00755373"/>
    <w:rsid w:val="0075752E"/>
    <w:rsid w:val="00757CF3"/>
    <w:rsid w:val="00761129"/>
    <w:rsid w:val="00761C3F"/>
    <w:rsid w:val="007623E0"/>
    <w:rsid w:val="00762A6C"/>
    <w:rsid w:val="00765255"/>
    <w:rsid w:val="0076591D"/>
    <w:rsid w:val="00766747"/>
    <w:rsid w:val="00767EB7"/>
    <w:rsid w:val="0077600F"/>
    <w:rsid w:val="0077714C"/>
    <w:rsid w:val="007774CA"/>
    <w:rsid w:val="00777E06"/>
    <w:rsid w:val="00777F63"/>
    <w:rsid w:val="00785496"/>
    <w:rsid w:val="00790B4D"/>
    <w:rsid w:val="007A01E8"/>
    <w:rsid w:val="007A3560"/>
    <w:rsid w:val="007A3617"/>
    <w:rsid w:val="007B5E20"/>
    <w:rsid w:val="007B7B7C"/>
    <w:rsid w:val="007C022E"/>
    <w:rsid w:val="007C0F40"/>
    <w:rsid w:val="007C3BA5"/>
    <w:rsid w:val="007C5755"/>
    <w:rsid w:val="007C667D"/>
    <w:rsid w:val="007C6F5B"/>
    <w:rsid w:val="007D0699"/>
    <w:rsid w:val="007D0B66"/>
    <w:rsid w:val="007D2451"/>
    <w:rsid w:val="007D29FE"/>
    <w:rsid w:val="007D356D"/>
    <w:rsid w:val="007D58B0"/>
    <w:rsid w:val="007D7C9E"/>
    <w:rsid w:val="007E45DF"/>
    <w:rsid w:val="007E6928"/>
    <w:rsid w:val="007E6C65"/>
    <w:rsid w:val="007F2CF7"/>
    <w:rsid w:val="007F4820"/>
    <w:rsid w:val="00800910"/>
    <w:rsid w:val="00800F98"/>
    <w:rsid w:val="008018EB"/>
    <w:rsid w:val="0080208A"/>
    <w:rsid w:val="008028E6"/>
    <w:rsid w:val="00802D04"/>
    <w:rsid w:val="008054DD"/>
    <w:rsid w:val="008066F5"/>
    <w:rsid w:val="00807473"/>
    <w:rsid w:val="00807C2C"/>
    <w:rsid w:val="0081207E"/>
    <w:rsid w:val="0081363E"/>
    <w:rsid w:val="00814F06"/>
    <w:rsid w:val="00821808"/>
    <w:rsid w:val="00823208"/>
    <w:rsid w:val="008328CC"/>
    <w:rsid w:val="00832CAF"/>
    <w:rsid w:val="00833572"/>
    <w:rsid w:val="00835B53"/>
    <w:rsid w:val="00835BC1"/>
    <w:rsid w:val="00836D11"/>
    <w:rsid w:val="0083763C"/>
    <w:rsid w:val="00844223"/>
    <w:rsid w:val="00845192"/>
    <w:rsid w:val="008478D6"/>
    <w:rsid w:val="008501DB"/>
    <w:rsid w:val="00853958"/>
    <w:rsid w:val="008551A2"/>
    <w:rsid w:val="008552FB"/>
    <w:rsid w:val="0086262A"/>
    <w:rsid w:val="00863714"/>
    <w:rsid w:val="00865730"/>
    <w:rsid w:val="00866534"/>
    <w:rsid w:val="00866BA2"/>
    <w:rsid w:val="008672A5"/>
    <w:rsid w:val="00874369"/>
    <w:rsid w:val="00874471"/>
    <w:rsid w:val="0087480A"/>
    <w:rsid w:val="0087578E"/>
    <w:rsid w:val="00881C81"/>
    <w:rsid w:val="00882280"/>
    <w:rsid w:val="008868A4"/>
    <w:rsid w:val="00891B18"/>
    <w:rsid w:val="00892594"/>
    <w:rsid w:val="00893A1B"/>
    <w:rsid w:val="00893AF1"/>
    <w:rsid w:val="00896807"/>
    <w:rsid w:val="00897FFB"/>
    <w:rsid w:val="008A001F"/>
    <w:rsid w:val="008A11AB"/>
    <w:rsid w:val="008A27BC"/>
    <w:rsid w:val="008A593D"/>
    <w:rsid w:val="008A5B3D"/>
    <w:rsid w:val="008B2C16"/>
    <w:rsid w:val="008B32EE"/>
    <w:rsid w:val="008B55CB"/>
    <w:rsid w:val="008C3C62"/>
    <w:rsid w:val="008C4188"/>
    <w:rsid w:val="008C5B2B"/>
    <w:rsid w:val="008D0A59"/>
    <w:rsid w:val="008D2205"/>
    <w:rsid w:val="008D3AAC"/>
    <w:rsid w:val="008E3795"/>
    <w:rsid w:val="008E4749"/>
    <w:rsid w:val="008E5B8C"/>
    <w:rsid w:val="008F1538"/>
    <w:rsid w:val="008F3227"/>
    <w:rsid w:val="008F3CE7"/>
    <w:rsid w:val="008F5076"/>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32840"/>
    <w:rsid w:val="00932988"/>
    <w:rsid w:val="0093430A"/>
    <w:rsid w:val="00936C37"/>
    <w:rsid w:val="009409D3"/>
    <w:rsid w:val="00941314"/>
    <w:rsid w:val="00941635"/>
    <w:rsid w:val="00945B09"/>
    <w:rsid w:val="00945C92"/>
    <w:rsid w:val="00945D08"/>
    <w:rsid w:val="00947333"/>
    <w:rsid w:val="00950AE9"/>
    <w:rsid w:val="00950FB1"/>
    <w:rsid w:val="009527AB"/>
    <w:rsid w:val="00952D5C"/>
    <w:rsid w:val="0095504D"/>
    <w:rsid w:val="0095598A"/>
    <w:rsid w:val="00955F5E"/>
    <w:rsid w:val="009563AA"/>
    <w:rsid w:val="0095765D"/>
    <w:rsid w:val="009645FD"/>
    <w:rsid w:val="00966319"/>
    <w:rsid w:val="00970054"/>
    <w:rsid w:val="00970724"/>
    <w:rsid w:val="0097087D"/>
    <w:rsid w:val="00970E16"/>
    <w:rsid w:val="009713F0"/>
    <w:rsid w:val="00971F6E"/>
    <w:rsid w:val="00973C7C"/>
    <w:rsid w:val="0097617D"/>
    <w:rsid w:val="0097673F"/>
    <w:rsid w:val="00976BFC"/>
    <w:rsid w:val="009776F0"/>
    <w:rsid w:val="00977F79"/>
    <w:rsid w:val="00982CC0"/>
    <w:rsid w:val="009835AE"/>
    <w:rsid w:val="009839DA"/>
    <w:rsid w:val="009901E6"/>
    <w:rsid w:val="0099153B"/>
    <w:rsid w:val="0099262D"/>
    <w:rsid w:val="00994D15"/>
    <w:rsid w:val="009960F8"/>
    <w:rsid w:val="00996A61"/>
    <w:rsid w:val="009976E5"/>
    <w:rsid w:val="009A0602"/>
    <w:rsid w:val="009A0E7A"/>
    <w:rsid w:val="009A2782"/>
    <w:rsid w:val="009A341A"/>
    <w:rsid w:val="009A3A36"/>
    <w:rsid w:val="009A6465"/>
    <w:rsid w:val="009B27E4"/>
    <w:rsid w:val="009B36D4"/>
    <w:rsid w:val="009C27C9"/>
    <w:rsid w:val="009C3524"/>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5AED"/>
    <w:rsid w:val="00A00EAE"/>
    <w:rsid w:val="00A013F7"/>
    <w:rsid w:val="00A03C4D"/>
    <w:rsid w:val="00A07662"/>
    <w:rsid w:val="00A1097E"/>
    <w:rsid w:val="00A16ADF"/>
    <w:rsid w:val="00A16BA7"/>
    <w:rsid w:val="00A238FA"/>
    <w:rsid w:val="00A23C09"/>
    <w:rsid w:val="00A25DD2"/>
    <w:rsid w:val="00A26613"/>
    <w:rsid w:val="00A307E1"/>
    <w:rsid w:val="00A34493"/>
    <w:rsid w:val="00A374AE"/>
    <w:rsid w:val="00A400FB"/>
    <w:rsid w:val="00A43DE5"/>
    <w:rsid w:val="00A44797"/>
    <w:rsid w:val="00A4484D"/>
    <w:rsid w:val="00A466D9"/>
    <w:rsid w:val="00A50C5F"/>
    <w:rsid w:val="00A522F3"/>
    <w:rsid w:val="00A555CB"/>
    <w:rsid w:val="00A57DD8"/>
    <w:rsid w:val="00A61C33"/>
    <w:rsid w:val="00A6236A"/>
    <w:rsid w:val="00A635F8"/>
    <w:rsid w:val="00A63F6E"/>
    <w:rsid w:val="00A65F29"/>
    <w:rsid w:val="00A701CA"/>
    <w:rsid w:val="00A7124A"/>
    <w:rsid w:val="00A7603A"/>
    <w:rsid w:val="00A77504"/>
    <w:rsid w:val="00A77A6A"/>
    <w:rsid w:val="00A77DCB"/>
    <w:rsid w:val="00A803A2"/>
    <w:rsid w:val="00A807CD"/>
    <w:rsid w:val="00A83FC8"/>
    <w:rsid w:val="00A85F3F"/>
    <w:rsid w:val="00A863C7"/>
    <w:rsid w:val="00A90E61"/>
    <w:rsid w:val="00A91A20"/>
    <w:rsid w:val="00A922BB"/>
    <w:rsid w:val="00A93C34"/>
    <w:rsid w:val="00A94E82"/>
    <w:rsid w:val="00A95373"/>
    <w:rsid w:val="00A95C5B"/>
    <w:rsid w:val="00AA1894"/>
    <w:rsid w:val="00AA1D9E"/>
    <w:rsid w:val="00AA2348"/>
    <w:rsid w:val="00AA28DC"/>
    <w:rsid w:val="00AA3246"/>
    <w:rsid w:val="00AA38AC"/>
    <w:rsid w:val="00AA3DC1"/>
    <w:rsid w:val="00AA4579"/>
    <w:rsid w:val="00AA4A2C"/>
    <w:rsid w:val="00AA61A5"/>
    <w:rsid w:val="00AA6B4E"/>
    <w:rsid w:val="00AB18ED"/>
    <w:rsid w:val="00AB4A6C"/>
    <w:rsid w:val="00AB58F1"/>
    <w:rsid w:val="00AC2433"/>
    <w:rsid w:val="00AC4751"/>
    <w:rsid w:val="00AC53AE"/>
    <w:rsid w:val="00AC561E"/>
    <w:rsid w:val="00AC5AA7"/>
    <w:rsid w:val="00AC6898"/>
    <w:rsid w:val="00AC6B71"/>
    <w:rsid w:val="00AC7C50"/>
    <w:rsid w:val="00AD35F6"/>
    <w:rsid w:val="00AD4DA9"/>
    <w:rsid w:val="00AD6F48"/>
    <w:rsid w:val="00AE0A86"/>
    <w:rsid w:val="00AE1745"/>
    <w:rsid w:val="00AE3CBB"/>
    <w:rsid w:val="00AE3E14"/>
    <w:rsid w:val="00AF0822"/>
    <w:rsid w:val="00AF1A64"/>
    <w:rsid w:val="00AF7939"/>
    <w:rsid w:val="00B05907"/>
    <w:rsid w:val="00B05EDB"/>
    <w:rsid w:val="00B146E1"/>
    <w:rsid w:val="00B16414"/>
    <w:rsid w:val="00B16F8A"/>
    <w:rsid w:val="00B20C7E"/>
    <w:rsid w:val="00B301D9"/>
    <w:rsid w:val="00B34450"/>
    <w:rsid w:val="00B37EA8"/>
    <w:rsid w:val="00B4182A"/>
    <w:rsid w:val="00B41DA9"/>
    <w:rsid w:val="00B4587A"/>
    <w:rsid w:val="00B5136F"/>
    <w:rsid w:val="00B52252"/>
    <w:rsid w:val="00B52DA3"/>
    <w:rsid w:val="00B60A29"/>
    <w:rsid w:val="00B62E3E"/>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651"/>
    <w:rsid w:val="00BA185A"/>
    <w:rsid w:val="00BA19C4"/>
    <w:rsid w:val="00BA1D83"/>
    <w:rsid w:val="00BA2B85"/>
    <w:rsid w:val="00BA310B"/>
    <w:rsid w:val="00BA397D"/>
    <w:rsid w:val="00BA47C6"/>
    <w:rsid w:val="00BA631F"/>
    <w:rsid w:val="00BB3503"/>
    <w:rsid w:val="00BB5192"/>
    <w:rsid w:val="00BB724A"/>
    <w:rsid w:val="00BB75D3"/>
    <w:rsid w:val="00BC117F"/>
    <w:rsid w:val="00BC30DD"/>
    <w:rsid w:val="00BC3FC2"/>
    <w:rsid w:val="00BC590B"/>
    <w:rsid w:val="00BD07D5"/>
    <w:rsid w:val="00BD43AE"/>
    <w:rsid w:val="00BD48F4"/>
    <w:rsid w:val="00BD5D41"/>
    <w:rsid w:val="00BE2ADA"/>
    <w:rsid w:val="00BE5367"/>
    <w:rsid w:val="00BF0031"/>
    <w:rsid w:val="00BF3796"/>
    <w:rsid w:val="00BF428F"/>
    <w:rsid w:val="00BF4674"/>
    <w:rsid w:val="00BF618F"/>
    <w:rsid w:val="00C00834"/>
    <w:rsid w:val="00C00D1E"/>
    <w:rsid w:val="00C02EE3"/>
    <w:rsid w:val="00C04272"/>
    <w:rsid w:val="00C1052E"/>
    <w:rsid w:val="00C10641"/>
    <w:rsid w:val="00C128C3"/>
    <w:rsid w:val="00C129E3"/>
    <w:rsid w:val="00C12BDD"/>
    <w:rsid w:val="00C17622"/>
    <w:rsid w:val="00C17B6C"/>
    <w:rsid w:val="00C20C06"/>
    <w:rsid w:val="00C21D39"/>
    <w:rsid w:val="00C261E1"/>
    <w:rsid w:val="00C3207C"/>
    <w:rsid w:val="00C32BBA"/>
    <w:rsid w:val="00C330A0"/>
    <w:rsid w:val="00C36691"/>
    <w:rsid w:val="00C37712"/>
    <w:rsid w:val="00C410CD"/>
    <w:rsid w:val="00C41B8D"/>
    <w:rsid w:val="00C43C77"/>
    <w:rsid w:val="00C445A1"/>
    <w:rsid w:val="00C470E0"/>
    <w:rsid w:val="00C47CB0"/>
    <w:rsid w:val="00C50796"/>
    <w:rsid w:val="00C519E7"/>
    <w:rsid w:val="00C51D40"/>
    <w:rsid w:val="00C52F48"/>
    <w:rsid w:val="00C55896"/>
    <w:rsid w:val="00C56E07"/>
    <w:rsid w:val="00C575B1"/>
    <w:rsid w:val="00C610E6"/>
    <w:rsid w:val="00C62CE6"/>
    <w:rsid w:val="00C6310E"/>
    <w:rsid w:val="00C63772"/>
    <w:rsid w:val="00C642AC"/>
    <w:rsid w:val="00C667F4"/>
    <w:rsid w:val="00C70367"/>
    <w:rsid w:val="00C708BF"/>
    <w:rsid w:val="00C75112"/>
    <w:rsid w:val="00C76CF3"/>
    <w:rsid w:val="00C77919"/>
    <w:rsid w:val="00C81388"/>
    <w:rsid w:val="00C82BB3"/>
    <w:rsid w:val="00C82CA6"/>
    <w:rsid w:val="00C843C2"/>
    <w:rsid w:val="00C84BBF"/>
    <w:rsid w:val="00C85214"/>
    <w:rsid w:val="00C852F7"/>
    <w:rsid w:val="00C86985"/>
    <w:rsid w:val="00C870D1"/>
    <w:rsid w:val="00C90EE0"/>
    <w:rsid w:val="00C944F5"/>
    <w:rsid w:val="00C948DA"/>
    <w:rsid w:val="00C956EA"/>
    <w:rsid w:val="00C95AD2"/>
    <w:rsid w:val="00C97560"/>
    <w:rsid w:val="00CA064D"/>
    <w:rsid w:val="00CA0FB0"/>
    <w:rsid w:val="00CA2301"/>
    <w:rsid w:val="00CA2530"/>
    <w:rsid w:val="00CA2E69"/>
    <w:rsid w:val="00CA41C2"/>
    <w:rsid w:val="00CA4AF5"/>
    <w:rsid w:val="00CA5A65"/>
    <w:rsid w:val="00CB495C"/>
    <w:rsid w:val="00CB63EC"/>
    <w:rsid w:val="00CB659D"/>
    <w:rsid w:val="00CC3AE2"/>
    <w:rsid w:val="00CC3B3E"/>
    <w:rsid w:val="00CC6035"/>
    <w:rsid w:val="00CC6F36"/>
    <w:rsid w:val="00CD178B"/>
    <w:rsid w:val="00CD1FF7"/>
    <w:rsid w:val="00CD3CD8"/>
    <w:rsid w:val="00CE0966"/>
    <w:rsid w:val="00CE1E76"/>
    <w:rsid w:val="00CE36D1"/>
    <w:rsid w:val="00CE3D40"/>
    <w:rsid w:val="00CF103F"/>
    <w:rsid w:val="00CF501A"/>
    <w:rsid w:val="00CF62DC"/>
    <w:rsid w:val="00CF78BE"/>
    <w:rsid w:val="00D00BD3"/>
    <w:rsid w:val="00D00C12"/>
    <w:rsid w:val="00D027A5"/>
    <w:rsid w:val="00D0322A"/>
    <w:rsid w:val="00D050AE"/>
    <w:rsid w:val="00D05DE4"/>
    <w:rsid w:val="00D06294"/>
    <w:rsid w:val="00D069EA"/>
    <w:rsid w:val="00D077E8"/>
    <w:rsid w:val="00D07C77"/>
    <w:rsid w:val="00D1119F"/>
    <w:rsid w:val="00D139D7"/>
    <w:rsid w:val="00D15E9F"/>
    <w:rsid w:val="00D16155"/>
    <w:rsid w:val="00D16205"/>
    <w:rsid w:val="00D17540"/>
    <w:rsid w:val="00D176D1"/>
    <w:rsid w:val="00D217A1"/>
    <w:rsid w:val="00D246C2"/>
    <w:rsid w:val="00D254A6"/>
    <w:rsid w:val="00D26555"/>
    <w:rsid w:val="00D30368"/>
    <w:rsid w:val="00D33090"/>
    <w:rsid w:val="00D3650D"/>
    <w:rsid w:val="00D37033"/>
    <w:rsid w:val="00D441FB"/>
    <w:rsid w:val="00D44550"/>
    <w:rsid w:val="00D44976"/>
    <w:rsid w:val="00D46CE3"/>
    <w:rsid w:val="00D502AB"/>
    <w:rsid w:val="00D516BB"/>
    <w:rsid w:val="00D517F6"/>
    <w:rsid w:val="00D550F8"/>
    <w:rsid w:val="00D5554D"/>
    <w:rsid w:val="00D557CC"/>
    <w:rsid w:val="00D56982"/>
    <w:rsid w:val="00D62085"/>
    <w:rsid w:val="00D6422A"/>
    <w:rsid w:val="00D642C2"/>
    <w:rsid w:val="00D64C0A"/>
    <w:rsid w:val="00D668E9"/>
    <w:rsid w:val="00D67B28"/>
    <w:rsid w:val="00D713D3"/>
    <w:rsid w:val="00D7165B"/>
    <w:rsid w:val="00D7305C"/>
    <w:rsid w:val="00D7317D"/>
    <w:rsid w:val="00D74268"/>
    <w:rsid w:val="00D75A60"/>
    <w:rsid w:val="00D75AAF"/>
    <w:rsid w:val="00D76F1D"/>
    <w:rsid w:val="00D77CC5"/>
    <w:rsid w:val="00D80CC2"/>
    <w:rsid w:val="00D81C92"/>
    <w:rsid w:val="00D87984"/>
    <w:rsid w:val="00D906EC"/>
    <w:rsid w:val="00D93D23"/>
    <w:rsid w:val="00D95353"/>
    <w:rsid w:val="00D9545E"/>
    <w:rsid w:val="00D95F26"/>
    <w:rsid w:val="00D96515"/>
    <w:rsid w:val="00D9753F"/>
    <w:rsid w:val="00D97DEB"/>
    <w:rsid w:val="00DA0889"/>
    <w:rsid w:val="00DA28BA"/>
    <w:rsid w:val="00DA3438"/>
    <w:rsid w:val="00DA3F1F"/>
    <w:rsid w:val="00DA48D9"/>
    <w:rsid w:val="00DA5C72"/>
    <w:rsid w:val="00DA61A6"/>
    <w:rsid w:val="00DA68F9"/>
    <w:rsid w:val="00DB37F0"/>
    <w:rsid w:val="00DB64B1"/>
    <w:rsid w:val="00DB750E"/>
    <w:rsid w:val="00DC343F"/>
    <w:rsid w:val="00DD05EF"/>
    <w:rsid w:val="00DD23AC"/>
    <w:rsid w:val="00DD4F99"/>
    <w:rsid w:val="00DD7F99"/>
    <w:rsid w:val="00DE0601"/>
    <w:rsid w:val="00DE22A8"/>
    <w:rsid w:val="00DE2450"/>
    <w:rsid w:val="00DE3A74"/>
    <w:rsid w:val="00DE47DB"/>
    <w:rsid w:val="00DE597F"/>
    <w:rsid w:val="00DE64F7"/>
    <w:rsid w:val="00DE6E6D"/>
    <w:rsid w:val="00DE75DA"/>
    <w:rsid w:val="00DE7AAC"/>
    <w:rsid w:val="00DF1586"/>
    <w:rsid w:val="00DF30FF"/>
    <w:rsid w:val="00DF448E"/>
    <w:rsid w:val="00DF6722"/>
    <w:rsid w:val="00DF684E"/>
    <w:rsid w:val="00DF6C2E"/>
    <w:rsid w:val="00E00D8B"/>
    <w:rsid w:val="00E01011"/>
    <w:rsid w:val="00E025C2"/>
    <w:rsid w:val="00E02C69"/>
    <w:rsid w:val="00E032FC"/>
    <w:rsid w:val="00E036C0"/>
    <w:rsid w:val="00E037C3"/>
    <w:rsid w:val="00E0504A"/>
    <w:rsid w:val="00E10239"/>
    <w:rsid w:val="00E116C4"/>
    <w:rsid w:val="00E11F84"/>
    <w:rsid w:val="00E127AE"/>
    <w:rsid w:val="00E13732"/>
    <w:rsid w:val="00E13A4A"/>
    <w:rsid w:val="00E14BDF"/>
    <w:rsid w:val="00E164AA"/>
    <w:rsid w:val="00E16FC8"/>
    <w:rsid w:val="00E2055C"/>
    <w:rsid w:val="00E2436D"/>
    <w:rsid w:val="00E246CA"/>
    <w:rsid w:val="00E2497C"/>
    <w:rsid w:val="00E25E53"/>
    <w:rsid w:val="00E30B2C"/>
    <w:rsid w:val="00E315E4"/>
    <w:rsid w:val="00E34D2E"/>
    <w:rsid w:val="00E34E20"/>
    <w:rsid w:val="00E40045"/>
    <w:rsid w:val="00E41F88"/>
    <w:rsid w:val="00E472E8"/>
    <w:rsid w:val="00E5421B"/>
    <w:rsid w:val="00E57E48"/>
    <w:rsid w:val="00E60314"/>
    <w:rsid w:val="00E6074A"/>
    <w:rsid w:val="00E63418"/>
    <w:rsid w:val="00E6342C"/>
    <w:rsid w:val="00E63B74"/>
    <w:rsid w:val="00E650A7"/>
    <w:rsid w:val="00E66D09"/>
    <w:rsid w:val="00E67B09"/>
    <w:rsid w:val="00E70730"/>
    <w:rsid w:val="00E71CB1"/>
    <w:rsid w:val="00E75D7F"/>
    <w:rsid w:val="00E75F68"/>
    <w:rsid w:val="00E76429"/>
    <w:rsid w:val="00E85B57"/>
    <w:rsid w:val="00E870DF"/>
    <w:rsid w:val="00E90709"/>
    <w:rsid w:val="00E92D5C"/>
    <w:rsid w:val="00E92FDF"/>
    <w:rsid w:val="00E93761"/>
    <w:rsid w:val="00E9685A"/>
    <w:rsid w:val="00E971EE"/>
    <w:rsid w:val="00EA2001"/>
    <w:rsid w:val="00EA21DF"/>
    <w:rsid w:val="00EA385F"/>
    <w:rsid w:val="00EA52BD"/>
    <w:rsid w:val="00EA6980"/>
    <w:rsid w:val="00EB115E"/>
    <w:rsid w:val="00EB19DE"/>
    <w:rsid w:val="00EB29C7"/>
    <w:rsid w:val="00EB33FF"/>
    <w:rsid w:val="00EC00DF"/>
    <w:rsid w:val="00EC06A5"/>
    <w:rsid w:val="00EC0C29"/>
    <w:rsid w:val="00EC2564"/>
    <w:rsid w:val="00EC3265"/>
    <w:rsid w:val="00EC7201"/>
    <w:rsid w:val="00EC7B20"/>
    <w:rsid w:val="00ED08BF"/>
    <w:rsid w:val="00ED3AE4"/>
    <w:rsid w:val="00ED521D"/>
    <w:rsid w:val="00ED5458"/>
    <w:rsid w:val="00ED5553"/>
    <w:rsid w:val="00EE31DA"/>
    <w:rsid w:val="00EE523F"/>
    <w:rsid w:val="00EE5FFE"/>
    <w:rsid w:val="00EE65B7"/>
    <w:rsid w:val="00EE7672"/>
    <w:rsid w:val="00EF0086"/>
    <w:rsid w:val="00EF166C"/>
    <w:rsid w:val="00EF3020"/>
    <w:rsid w:val="00EF35FC"/>
    <w:rsid w:val="00EF53B5"/>
    <w:rsid w:val="00EF5F09"/>
    <w:rsid w:val="00EF7789"/>
    <w:rsid w:val="00F006DC"/>
    <w:rsid w:val="00F0339C"/>
    <w:rsid w:val="00F060FF"/>
    <w:rsid w:val="00F07BC3"/>
    <w:rsid w:val="00F11C24"/>
    <w:rsid w:val="00F12221"/>
    <w:rsid w:val="00F142A4"/>
    <w:rsid w:val="00F14367"/>
    <w:rsid w:val="00F154BB"/>
    <w:rsid w:val="00F2046D"/>
    <w:rsid w:val="00F21823"/>
    <w:rsid w:val="00F22538"/>
    <w:rsid w:val="00F25313"/>
    <w:rsid w:val="00F304B0"/>
    <w:rsid w:val="00F3140B"/>
    <w:rsid w:val="00F31ACE"/>
    <w:rsid w:val="00F32391"/>
    <w:rsid w:val="00F34A6D"/>
    <w:rsid w:val="00F34C96"/>
    <w:rsid w:val="00F355A1"/>
    <w:rsid w:val="00F35A7A"/>
    <w:rsid w:val="00F363B0"/>
    <w:rsid w:val="00F36785"/>
    <w:rsid w:val="00F367AF"/>
    <w:rsid w:val="00F40BF6"/>
    <w:rsid w:val="00F46206"/>
    <w:rsid w:val="00F46821"/>
    <w:rsid w:val="00F5101B"/>
    <w:rsid w:val="00F52E0B"/>
    <w:rsid w:val="00F53C97"/>
    <w:rsid w:val="00F550EA"/>
    <w:rsid w:val="00F55A73"/>
    <w:rsid w:val="00F57D96"/>
    <w:rsid w:val="00F62C9C"/>
    <w:rsid w:val="00F6523E"/>
    <w:rsid w:val="00F65DF3"/>
    <w:rsid w:val="00F67EFA"/>
    <w:rsid w:val="00F7072B"/>
    <w:rsid w:val="00F717B5"/>
    <w:rsid w:val="00F727F0"/>
    <w:rsid w:val="00F739A4"/>
    <w:rsid w:val="00F74673"/>
    <w:rsid w:val="00F81B21"/>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039"/>
    <w:rsid w:val="00F965B7"/>
    <w:rsid w:val="00F96C0A"/>
    <w:rsid w:val="00F96FF3"/>
    <w:rsid w:val="00F9736B"/>
    <w:rsid w:val="00F9766A"/>
    <w:rsid w:val="00F97FB4"/>
    <w:rsid w:val="00FA200F"/>
    <w:rsid w:val="00FA42E7"/>
    <w:rsid w:val="00FA63E7"/>
    <w:rsid w:val="00FB5810"/>
    <w:rsid w:val="00FC327D"/>
    <w:rsid w:val="00FC3602"/>
    <w:rsid w:val="00FC4E6F"/>
    <w:rsid w:val="00FC4FE5"/>
    <w:rsid w:val="00FC6E3D"/>
    <w:rsid w:val="00FD2CB9"/>
    <w:rsid w:val="00FD2E59"/>
    <w:rsid w:val="00FE1FEA"/>
    <w:rsid w:val="00FF6163"/>
    <w:rsid w:val="00FF6AE3"/>
    <w:rsid w:val="00FF6D8F"/>
    <w:rsid w:val="00FF7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6229E"/>
  <w15:chartTrackingRefBased/>
  <w15:docId w15:val="{DBAD595B-F90D-4866-88BE-D10724F54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14529480">
      <w:bodyDiv w:val="1"/>
      <w:marLeft w:val="0"/>
      <w:marRight w:val="0"/>
      <w:marTop w:val="0"/>
      <w:marBottom w:val="0"/>
      <w:divBdr>
        <w:top w:val="none" w:sz="0" w:space="0" w:color="auto"/>
        <w:left w:val="none" w:sz="0" w:space="0" w:color="auto"/>
        <w:bottom w:val="none" w:sz="0" w:space="0" w:color="auto"/>
        <w:right w:val="none" w:sz="0" w:space="0" w:color="auto"/>
      </w:divBdr>
      <w:divsChild>
        <w:div w:id="1561331304">
          <w:marLeft w:val="533"/>
          <w:marRight w:val="0"/>
          <w:marTop w:val="0"/>
          <w:marBottom w:val="0"/>
          <w:divBdr>
            <w:top w:val="none" w:sz="0" w:space="0" w:color="auto"/>
            <w:left w:val="none" w:sz="0" w:space="0" w:color="auto"/>
            <w:bottom w:val="none" w:sz="0" w:space="0" w:color="auto"/>
            <w:right w:val="none" w:sz="0" w:space="0" w:color="auto"/>
          </w:divBdr>
        </w:div>
      </w:divsChild>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08428776">
      <w:bodyDiv w:val="1"/>
      <w:marLeft w:val="0"/>
      <w:marRight w:val="0"/>
      <w:marTop w:val="0"/>
      <w:marBottom w:val="0"/>
      <w:divBdr>
        <w:top w:val="none" w:sz="0" w:space="0" w:color="auto"/>
        <w:left w:val="none" w:sz="0" w:space="0" w:color="auto"/>
        <w:bottom w:val="none" w:sz="0" w:space="0" w:color="auto"/>
        <w:right w:val="none" w:sz="0" w:space="0" w:color="auto"/>
      </w:divBdr>
      <w:divsChild>
        <w:div w:id="1227885540">
          <w:marLeft w:val="374"/>
          <w:marRight w:val="0"/>
          <w:marTop w:val="8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3053370">
      <w:bodyDiv w:val="1"/>
      <w:marLeft w:val="0"/>
      <w:marRight w:val="0"/>
      <w:marTop w:val="0"/>
      <w:marBottom w:val="0"/>
      <w:divBdr>
        <w:top w:val="none" w:sz="0" w:space="0" w:color="auto"/>
        <w:left w:val="none" w:sz="0" w:space="0" w:color="auto"/>
        <w:bottom w:val="none" w:sz="0" w:space="0" w:color="auto"/>
        <w:right w:val="none" w:sz="0" w:space="0" w:color="auto"/>
      </w:divBdr>
      <w:divsChild>
        <w:div w:id="627510986">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9798937">
      <w:bodyDiv w:val="1"/>
      <w:marLeft w:val="0"/>
      <w:marRight w:val="0"/>
      <w:marTop w:val="0"/>
      <w:marBottom w:val="0"/>
      <w:divBdr>
        <w:top w:val="none" w:sz="0" w:space="0" w:color="auto"/>
        <w:left w:val="none" w:sz="0" w:space="0" w:color="auto"/>
        <w:bottom w:val="none" w:sz="0" w:space="0" w:color="auto"/>
        <w:right w:val="none" w:sz="0" w:space="0" w:color="auto"/>
      </w:divBdr>
      <w:divsChild>
        <w:div w:id="893009213">
          <w:marLeft w:val="533"/>
          <w:marRight w:val="0"/>
          <w:marTop w:val="0"/>
          <w:marBottom w:val="0"/>
          <w:divBdr>
            <w:top w:val="none" w:sz="0" w:space="0" w:color="auto"/>
            <w:left w:val="none" w:sz="0" w:space="0" w:color="auto"/>
            <w:bottom w:val="none" w:sz="0" w:space="0" w:color="auto"/>
            <w:right w:val="none" w:sz="0" w:space="0" w:color="auto"/>
          </w:divBdr>
        </w:div>
        <w:div w:id="194468148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7C7D4-A6B1-4AA5-8B6C-1EF077ED0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2019-08-16T04:59:00Z</dcterms:created>
  <dcterms:modified xsi:type="dcterms:W3CDTF">2019-08-16T05:20:00Z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