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F6C9A" w14:textId="2A3611B9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9B03B5">
        <w:t>7</w:t>
      </w:r>
      <w:r w:rsidRPr="00CE0424">
        <w:tab/>
      </w:r>
      <w:proofErr w:type="spellStart"/>
      <w:r w:rsidRPr="00212D33">
        <w:rPr>
          <w:szCs w:val="24"/>
        </w:rPr>
        <w:t>Tdoc</w:t>
      </w:r>
      <w:proofErr w:type="spellEnd"/>
      <w:r w:rsidRPr="00212D33">
        <w:rPr>
          <w:szCs w:val="24"/>
        </w:rPr>
        <w:t xml:space="preserve"> </w:t>
      </w:r>
      <w:r w:rsidR="00091557" w:rsidRPr="00212D33">
        <w:rPr>
          <w:szCs w:val="24"/>
        </w:rPr>
        <w:t>R2-</w:t>
      </w:r>
      <w:r w:rsidR="0087475B" w:rsidRPr="0087475B">
        <w:rPr>
          <w:szCs w:val="24"/>
        </w:rPr>
        <w:t>1910494</w:t>
      </w:r>
    </w:p>
    <w:p w14:paraId="5B6644FB" w14:textId="3061D134" w:rsidR="00E90E49" w:rsidRPr="00CE0424" w:rsidRDefault="00714D00" w:rsidP="00311702">
      <w:pPr>
        <w:pStyle w:val="3GPPHeader"/>
      </w:pPr>
      <w:r>
        <w:rPr>
          <w:noProof/>
        </w:rPr>
        <w:t>Prague, Czech Republic, 26</w:t>
      </w:r>
      <w:r w:rsidRPr="00F12B1D">
        <w:rPr>
          <w:noProof/>
          <w:vertAlign w:val="superscript"/>
        </w:rPr>
        <w:t>th</w:t>
      </w:r>
      <w:r w:rsidRPr="004C5BCD">
        <w:t xml:space="preserve"> </w:t>
      </w:r>
      <w:r>
        <w:t xml:space="preserve">– </w:t>
      </w:r>
      <w:r>
        <w:rPr>
          <w:noProof/>
        </w:rPr>
        <w:t>30</w:t>
      </w:r>
      <w:r w:rsidRPr="004B081F">
        <w:rPr>
          <w:noProof/>
          <w:vertAlign w:val="superscript"/>
        </w:rPr>
        <w:t>th</w:t>
      </w:r>
      <w:r>
        <w:rPr>
          <w:noProof/>
        </w:rPr>
        <w:t xml:space="preserve"> August 2019</w:t>
      </w:r>
    </w:p>
    <w:p w14:paraId="7D7146BE" w14:textId="77777777" w:rsidR="00E90E49" w:rsidRPr="00CE0424" w:rsidRDefault="00E90E49" w:rsidP="00357380">
      <w:pPr>
        <w:pStyle w:val="3GPPHeader"/>
      </w:pPr>
    </w:p>
    <w:p w14:paraId="7DB3E6FF" w14:textId="6054BA04" w:rsidR="00E90E49" w:rsidRPr="00F9207E" w:rsidRDefault="00E90E49" w:rsidP="00311702">
      <w:pPr>
        <w:pStyle w:val="3GPPHeader"/>
        <w:rPr>
          <w:sz w:val="22"/>
          <w:szCs w:val="22"/>
          <w:lang w:val="en-US"/>
        </w:rPr>
      </w:pPr>
      <w:r w:rsidRPr="00F9207E">
        <w:rPr>
          <w:sz w:val="22"/>
          <w:szCs w:val="22"/>
          <w:lang w:val="en-US"/>
        </w:rPr>
        <w:t>Agenda Item:</w:t>
      </w:r>
      <w:r w:rsidRPr="00F9207E">
        <w:rPr>
          <w:sz w:val="22"/>
          <w:szCs w:val="22"/>
          <w:lang w:val="en-US"/>
        </w:rPr>
        <w:tab/>
      </w:r>
      <w:r w:rsidR="00F9207E" w:rsidRPr="00797CF1">
        <w:rPr>
          <w:sz w:val="22"/>
          <w:szCs w:val="22"/>
          <w:lang w:val="en-US"/>
        </w:rPr>
        <w:t>11.1.5</w:t>
      </w:r>
    </w:p>
    <w:p w14:paraId="79B1CE2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53DADD1" w14:textId="779AB5A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B03B5" w:rsidRPr="00797CF1">
        <w:rPr>
          <w:sz w:val="22"/>
          <w:szCs w:val="22"/>
        </w:rPr>
        <w:t xml:space="preserve">Access </w:t>
      </w:r>
      <w:r w:rsidR="00797CF1" w:rsidRPr="00797CF1">
        <w:rPr>
          <w:sz w:val="22"/>
          <w:szCs w:val="22"/>
        </w:rPr>
        <w:t>I</w:t>
      </w:r>
      <w:r w:rsidR="009B03B5" w:rsidRPr="00797CF1">
        <w:rPr>
          <w:sz w:val="22"/>
          <w:szCs w:val="22"/>
        </w:rPr>
        <w:t xml:space="preserve">dentities and </w:t>
      </w:r>
      <w:r w:rsidR="00797CF1" w:rsidRPr="00797CF1">
        <w:rPr>
          <w:sz w:val="22"/>
          <w:szCs w:val="22"/>
        </w:rPr>
        <w:t>A</w:t>
      </w:r>
      <w:r w:rsidR="009B03B5" w:rsidRPr="00797CF1">
        <w:rPr>
          <w:sz w:val="22"/>
          <w:szCs w:val="22"/>
        </w:rPr>
        <w:t xml:space="preserve">ccess </w:t>
      </w:r>
      <w:r w:rsidR="00797CF1" w:rsidRPr="00797CF1">
        <w:rPr>
          <w:sz w:val="22"/>
          <w:szCs w:val="22"/>
        </w:rPr>
        <w:t>C</w:t>
      </w:r>
      <w:r w:rsidR="009B03B5" w:rsidRPr="00797CF1">
        <w:rPr>
          <w:sz w:val="22"/>
          <w:szCs w:val="22"/>
        </w:rPr>
        <w:t>ategories for IAB</w:t>
      </w:r>
      <w:r w:rsidR="00F9207E" w:rsidRPr="00797CF1">
        <w:rPr>
          <w:sz w:val="22"/>
          <w:szCs w:val="22"/>
        </w:rPr>
        <w:t xml:space="preserve"> </w:t>
      </w:r>
      <w:r w:rsidR="00797CF1" w:rsidRPr="00797CF1">
        <w:rPr>
          <w:sz w:val="22"/>
          <w:szCs w:val="22"/>
        </w:rPr>
        <w:t>N</w:t>
      </w:r>
      <w:r w:rsidR="00F9207E" w:rsidRPr="00797CF1">
        <w:rPr>
          <w:sz w:val="22"/>
          <w:szCs w:val="22"/>
        </w:rPr>
        <w:t>ode</w:t>
      </w:r>
      <w:r w:rsidR="009B03B5" w:rsidRPr="00797CF1">
        <w:rPr>
          <w:sz w:val="22"/>
          <w:szCs w:val="22"/>
        </w:rPr>
        <w:t>s</w:t>
      </w:r>
    </w:p>
    <w:p w14:paraId="1A41FF13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97CF1">
        <w:rPr>
          <w:sz w:val="22"/>
          <w:szCs w:val="22"/>
        </w:rPr>
        <w:t>Discussion, Decision</w:t>
      </w:r>
    </w:p>
    <w:p w14:paraId="70E32EB3" w14:textId="77777777" w:rsidR="00E90E49" w:rsidRPr="00CE0424" w:rsidRDefault="00E90E49" w:rsidP="00E90E49"/>
    <w:p w14:paraId="56838F1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014A419" w14:textId="3C5EA4C4" w:rsidR="00477768" w:rsidRDefault="00C5494D" w:rsidP="00CE0424">
      <w:pPr>
        <w:pStyle w:val="BodyText"/>
      </w:pPr>
      <w:r>
        <w:t xml:space="preserve">Access categories and access identities are primarily used to enable Unified Access Control (UAC). UAC has as a purpose to temporarily prevent the access to the network and is used for load control. Access identities also play a role in cell reservation. Cell reservations have as a purpose preventing certain devices to camp in the cell. </w:t>
      </w:r>
      <w:r w:rsidR="00175199">
        <w:t xml:space="preserve"> </w:t>
      </w:r>
    </w:p>
    <w:p w14:paraId="15E3C614" w14:textId="59D83156" w:rsidR="00C5494D" w:rsidRPr="00CE0424" w:rsidRDefault="00C5494D" w:rsidP="00CE0424">
      <w:pPr>
        <w:pStyle w:val="BodyText"/>
      </w:pPr>
      <w:r>
        <w:t xml:space="preserve">We think that that it is important that, in certain situation, the network </w:t>
      </w:r>
      <w:proofErr w:type="gramStart"/>
      <w:r>
        <w:t>is able to</w:t>
      </w:r>
      <w:proofErr w:type="gramEnd"/>
      <w:r>
        <w:t xml:space="preserve"> differentiate normal accesses/UEs from IAB nodes</w:t>
      </w:r>
      <w:r w:rsidR="00BC5911">
        <w:t xml:space="preserve"> and its accesses</w:t>
      </w:r>
      <w:r>
        <w:t>. In some deployments, for example, some IAB nodes may only serve other IAB nodes but are not meant to serve UEs.</w:t>
      </w:r>
      <w:r w:rsidR="00BC5911">
        <w:t xml:space="preserve"> RAN2 should provide with the mechanisms to allow </w:t>
      </w:r>
      <w:r w:rsidR="00212D33">
        <w:t>this differentiation</w:t>
      </w:r>
      <w:r w:rsidR="00BC5911">
        <w:t>.</w:t>
      </w:r>
    </w:p>
    <w:p w14:paraId="02E7FE8B" w14:textId="33A3806C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1AE278E" w14:textId="1BCC1534" w:rsidR="00C4526B" w:rsidRDefault="00157EBD" w:rsidP="00157EBD">
      <w:pPr>
        <w:pStyle w:val="Heading2"/>
      </w:pPr>
      <w:r>
        <w:t>2.1</w:t>
      </w:r>
      <w:r>
        <w:tab/>
      </w:r>
      <w:r w:rsidR="00BB252E">
        <w:t>Background</w:t>
      </w:r>
    </w:p>
    <w:p w14:paraId="42AFB403" w14:textId="74237425" w:rsidR="00E03D0C" w:rsidRDefault="00A309D0" w:rsidP="005F045D">
      <w:pPr>
        <w:pStyle w:val="BodyText"/>
      </w:pPr>
      <w:r>
        <w:t xml:space="preserve">Access categories and access identities </w:t>
      </w:r>
      <w:r w:rsidR="00D21C12">
        <w:t>are defined in TS 22.261 and TS 2</w:t>
      </w:r>
      <w:r w:rsidR="004C4E37">
        <w:t>4</w:t>
      </w:r>
      <w:r w:rsidR="00D21C12">
        <w:t xml:space="preserve">.501. </w:t>
      </w:r>
      <w:r w:rsidR="00E03D0C">
        <w:t>There are 64 access categories</w:t>
      </w:r>
      <w:r w:rsidR="00CD5707">
        <w:t xml:space="preserve"> and only 9 </w:t>
      </w:r>
      <w:r w:rsidR="00BC3615">
        <w:t xml:space="preserve">(0-8) are currently defined. </w:t>
      </w:r>
      <w:r w:rsidR="00B2238C">
        <w:t>23 access categories (</w:t>
      </w:r>
      <w:r w:rsidR="008B6C0D">
        <w:t>9-31</w:t>
      </w:r>
      <w:r w:rsidR="00B2238C">
        <w:t xml:space="preserve">) are </w:t>
      </w:r>
      <w:r w:rsidR="00831BE6">
        <w:t xml:space="preserve">reserved for future use, and </w:t>
      </w:r>
      <w:r w:rsidR="006911B4">
        <w:t>32 access clas</w:t>
      </w:r>
      <w:r w:rsidR="00BC6828">
        <w:t xml:space="preserve">ses </w:t>
      </w:r>
      <w:r w:rsidR="006911B4">
        <w:t>(32-63)</w:t>
      </w:r>
      <w:r w:rsidR="00BC6828">
        <w:t xml:space="preserve"> are res</w:t>
      </w:r>
      <w:r w:rsidR="00997860">
        <w:t>erved for operator classification.</w:t>
      </w:r>
      <w:r w:rsidR="00E61023">
        <w:t xml:space="preserve"> </w:t>
      </w:r>
      <w:r w:rsidR="00F9726A">
        <w:t>On the other hand, there are 16 access identifies</w:t>
      </w:r>
      <w:r w:rsidR="00892B68">
        <w:t xml:space="preserve">. 3 access identities (0-2) </w:t>
      </w:r>
      <w:r w:rsidR="00D0604A">
        <w:t xml:space="preserve">are currently defined. </w:t>
      </w:r>
      <w:r w:rsidR="00C17675">
        <w:t>Identities 11-15 have a special purpose</w:t>
      </w:r>
      <w:r w:rsidR="00396EF4">
        <w:t>, and identi</w:t>
      </w:r>
      <w:r w:rsidR="00B9245E">
        <w:t>t</w:t>
      </w:r>
      <w:r w:rsidR="00396EF4">
        <w:t xml:space="preserve">ies </w:t>
      </w:r>
      <w:r w:rsidR="00B9245E">
        <w:t>3-10 are reserved for future use.</w:t>
      </w:r>
    </w:p>
    <w:p w14:paraId="20F4B8E1" w14:textId="77777777" w:rsidR="00442160" w:rsidRDefault="00687BCD" w:rsidP="005F045D">
      <w:pPr>
        <w:pStyle w:val="BodyText"/>
      </w:pPr>
      <w:r>
        <w:t>T</w:t>
      </w:r>
      <w:r w:rsidR="00F3599F">
        <w:t xml:space="preserve">he access identities and the access category </w:t>
      </w:r>
      <w:r w:rsidR="0017626A">
        <w:t xml:space="preserve">are </w:t>
      </w:r>
      <w:r>
        <w:t xml:space="preserve">determined by NAS </w:t>
      </w:r>
      <w:r w:rsidR="00F3599F">
        <w:t xml:space="preserve">for </w:t>
      </w:r>
      <w:r>
        <w:t xml:space="preserve">each </w:t>
      </w:r>
      <w:r w:rsidR="0017626A">
        <w:t xml:space="preserve">access </w:t>
      </w:r>
      <w:r w:rsidR="00F3599F">
        <w:t>request</w:t>
      </w:r>
      <w:r w:rsidR="0017626A">
        <w:t>. NAS takes into consideration</w:t>
      </w:r>
      <w:r w:rsidR="00F3599F">
        <w:t xml:space="preserve"> the reason for access, types of service requested and profile of the UE including UE configurations,</w:t>
      </w:r>
      <w:r w:rsidR="00576160">
        <w:t xml:space="preserve"> and compares the outcome</w:t>
      </w:r>
      <w:r w:rsidR="00F3599F">
        <w:t xml:space="preserve"> against a set of access identities and access categories defined in 3GPP TS 22.261 [3], namely:</w:t>
      </w:r>
    </w:p>
    <w:p w14:paraId="7CD0114F" w14:textId="7674695B" w:rsidR="00F3599F" w:rsidRDefault="00442160" w:rsidP="005F045D">
      <w:pPr>
        <w:pStyle w:val="BodyText"/>
      </w:pPr>
      <w:r>
        <w:t xml:space="preserve">- </w:t>
      </w:r>
      <w:r w:rsidR="00F3599F">
        <w:t>a set of standardized access identities;</w:t>
      </w:r>
      <w:r>
        <w:br/>
        <w:t xml:space="preserve">- </w:t>
      </w:r>
      <w:r w:rsidR="00F3599F">
        <w:t>a set of standardized access categories; and</w:t>
      </w:r>
      <w:r>
        <w:br/>
        <w:t xml:space="preserve">- </w:t>
      </w:r>
      <w:r w:rsidR="00F3599F">
        <w:t>a set of operator-defined access categories, if available.</w:t>
      </w:r>
    </w:p>
    <w:p w14:paraId="1EF273D9" w14:textId="78AEDA8B" w:rsidR="00EA30A0" w:rsidRDefault="00C26D37" w:rsidP="005F045D">
      <w:pPr>
        <w:pStyle w:val="BodyText"/>
      </w:pPr>
      <w:r>
        <w:t xml:space="preserve">Access identities </w:t>
      </w:r>
      <w:r w:rsidR="00CE019E">
        <w:t xml:space="preserve">are </w:t>
      </w:r>
      <w:r w:rsidR="00157EBD">
        <w:t xml:space="preserve">defined </w:t>
      </w:r>
      <w:r w:rsidR="00CE019E">
        <w:t>in the USIM</w:t>
      </w:r>
      <w:r w:rsidR="00703753">
        <w:t xml:space="preserve"> </w:t>
      </w:r>
      <w:r w:rsidR="00703753" w:rsidRPr="00703753">
        <w:t>EF</w:t>
      </w:r>
      <w:r w:rsidR="00703753" w:rsidRPr="00FC6F74">
        <w:rPr>
          <w:vertAlign w:val="subscript"/>
        </w:rPr>
        <w:t>ACC</w:t>
      </w:r>
      <w:r w:rsidR="00FC6F74">
        <w:t xml:space="preserve"> / EF</w:t>
      </w:r>
      <w:r w:rsidR="00FC6F74">
        <w:rPr>
          <w:vertAlign w:val="subscript"/>
        </w:rPr>
        <w:t>UAC_AIC</w:t>
      </w:r>
      <w:r w:rsidR="00157EBD">
        <w:t xml:space="preserve"> (TS 3</w:t>
      </w:r>
      <w:r w:rsidR="00793981">
        <w:t>1</w:t>
      </w:r>
      <w:r w:rsidR="00157EBD">
        <w:t xml:space="preserve">.102). </w:t>
      </w:r>
      <w:r w:rsidR="000B7431">
        <w:t>Operator-defined access categories are provided via NAS signalling</w:t>
      </w:r>
      <w:r w:rsidR="00157EBD">
        <w:t xml:space="preserve"> (TS 24.501)</w:t>
      </w:r>
      <w:r w:rsidR="000B7431">
        <w:t xml:space="preserve">. </w:t>
      </w:r>
    </w:p>
    <w:p w14:paraId="2282827B" w14:textId="1C58E380" w:rsidR="00714D00" w:rsidRDefault="00157EBD" w:rsidP="00157EBD">
      <w:pPr>
        <w:pStyle w:val="Heading2"/>
      </w:pPr>
      <w:r>
        <w:t>2.2</w:t>
      </w:r>
      <w:r>
        <w:tab/>
      </w:r>
      <w:r w:rsidR="00C4526B">
        <w:t xml:space="preserve">Impact on </w:t>
      </w:r>
      <w:r w:rsidR="003843FB">
        <w:t>cell status and c</w:t>
      </w:r>
      <w:r w:rsidR="00C4526B">
        <w:t>ell reservations</w:t>
      </w:r>
    </w:p>
    <w:p w14:paraId="73D1239C" w14:textId="290F8BA5" w:rsidR="00D45085" w:rsidRDefault="00D51553" w:rsidP="00C01377">
      <w:pPr>
        <w:pStyle w:val="BodyText"/>
      </w:pPr>
      <w:r>
        <w:t xml:space="preserve">The purpose of cell reservations is to restrict the access </w:t>
      </w:r>
      <w:r w:rsidR="00482263">
        <w:t xml:space="preserve">of UEs to a certain PLMN or to all PLMN. </w:t>
      </w:r>
      <w:r w:rsidR="00D754E2">
        <w:t xml:space="preserve">There are 3 different parameters to control cell reservations: </w:t>
      </w:r>
      <w:proofErr w:type="spellStart"/>
      <w:r w:rsidR="00D754E2">
        <w:t>cellBarred</w:t>
      </w:r>
      <w:proofErr w:type="spellEnd"/>
      <w:r w:rsidR="00D754E2">
        <w:t xml:space="preserve">, </w:t>
      </w:r>
      <w:proofErr w:type="spellStart"/>
      <w:r w:rsidR="00D754E2">
        <w:t>cellReservedForOperatorUse</w:t>
      </w:r>
      <w:proofErr w:type="spellEnd"/>
      <w:r w:rsidR="001E2702">
        <w:t xml:space="preserve">, and </w:t>
      </w:r>
      <w:proofErr w:type="spellStart"/>
      <w:r w:rsidR="001E2702">
        <w:t>cellReservedForOtherUse</w:t>
      </w:r>
      <w:proofErr w:type="spellEnd"/>
      <w:r w:rsidR="001E2702">
        <w:t xml:space="preserve">. </w:t>
      </w:r>
    </w:p>
    <w:p w14:paraId="546D02E5" w14:textId="77777777" w:rsidR="00482F88" w:rsidRDefault="00482F88" w:rsidP="00C01377">
      <w:pPr>
        <w:pStyle w:val="BodyText"/>
      </w:pPr>
    </w:p>
    <w:tbl>
      <w:tblPr>
        <w:tblStyle w:val="GridTable5Dark"/>
        <w:tblW w:w="9739" w:type="dxa"/>
        <w:tblLook w:val="04A0" w:firstRow="1" w:lastRow="0" w:firstColumn="1" w:lastColumn="0" w:noHBand="0" w:noVBand="1"/>
      </w:tblPr>
      <w:tblGrid>
        <w:gridCol w:w="1495"/>
        <w:gridCol w:w="1221"/>
        <w:gridCol w:w="3005"/>
        <w:gridCol w:w="2693"/>
        <w:gridCol w:w="1325"/>
      </w:tblGrid>
      <w:tr w:rsidR="005450C3" w14:paraId="43C8BAB2" w14:textId="77777777" w:rsidTr="005450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" w:type="dxa"/>
          </w:tcPr>
          <w:p w14:paraId="02DC7AAF" w14:textId="13563713" w:rsidR="00FA7D65" w:rsidRDefault="00FA7D65" w:rsidP="00FA7D65">
            <w:pPr>
              <w:pStyle w:val="BodyText"/>
            </w:pPr>
            <w:r>
              <w:lastRenderedPageBreak/>
              <w:t>AI</w:t>
            </w:r>
          </w:p>
        </w:tc>
        <w:tc>
          <w:tcPr>
            <w:tcW w:w="1314" w:type="dxa"/>
          </w:tcPr>
          <w:p w14:paraId="5F5B3FA6" w14:textId="74BCF30B" w:rsidR="00FA7D65" w:rsidRDefault="00FA7D65" w:rsidP="00FA7D65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cellBarred</w:t>
            </w:r>
            <w:proofErr w:type="spellEnd"/>
          </w:p>
        </w:tc>
        <w:tc>
          <w:tcPr>
            <w:tcW w:w="3078" w:type="dxa"/>
          </w:tcPr>
          <w:p w14:paraId="4AA5A65D" w14:textId="0FC4EFE6" w:rsidR="00FA7D65" w:rsidRDefault="00FA7D65" w:rsidP="00FA7D65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cellReservedForOperatorUse</w:t>
            </w:r>
            <w:proofErr w:type="spellEnd"/>
          </w:p>
        </w:tc>
        <w:tc>
          <w:tcPr>
            <w:tcW w:w="2760" w:type="dxa"/>
            <w:tcBorders>
              <w:right w:val="single" w:sz="8" w:space="0" w:color="FFFFFF" w:themeColor="background1"/>
            </w:tcBorders>
          </w:tcPr>
          <w:p w14:paraId="4FEC0D35" w14:textId="11340A9F" w:rsidR="00FA7D65" w:rsidRDefault="00FA7D65" w:rsidP="00FA7D65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cellReservedForOtherUse</w:t>
            </w:r>
            <w:proofErr w:type="spellEnd"/>
          </w:p>
        </w:tc>
        <w:tc>
          <w:tcPr>
            <w:tcW w:w="1813" w:type="dxa"/>
            <w:tcBorders>
              <w:left w:val="single" w:sz="8" w:space="0" w:color="FFFFFF" w:themeColor="background1"/>
            </w:tcBorders>
            <w:shd w:val="clear" w:color="auto" w:fill="C45911" w:themeFill="accent2" w:themeFillShade="BF"/>
          </w:tcPr>
          <w:p w14:paraId="2DC398C6" w14:textId="52B46F37" w:rsidR="00FA7D65" w:rsidRDefault="00FA7D65" w:rsidP="00FA7D65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Cell status</w:t>
            </w:r>
          </w:p>
        </w:tc>
      </w:tr>
      <w:tr w:rsidR="005450C3" w14:paraId="41A3DA27" w14:textId="77777777" w:rsidTr="005450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" w:type="dxa"/>
          </w:tcPr>
          <w:p w14:paraId="06AF258B" w14:textId="50BE1AEA" w:rsidR="00FA7D65" w:rsidRDefault="00FA7D65" w:rsidP="00FA7D65">
            <w:pPr>
              <w:pStyle w:val="BodyText"/>
            </w:pPr>
            <w:r>
              <w:t>Any</w:t>
            </w:r>
          </w:p>
        </w:tc>
        <w:tc>
          <w:tcPr>
            <w:tcW w:w="1314" w:type="dxa"/>
          </w:tcPr>
          <w:p w14:paraId="08400809" w14:textId="281B5BF3" w:rsidR="00FA7D65" w:rsidRDefault="00FA7D65" w:rsidP="00C24D47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Barred</w:t>
            </w:r>
          </w:p>
        </w:tc>
        <w:tc>
          <w:tcPr>
            <w:tcW w:w="3078" w:type="dxa"/>
          </w:tcPr>
          <w:p w14:paraId="1B810023" w14:textId="3CA3440E" w:rsidR="00FA7D65" w:rsidRDefault="00FA7D65" w:rsidP="00C24D47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760" w:type="dxa"/>
            <w:tcBorders>
              <w:right w:val="single" w:sz="8" w:space="0" w:color="FFFFFF" w:themeColor="background1"/>
            </w:tcBorders>
          </w:tcPr>
          <w:p w14:paraId="3EEF0167" w14:textId="5E76B190" w:rsidR="00FA7D65" w:rsidRDefault="00FA7D65" w:rsidP="00C24D47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813" w:type="dxa"/>
            <w:tcBorders>
              <w:left w:val="single" w:sz="8" w:space="0" w:color="FFFFFF" w:themeColor="background1"/>
            </w:tcBorders>
            <w:shd w:val="clear" w:color="auto" w:fill="F7CAAC" w:themeFill="accent2" w:themeFillTint="66"/>
          </w:tcPr>
          <w:p w14:paraId="72159937" w14:textId="11B10239" w:rsidR="00FA7D65" w:rsidRPr="005450C3" w:rsidRDefault="008C20FF" w:rsidP="00FA7D65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385623" w:themeColor="accent6" w:themeShade="80"/>
              </w:rPr>
            </w:pPr>
            <w:r>
              <w:rPr>
                <w:b/>
                <w:color w:val="385623" w:themeColor="accent6" w:themeShade="80"/>
              </w:rPr>
              <w:t>Barred</w:t>
            </w:r>
          </w:p>
        </w:tc>
      </w:tr>
      <w:tr w:rsidR="005450C3" w14:paraId="125DA647" w14:textId="77777777" w:rsidTr="005450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" w:type="dxa"/>
          </w:tcPr>
          <w:p w14:paraId="45F4D7B8" w14:textId="711C526D" w:rsidR="00FA7D65" w:rsidRDefault="00FA7D65" w:rsidP="00FA7D65">
            <w:pPr>
              <w:pStyle w:val="BodyText"/>
            </w:pPr>
            <w:r>
              <w:t>Any</w:t>
            </w:r>
          </w:p>
        </w:tc>
        <w:tc>
          <w:tcPr>
            <w:tcW w:w="1314" w:type="dxa"/>
          </w:tcPr>
          <w:p w14:paraId="5D04879B" w14:textId="66932305" w:rsidR="00FA7D65" w:rsidRDefault="00FA7D65" w:rsidP="00C24D47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.-</w:t>
            </w:r>
          </w:p>
        </w:tc>
        <w:tc>
          <w:tcPr>
            <w:tcW w:w="3078" w:type="dxa"/>
          </w:tcPr>
          <w:p w14:paraId="11D33661" w14:textId="35B367BC" w:rsidR="00FA7D65" w:rsidRDefault="00FA7D65" w:rsidP="00C24D47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760" w:type="dxa"/>
            <w:tcBorders>
              <w:right w:val="single" w:sz="8" w:space="0" w:color="FFFFFF" w:themeColor="background1"/>
            </w:tcBorders>
          </w:tcPr>
          <w:p w14:paraId="6ED9DE62" w14:textId="3E9F66DF" w:rsidR="00FA7D65" w:rsidRDefault="00FA7D65" w:rsidP="00C24D47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True</w:t>
            </w:r>
          </w:p>
        </w:tc>
        <w:tc>
          <w:tcPr>
            <w:tcW w:w="1813" w:type="dxa"/>
            <w:tcBorders>
              <w:left w:val="single" w:sz="8" w:space="0" w:color="FFFFFF" w:themeColor="background1"/>
            </w:tcBorders>
            <w:shd w:val="clear" w:color="auto" w:fill="FBE4D5" w:themeFill="accent2" w:themeFillTint="33"/>
          </w:tcPr>
          <w:p w14:paraId="373549D1" w14:textId="1B90A780" w:rsidR="00FA7D65" w:rsidRPr="005450C3" w:rsidRDefault="008C20FF" w:rsidP="00FA7D65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385623" w:themeColor="accent6" w:themeShade="80"/>
              </w:rPr>
            </w:pPr>
            <w:r>
              <w:rPr>
                <w:b/>
                <w:color w:val="385623" w:themeColor="accent6" w:themeShade="80"/>
              </w:rPr>
              <w:t>Barred</w:t>
            </w:r>
          </w:p>
        </w:tc>
      </w:tr>
      <w:tr w:rsidR="00FA7D65" w14:paraId="120A47A4" w14:textId="77777777" w:rsidTr="005450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" w:type="dxa"/>
          </w:tcPr>
          <w:p w14:paraId="09D1079D" w14:textId="51839138" w:rsidR="00FA7D65" w:rsidRDefault="00FA7D65" w:rsidP="00FA7D65">
            <w:pPr>
              <w:pStyle w:val="BodyText"/>
            </w:pPr>
            <w:r>
              <w:t>0</w:t>
            </w:r>
            <w:r w:rsidR="002D2C16">
              <w:t>/1/2/12/13/14</w:t>
            </w:r>
          </w:p>
        </w:tc>
        <w:tc>
          <w:tcPr>
            <w:tcW w:w="1314" w:type="dxa"/>
          </w:tcPr>
          <w:p w14:paraId="331DC417" w14:textId="3FAFDD81" w:rsidR="00FA7D65" w:rsidRDefault="00FA7D65" w:rsidP="00C24D47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Not barred</w:t>
            </w:r>
          </w:p>
        </w:tc>
        <w:tc>
          <w:tcPr>
            <w:tcW w:w="3078" w:type="dxa"/>
          </w:tcPr>
          <w:p w14:paraId="17F866B9" w14:textId="58D17FB8" w:rsidR="00FA7D65" w:rsidRDefault="00FA7D65" w:rsidP="00C24D47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Reserved</w:t>
            </w:r>
          </w:p>
        </w:tc>
        <w:tc>
          <w:tcPr>
            <w:tcW w:w="2760" w:type="dxa"/>
            <w:tcBorders>
              <w:right w:val="single" w:sz="8" w:space="0" w:color="FFFFFF" w:themeColor="background1"/>
            </w:tcBorders>
          </w:tcPr>
          <w:p w14:paraId="2F897BCF" w14:textId="781D9839" w:rsidR="00FA7D65" w:rsidRDefault="00FA7D65" w:rsidP="00C24D47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False</w:t>
            </w:r>
          </w:p>
        </w:tc>
        <w:tc>
          <w:tcPr>
            <w:tcW w:w="1813" w:type="dxa"/>
            <w:tcBorders>
              <w:left w:val="single" w:sz="8" w:space="0" w:color="FFFFFF" w:themeColor="background1"/>
            </w:tcBorders>
            <w:shd w:val="clear" w:color="auto" w:fill="F7CAAC" w:themeFill="accent2" w:themeFillTint="66"/>
          </w:tcPr>
          <w:p w14:paraId="485F7B4E" w14:textId="26E0C587" w:rsidR="00FA7D65" w:rsidRPr="005450C3" w:rsidRDefault="008C20FF" w:rsidP="00FA7D65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385623" w:themeColor="accent6" w:themeShade="80"/>
              </w:rPr>
            </w:pPr>
            <w:r>
              <w:rPr>
                <w:b/>
                <w:color w:val="385623" w:themeColor="accent6" w:themeShade="80"/>
              </w:rPr>
              <w:t>Barred</w:t>
            </w:r>
          </w:p>
        </w:tc>
      </w:tr>
      <w:tr w:rsidR="00FA7D65" w14:paraId="35A7EEF2" w14:textId="77777777" w:rsidTr="005450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" w:type="dxa"/>
          </w:tcPr>
          <w:p w14:paraId="105EF18D" w14:textId="320AB7D0" w:rsidR="00FA7D65" w:rsidRDefault="00FA7D65" w:rsidP="00FA7D65">
            <w:pPr>
              <w:pStyle w:val="BodyText"/>
            </w:pPr>
            <w:r>
              <w:t>11/15</w:t>
            </w:r>
          </w:p>
        </w:tc>
        <w:tc>
          <w:tcPr>
            <w:tcW w:w="1314" w:type="dxa"/>
          </w:tcPr>
          <w:p w14:paraId="25656FF0" w14:textId="603A7922" w:rsidR="00FA7D65" w:rsidRDefault="00FA7D65" w:rsidP="00C24D47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Not barred</w:t>
            </w:r>
          </w:p>
        </w:tc>
        <w:tc>
          <w:tcPr>
            <w:tcW w:w="3078" w:type="dxa"/>
          </w:tcPr>
          <w:p w14:paraId="3F840921" w14:textId="3E45EDA3" w:rsidR="00FA7D65" w:rsidRDefault="00FA7D65" w:rsidP="00C24D47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Reserved</w:t>
            </w:r>
          </w:p>
        </w:tc>
        <w:tc>
          <w:tcPr>
            <w:tcW w:w="2760" w:type="dxa"/>
            <w:tcBorders>
              <w:right w:val="single" w:sz="8" w:space="0" w:color="FFFFFF" w:themeColor="background1"/>
            </w:tcBorders>
          </w:tcPr>
          <w:p w14:paraId="475F00A5" w14:textId="1BBA495A" w:rsidR="00FA7D65" w:rsidRDefault="00FA7D65" w:rsidP="00C24D47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False</w:t>
            </w:r>
          </w:p>
        </w:tc>
        <w:tc>
          <w:tcPr>
            <w:tcW w:w="1813" w:type="dxa"/>
            <w:tcBorders>
              <w:left w:val="single" w:sz="8" w:space="0" w:color="FFFFFF" w:themeColor="background1"/>
            </w:tcBorders>
            <w:shd w:val="clear" w:color="auto" w:fill="FBE4D5" w:themeFill="accent2" w:themeFillTint="33"/>
          </w:tcPr>
          <w:p w14:paraId="22A882A0" w14:textId="7A54CACE" w:rsidR="00FA7D65" w:rsidRPr="005450C3" w:rsidRDefault="008C20FF" w:rsidP="00FA7D65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385623" w:themeColor="accent6" w:themeShade="80"/>
              </w:rPr>
            </w:pPr>
            <w:r>
              <w:rPr>
                <w:b/>
                <w:color w:val="385623" w:themeColor="accent6" w:themeShade="80"/>
              </w:rPr>
              <w:t>Candidate</w:t>
            </w:r>
          </w:p>
        </w:tc>
      </w:tr>
    </w:tbl>
    <w:p w14:paraId="75CCDF68" w14:textId="75A69293" w:rsidR="004620AB" w:rsidRDefault="004620AB" w:rsidP="00C01377">
      <w:pPr>
        <w:pStyle w:val="BodyText"/>
      </w:pPr>
    </w:p>
    <w:p w14:paraId="12520326" w14:textId="5EC43367" w:rsidR="000704F2" w:rsidRDefault="009844C5" w:rsidP="00C01377">
      <w:pPr>
        <w:pStyle w:val="BodyText"/>
      </w:pPr>
      <w:r>
        <w:t xml:space="preserve">Considering the current standard, if </w:t>
      </w:r>
      <w:r w:rsidR="00B70F92">
        <w:t>UEs and IAB nodes need to be differentiated, the only possible option is to use Access Identity 11 or 15</w:t>
      </w:r>
      <w:r w:rsidR="00CD7844">
        <w:t xml:space="preserve"> (i.e. reserved for operator use)</w:t>
      </w:r>
      <w:r w:rsidR="00B70F92">
        <w:t xml:space="preserve">. In this case, </w:t>
      </w:r>
      <w:r w:rsidR="003E2E6F">
        <w:t xml:space="preserve">the network can set the variables as defined in the table above to </w:t>
      </w:r>
      <w:r w:rsidR="00904880">
        <w:t xml:space="preserve">restrict </w:t>
      </w:r>
      <w:r w:rsidR="003E2E6F">
        <w:t xml:space="preserve">all UEs but allow </w:t>
      </w:r>
      <w:r w:rsidR="00904880">
        <w:t xml:space="preserve">camping for </w:t>
      </w:r>
      <w:r w:rsidR="003E2E6F">
        <w:t xml:space="preserve">IAB nodes. </w:t>
      </w:r>
      <w:r w:rsidR="00904880">
        <w:t xml:space="preserve">The main limitation with this solution is that an operator will not be able to differentiate among devices which </w:t>
      </w:r>
      <w:r w:rsidR="00CB68EA">
        <w:t xml:space="preserve">share the </w:t>
      </w:r>
      <w:r w:rsidR="00DB3728">
        <w:t xml:space="preserve">access identity 11 or 15. </w:t>
      </w:r>
    </w:p>
    <w:p w14:paraId="59C743F2" w14:textId="7FF876D3" w:rsidR="003E2E6F" w:rsidRDefault="00CB68EA" w:rsidP="00C01377">
      <w:pPr>
        <w:pStyle w:val="BodyText"/>
      </w:pPr>
      <w:r>
        <w:t xml:space="preserve">If a </w:t>
      </w:r>
      <w:r w:rsidR="00150A9E">
        <w:t xml:space="preserve">finer granularity is needed, a different solution is needed. </w:t>
      </w:r>
      <w:r w:rsidR="001A23D1">
        <w:t>U</w:t>
      </w:r>
      <w:r w:rsidR="00CF539A">
        <w:t xml:space="preserve">nused </w:t>
      </w:r>
      <w:r w:rsidR="00C5458D">
        <w:t xml:space="preserve">combinations </w:t>
      </w:r>
      <w:r w:rsidR="007765FE">
        <w:t xml:space="preserve">e.g. </w:t>
      </w:r>
      <w:r w:rsidR="007765FE" w:rsidRPr="007765FE">
        <w:t>Not barred/Reserved/True</w:t>
      </w:r>
      <w:r w:rsidR="001A23D1">
        <w:t xml:space="preserve"> could also </w:t>
      </w:r>
      <w:r w:rsidR="006733B8">
        <w:t>be defined</w:t>
      </w:r>
      <w:r w:rsidR="005A2F0F">
        <w:t xml:space="preserve">. For Release 16, IAB nodes with AI set to 11 or 15 </w:t>
      </w:r>
      <w:r w:rsidR="00C477E0">
        <w:t xml:space="preserve">would consider the cell as “Candidate”, while </w:t>
      </w:r>
      <w:r w:rsidR="003F5D5B">
        <w:t>all other access identities would consider the cell as barred (same as in Rel-15)</w:t>
      </w:r>
      <w:r w:rsidR="00E55305">
        <w:t>.</w:t>
      </w:r>
      <w:r w:rsidR="00CF539A">
        <w:t xml:space="preserve"> Nevertheless, this type of solution may also impose certain limitation.</w:t>
      </w:r>
      <w:r w:rsidR="00A67FE3">
        <w:t xml:space="preserve"> </w:t>
      </w:r>
    </w:p>
    <w:p w14:paraId="6E590984" w14:textId="77777777" w:rsidR="00D0299C" w:rsidRDefault="006733B8" w:rsidP="00A67FE3">
      <w:pPr>
        <w:pStyle w:val="BodyText"/>
      </w:pPr>
      <w:r>
        <w:t>As a third option, it would be possible to use one of the reserved access identities.</w:t>
      </w:r>
      <w:r w:rsidR="00D0299C">
        <w:t xml:space="preserve"> This would result in impacts, at least, in RAN2, CT1 and SA1 specifications.</w:t>
      </w:r>
      <w:r w:rsidR="00AE2A68">
        <w:t xml:space="preserve"> </w:t>
      </w:r>
    </w:p>
    <w:p w14:paraId="718A1D73" w14:textId="0E651A44" w:rsidR="00C4526B" w:rsidRDefault="00A67FE3" w:rsidP="00A67FE3">
      <w:pPr>
        <w:pStyle w:val="BodyText"/>
      </w:pPr>
      <w:r w:rsidRPr="00520890">
        <w:t>A</w:t>
      </w:r>
      <w:r w:rsidR="00AE2A68" w:rsidRPr="00520890">
        <w:t xml:space="preserve"> fo</w:t>
      </w:r>
      <w:r w:rsidR="00441072" w:rsidRPr="00520890">
        <w:t>u</w:t>
      </w:r>
      <w:r w:rsidR="00AE2A68" w:rsidRPr="00520890">
        <w:t xml:space="preserve">rth </w:t>
      </w:r>
      <w:r w:rsidR="00D0299C" w:rsidRPr="00520890">
        <w:t xml:space="preserve">RAN2-only </w:t>
      </w:r>
      <w:r w:rsidRPr="00520890">
        <w:t xml:space="preserve">alternative and more flexible solution </w:t>
      </w:r>
      <w:r w:rsidR="000949ED" w:rsidRPr="00520890">
        <w:t xml:space="preserve">is </w:t>
      </w:r>
      <w:r w:rsidRPr="00520890">
        <w:t>shown in [</w:t>
      </w:r>
      <w:r w:rsidR="000073E3" w:rsidRPr="00520890">
        <w:t>1</w:t>
      </w:r>
      <w:r w:rsidRPr="00520890">
        <w:t>]</w:t>
      </w:r>
      <w:r w:rsidR="00B46049">
        <w:t>.</w:t>
      </w:r>
    </w:p>
    <w:p w14:paraId="30C12ED4" w14:textId="4FCD5143" w:rsidR="00C4526B" w:rsidRDefault="000C2C11" w:rsidP="00157EBD">
      <w:pPr>
        <w:pStyle w:val="Heading2"/>
      </w:pPr>
      <w:r>
        <w:t>2.3</w:t>
      </w:r>
      <w:r>
        <w:tab/>
      </w:r>
      <w:r w:rsidR="00B662A3">
        <w:t xml:space="preserve">Impact on </w:t>
      </w:r>
      <w:r w:rsidR="002236CA">
        <w:t xml:space="preserve">unified </w:t>
      </w:r>
      <w:r w:rsidR="00B662A3">
        <w:t xml:space="preserve">access </w:t>
      </w:r>
      <w:r w:rsidR="002236CA">
        <w:t>control</w:t>
      </w:r>
    </w:p>
    <w:p w14:paraId="45524013" w14:textId="769E76C5" w:rsidR="00206762" w:rsidRDefault="00206762" w:rsidP="000949ED">
      <w:pPr>
        <w:pStyle w:val="BodyText"/>
      </w:pPr>
      <w:r w:rsidRPr="00360A21">
        <w:t>In unified access control, each access attempt is categorized into one or more of the Access Identities and one of the Access Categories</w:t>
      </w:r>
      <w:r>
        <w:t>.</w:t>
      </w:r>
      <w:r w:rsidR="00C758B5">
        <w:t xml:space="preserve"> Thus, </w:t>
      </w:r>
      <w:r w:rsidR="00C87B6C">
        <w:t xml:space="preserve">for each of the 64 access categories (except for access category 0 – response to paging), </w:t>
      </w:r>
      <w:r w:rsidR="00C758B5">
        <w:t xml:space="preserve">the NW can </w:t>
      </w:r>
      <w:r w:rsidR="00E00675">
        <w:t xml:space="preserve">define </w:t>
      </w:r>
      <w:r w:rsidR="00C76245">
        <w:t xml:space="preserve">up to the currently 7 defined </w:t>
      </w:r>
      <w:r w:rsidR="00E00675">
        <w:t xml:space="preserve">access identities </w:t>
      </w:r>
      <w:r w:rsidR="00FD75B7">
        <w:t xml:space="preserve">(except access identity 0) </w:t>
      </w:r>
      <w:r w:rsidR="00E00675">
        <w:t>which will have to go through access barring</w:t>
      </w:r>
      <w:r w:rsidR="00005206">
        <w:t xml:space="preserve"> for the </w:t>
      </w:r>
      <w:r w:rsidR="00C35BD5">
        <w:t xml:space="preserve">indicated </w:t>
      </w:r>
      <w:r w:rsidR="00005206">
        <w:t xml:space="preserve">access category. </w:t>
      </w:r>
      <w:r w:rsidR="00552D60">
        <w:t xml:space="preserve">An </w:t>
      </w:r>
      <w:r w:rsidR="00CC4FE1">
        <w:t xml:space="preserve">access identity may have a different configuration for each access category in which </w:t>
      </w:r>
      <w:r w:rsidR="0006050D">
        <w:t xml:space="preserve">the access identity </w:t>
      </w:r>
      <w:r w:rsidR="00CC4FE1">
        <w:t xml:space="preserve">is defined. </w:t>
      </w:r>
    </w:p>
    <w:p w14:paraId="383F6AD0" w14:textId="24F71E18" w:rsidR="000949ED" w:rsidRDefault="005507F1" w:rsidP="000949ED">
      <w:pPr>
        <w:pStyle w:val="BodyText"/>
      </w:pPr>
      <w:r>
        <w:t>In this case, c</w:t>
      </w:r>
      <w:r w:rsidR="000949ED">
        <w:t xml:space="preserve">urrent mechanisms are </w:t>
      </w:r>
      <w:proofErr w:type="gramStart"/>
      <w:r w:rsidR="000949ED">
        <w:t>sufficient</w:t>
      </w:r>
      <w:proofErr w:type="gramEnd"/>
      <w:r w:rsidR="000949ED">
        <w:t>.</w:t>
      </w:r>
      <w:r>
        <w:t xml:space="preserve"> There are two different options which provide differentiation between UEs and IAB nodes. </w:t>
      </w:r>
      <w:r w:rsidR="00154EBC">
        <w:t>One option is to assign a</w:t>
      </w:r>
      <w:r w:rsidR="000949ED">
        <w:t xml:space="preserve">ccess identity 11 or 15 </w:t>
      </w:r>
      <w:r w:rsidR="00154EBC">
        <w:t xml:space="preserve">to IAB nodes. A second option </w:t>
      </w:r>
      <w:r w:rsidR="00685EBF">
        <w:t xml:space="preserve">which can allow a finer granularity within the access identity </w:t>
      </w:r>
      <w:r w:rsidR="00154EBC">
        <w:t xml:space="preserve">is to use the </w:t>
      </w:r>
      <w:r w:rsidR="000949ED">
        <w:t>operator-defined access categories</w:t>
      </w:r>
      <w:r w:rsidR="0090629F">
        <w:t xml:space="preserve"> for IAB nodes</w:t>
      </w:r>
      <w:r w:rsidR="000949ED">
        <w:t>.</w:t>
      </w:r>
      <w:r w:rsidR="00102960">
        <w:t xml:space="preserve"> This later option would allow </w:t>
      </w:r>
      <w:r w:rsidR="002800D9">
        <w:t>using any Access Identity, including AI = 0 (as normal UEs).</w:t>
      </w:r>
    </w:p>
    <w:p w14:paraId="188DFE9A" w14:textId="521ED0E4" w:rsidR="00E22546" w:rsidRDefault="000C2C11" w:rsidP="00983983">
      <w:pPr>
        <w:pStyle w:val="Heading2"/>
      </w:pPr>
      <w:r>
        <w:t>2.4</w:t>
      </w:r>
      <w:r>
        <w:tab/>
      </w:r>
      <w:r w:rsidR="00E22546">
        <w:t xml:space="preserve">Impact on </w:t>
      </w:r>
      <w:r w:rsidR="002B78D5">
        <w:t xml:space="preserve">establishment </w:t>
      </w:r>
      <w:proofErr w:type="spellStart"/>
      <w:r w:rsidR="002B78D5">
        <w:t>cause</w:t>
      </w:r>
      <w:proofErr w:type="spellEnd"/>
      <w:r w:rsidR="002B78D5">
        <w:t xml:space="preserve"> in RRC Setup </w:t>
      </w:r>
      <w:r w:rsidR="00983983">
        <w:t>R</w:t>
      </w:r>
      <w:r w:rsidR="002B78D5">
        <w:t>equest</w:t>
      </w:r>
    </w:p>
    <w:p w14:paraId="6BEE0804" w14:textId="1DD5AFB3" w:rsidR="008F59C6" w:rsidRDefault="008F59C6" w:rsidP="00726206">
      <w:pPr>
        <w:pStyle w:val="BodyText"/>
      </w:pPr>
      <w:r>
        <w:t xml:space="preserve">Depending on the access identity and the access category, the UE will set a specific Establishment Cause value in the RRC Setup Request. </w:t>
      </w:r>
      <w:r w:rsidR="00890035">
        <w:t xml:space="preserve">Access identity 0 </w:t>
      </w:r>
      <w:r w:rsidR="003C6D50">
        <w:t xml:space="preserve">is used by </w:t>
      </w:r>
      <w:r w:rsidR="00890035">
        <w:t>normal UEs</w:t>
      </w:r>
      <w:r w:rsidR="0014764E">
        <w:t xml:space="preserve"> and depending on the </w:t>
      </w:r>
      <w:r w:rsidR="00FB69E4">
        <w:t xml:space="preserve">access category assigned to the UE, the corresponding establishment cause is indicated. </w:t>
      </w:r>
      <w:r w:rsidR="00C46655">
        <w:t xml:space="preserve">On the other hand, </w:t>
      </w:r>
      <w:r w:rsidR="00890035">
        <w:t xml:space="preserve">access identities 11-15 are special and use </w:t>
      </w:r>
      <w:r w:rsidR="00C46655">
        <w:t xml:space="preserve">one specific </w:t>
      </w:r>
      <w:r w:rsidR="00890035">
        <w:t xml:space="preserve">establishment cause </w:t>
      </w:r>
      <w:r w:rsidR="006057CE">
        <w:t>regardless of the access class</w:t>
      </w:r>
      <w:r w:rsidR="00890035">
        <w:t xml:space="preserve">. </w:t>
      </w:r>
      <w:r w:rsidR="00EA189E">
        <w:t>Access identity 11-15 will use “</w:t>
      </w:r>
      <w:proofErr w:type="spellStart"/>
      <w:r w:rsidR="00EA189E">
        <w:t>highPriorityAccess</w:t>
      </w:r>
      <w:proofErr w:type="spellEnd"/>
      <w:r w:rsidR="00EA189E">
        <w:t>”</w:t>
      </w:r>
      <w:r w:rsidR="006057CE">
        <w:t>.</w:t>
      </w:r>
    </w:p>
    <w:p w14:paraId="4F4188BA" w14:textId="627C049D" w:rsidR="00A142A9" w:rsidRDefault="00A142A9" w:rsidP="00A142A9">
      <w:pPr>
        <w:pStyle w:val="BodyText"/>
      </w:pPr>
      <w:r>
        <w:t xml:space="preserve">In this case, current mechanisms are also </w:t>
      </w:r>
      <w:proofErr w:type="gramStart"/>
      <w:r>
        <w:t>sufficient</w:t>
      </w:r>
      <w:proofErr w:type="gramEnd"/>
      <w:r>
        <w:t xml:space="preserve"> to differentiate between UEs and IAB nodes. If an IAB node is assigned with AI 11 or 15, the establishment cause will be set to “</w:t>
      </w:r>
      <w:proofErr w:type="spellStart"/>
      <w:r>
        <w:t>highPriorityAccess</w:t>
      </w:r>
      <w:proofErr w:type="spellEnd"/>
      <w:r>
        <w:t>” independently of the access category. A limitation is that it is not possible to differentiate among devices assigned with the same AI</w:t>
      </w:r>
      <w:r w:rsidR="00521A15">
        <w:t xml:space="preserve">. On the other hand, </w:t>
      </w:r>
      <w:r w:rsidR="00DF443A">
        <w:t xml:space="preserve">the number of devices with this AI is limited, so </w:t>
      </w:r>
      <w:r w:rsidR="00521A15">
        <w:t>it is questionable if further differentiation is needed.</w:t>
      </w:r>
    </w:p>
    <w:p w14:paraId="0E360700" w14:textId="1495C21A" w:rsidR="00090AA5" w:rsidRDefault="008E7B8A" w:rsidP="00726206">
      <w:pPr>
        <w:pStyle w:val="BodyText"/>
      </w:pPr>
      <w:r>
        <w:t>We do not think that se</w:t>
      </w:r>
      <w:r w:rsidR="00CC0801">
        <w:t>tting “</w:t>
      </w:r>
      <w:proofErr w:type="spellStart"/>
      <w:r w:rsidR="00CC0801">
        <w:t>highPriorityAccess</w:t>
      </w:r>
      <w:proofErr w:type="spellEnd"/>
      <w:r w:rsidR="00CC0801">
        <w:t>” in the establishment cause will make any difference</w:t>
      </w:r>
      <w:r w:rsidR="00456AE3">
        <w:t>, though</w:t>
      </w:r>
      <w:r w:rsidR="00CC0801">
        <w:t>.</w:t>
      </w:r>
      <w:r w:rsidR="00456AE3">
        <w:t xml:space="preserve"> So even if the IAB node is assigned with AI = 0 (as all other UEs), </w:t>
      </w:r>
      <w:r w:rsidR="00E05D60">
        <w:t xml:space="preserve">the performance will be very similar. </w:t>
      </w:r>
      <w:r w:rsidR="00CC0801">
        <w:t xml:space="preserve"> </w:t>
      </w:r>
      <w:r w:rsidR="00E05D60">
        <w:t xml:space="preserve">We consider that </w:t>
      </w:r>
      <w:r w:rsidR="00090AA5">
        <w:t xml:space="preserve">an IAB node </w:t>
      </w:r>
      <w:r w:rsidR="00D35CBD">
        <w:t>may</w:t>
      </w:r>
      <w:r w:rsidR="00555CCD">
        <w:t xml:space="preserve"> be</w:t>
      </w:r>
      <w:r w:rsidR="00D35CBD">
        <w:t xml:space="preserve"> </w:t>
      </w:r>
      <w:r w:rsidR="00090AA5">
        <w:t>set up when the end-user traffic is restricted (e.g. by cell restrictions)</w:t>
      </w:r>
      <w:r w:rsidR="00D35CBD">
        <w:t xml:space="preserve">, </w:t>
      </w:r>
      <w:r w:rsidR="00090AA5">
        <w:t>an IAB node will be the first node accessing its parent node</w:t>
      </w:r>
      <w:r w:rsidR="009A5A5A">
        <w:t xml:space="preserve"> so</w:t>
      </w:r>
      <w:r w:rsidR="00090AA5">
        <w:t xml:space="preserve"> using one of the establishment cause values for access identity 0 will not have any impact. </w:t>
      </w:r>
      <w:r w:rsidR="009A5A5A">
        <w:t xml:space="preserve">Even in the case that </w:t>
      </w:r>
      <w:r w:rsidR="00090AA5">
        <w:t xml:space="preserve">an IAB node is set-up when there is end-user-traffic, the RRC connection set-up time might be slightly longer; however, this time is not critical and, therefore, it does not result in a meaningful impact. </w:t>
      </w:r>
    </w:p>
    <w:p w14:paraId="51DE7E0C" w14:textId="0D762702" w:rsidR="006E1C82" w:rsidRPr="00987A2A" w:rsidRDefault="00C01F33" w:rsidP="00987A2A">
      <w:pPr>
        <w:pStyle w:val="Heading1"/>
      </w:pPr>
      <w:r w:rsidRPr="00CE0424">
        <w:lastRenderedPageBreak/>
        <w:t>Conclusion</w:t>
      </w:r>
    </w:p>
    <w:p w14:paraId="18BE3A74" w14:textId="77777777" w:rsidR="00561F76" w:rsidRDefault="00561F76" w:rsidP="00561F76">
      <w:pPr>
        <w:pStyle w:val="BodyText"/>
      </w:pPr>
      <w:r>
        <w:t>Based on the discussion above, the following scenarios are possible:</w:t>
      </w:r>
    </w:p>
    <w:p w14:paraId="54D53D7F" w14:textId="41439F3D" w:rsidR="00561F76" w:rsidRDefault="00561F76" w:rsidP="00561F76">
      <w:pPr>
        <w:pStyle w:val="BodyText"/>
      </w:pPr>
      <w:r>
        <w:t xml:space="preserve">Scenario 1: IAB node is assigned </w:t>
      </w:r>
      <w:r w:rsidR="008676B6">
        <w:t>AI</w:t>
      </w:r>
      <w:r>
        <w:t xml:space="preserve"> = 0 </w:t>
      </w:r>
    </w:p>
    <w:p w14:paraId="13A5044F" w14:textId="01925168" w:rsidR="00561F76" w:rsidRPr="00520890" w:rsidRDefault="00561F76" w:rsidP="00561F76">
      <w:pPr>
        <w:pStyle w:val="BodyText"/>
        <w:numPr>
          <w:ilvl w:val="0"/>
          <w:numId w:val="24"/>
        </w:numPr>
      </w:pPr>
      <w:r>
        <w:rPr>
          <w:lang w:val="en-US"/>
        </w:rPr>
        <w:t xml:space="preserve">For </w:t>
      </w:r>
      <w:r w:rsidRPr="004A7B90">
        <w:t>cell status and cell reservations</w:t>
      </w:r>
      <w:r>
        <w:rPr>
          <w:lang w:val="en-US"/>
        </w:rPr>
        <w:t>:</w:t>
      </w:r>
      <w:r>
        <w:rPr>
          <w:lang w:val="en-US"/>
        </w:rPr>
        <w:br/>
      </w:r>
      <w:r w:rsidRPr="00520890">
        <w:rPr>
          <w:lang w:val="en-US"/>
        </w:rPr>
        <w:t>A new solution [</w:t>
      </w:r>
      <w:r w:rsidR="000073E3" w:rsidRPr="00520890">
        <w:rPr>
          <w:lang w:val="en-US"/>
        </w:rPr>
        <w:t>1</w:t>
      </w:r>
      <w:r w:rsidRPr="00520890">
        <w:rPr>
          <w:lang w:val="en-US"/>
        </w:rPr>
        <w:t>] is needed to differentiate between normal UEs and IAB nodes</w:t>
      </w:r>
    </w:p>
    <w:p w14:paraId="3CA31601" w14:textId="77777777" w:rsidR="00561F76" w:rsidRDefault="00561F76" w:rsidP="00561F76">
      <w:pPr>
        <w:pStyle w:val="BodyText"/>
        <w:numPr>
          <w:ilvl w:val="0"/>
          <w:numId w:val="24"/>
        </w:numPr>
      </w:pPr>
      <w:r>
        <w:t>For unified access control:</w:t>
      </w:r>
      <w:r>
        <w:br/>
        <w:t xml:space="preserve">Current mechanisms are </w:t>
      </w:r>
      <w:proofErr w:type="gramStart"/>
      <w:r>
        <w:t>sufficient</w:t>
      </w:r>
      <w:proofErr w:type="gramEnd"/>
      <w:r>
        <w:t>. operator-defined access categories can be used to achieve differentiation.</w:t>
      </w:r>
    </w:p>
    <w:p w14:paraId="578FECE5" w14:textId="3FD16916" w:rsidR="00561F76" w:rsidRDefault="00561F76" w:rsidP="00561F76">
      <w:pPr>
        <w:pStyle w:val="BodyText"/>
        <w:numPr>
          <w:ilvl w:val="0"/>
          <w:numId w:val="24"/>
        </w:numPr>
      </w:pPr>
      <w:r>
        <w:t xml:space="preserve">For establishment </w:t>
      </w:r>
      <w:proofErr w:type="spellStart"/>
      <w:r>
        <w:t>cause</w:t>
      </w:r>
      <w:proofErr w:type="spellEnd"/>
      <w:r>
        <w:t xml:space="preserve"> in RRC Setup Request:</w:t>
      </w:r>
      <w:r>
        <w:br/>
        <w:t xml:space="preserve">Current mechanisms are </w:t>
      </w:r>
      <w:proofErr w:type="gramStart"/>
      <w:r>
        <w:t>sufficient</w:t>
      </w:r>
      <w:proofErr w:type="gramEnd"/>
      <w:r w:rsidR="00521A15">
        <w:t xml:space="preserve"> </w:t>
      </w:r>
      <w:bookmarkStart w:id="1" w:name="_Hlk14268939"/>
      <w:r w:rsidR="00521A15">
        <w:t>i.e. re-use</w:t>
      </w:r>
      <w:r w:rsidR="00C11D58">
        <w:t>d</w:t>
      </w:r>
      <w:r w:rsidR="00521A15">
        <w:t xml:space="preserve"> of </w:t>
      </w:r>
      <w:r w:rsidR="00C11D58">
        <w:t>currently defined establishment cause values</w:t>
      </w:r>
      <w:bookmarkEnd w:id="1"/>
      <w:r>
        <w:t>. IAB accesses</w:t>
      </w:r>
      <w:r w:rsidR="008A735D">
        <w:t xml:space="preserve"> </w:t>
      </w:r>
      <w:r>
        <w:t>might experience some delay in congested situations</w:t>
      </w:r>
      <w:r w:rsidR="008A735D">
        <w:t>, similar as any normal UE.</w:t>
      </w:r>
    </w:p>
    <w:p w14:paraId="477FE070" w14:textId="77777777" w:rsidR="00561F76" w:rsidRDefault="00561F76" w:rsidP="00561F76">
      <w:pPr>
        <w:pStyle w:val="BodyText"/>
        <w:numPr>
          <w:ilvl w:val="0"/>
          <w:numId w:val="26"/>
        </w:numPr>
      </w:pPr>
      <w:r>
        <w:t>Scenario 1 leads to a limited impact in 3GPP (TS 38.331 - MIB/SIB1; and TS 38.304)</w:t>
      </w:r>
      <w:r>
        <w:br/>
      </w:r>
    </w:p>
    <w:p w14:paraId="0FD1FAF6" w14:textId="4A3D8F5E" w:rsidR="00561F76" w:rsidRDefault="00561F76" w:rsidP="00561F76">
      <w:pPr>
        <w:pStyle w:val="BodyText"/>
      </w:pPr>
      <w:r>
        <w:t xml:space="preserve">Scenario 2: IAB node is assigned </w:t>
      </w:r>
      <w:r w:rsidR="008676B6">
        <w:t>AI</w:t>
      </w:r>
      <w:r>
        <w:t xml:space="preserve"> = 11/15</w:t>
      </w:r>
    </w:p>
    <w:p w14:paraId="059573C8" w14:textId="5754F9FC" w:rsidR="00561F76" w:rsidRPr="000073E3" w:rsidRDefault="00561F76" w:rsidP="00561F76">
      <w:pPr>
        <w:pStyle w:val="BodyText"/>
        <w:numPr>
          <w:ilvl w:val="0"/>
          <w:numId w:val="25"/>
        </w:numPr>
      </w:pPr>
      <w:r>
        <w:t>For cell status and cell reservations:</w:t>
      </w:r>
      <w:r>
        <w:br/>
      </w:r>
      <w:r w:rsidRPr="000073E3">
        <w:t>A new solution [</w:t>
      </w:r>
      <w:r w:rsidR="000073E3" w:rsidRPr="000073E3">
        <w:t>1</w:t>
      </w:r>
      <w:r w:rsidRPr="000073E3">
        <w:t xml:space="preserve">] might be desired to differentiate between devices using </w:t>
      </w:r>
      <w:r w:rsidR="00AC70F2" w:rsidRPr="000073E3">
        <w:t>AI</w:t>
      </w:r>
      <w:r w:rsidRPr="000073E3">
        <w:t xml:space="preserve"> 11/15</w:t>
      </w:r>
    </w:p>
    <w:p w14:paraId="51876CEA" w14:textId="77777777" w:rsidR="00561F76" w:rsidRDefault="00561F76" w:rsidP="00561F76">
      <w:pPr>
        <w:pStyle w:val="BodyText"/>
        <w:numPr>
          <w:ilvl w:val="0"/>
          <w:numId w:val="25"/>
        </w:numPr>
      </w:pPr>
      <w:r>
        <w:t>For unified access control:</w:t>
      </w:r>
      <w:r>
        <w:br/>
        <w:t xml:space="preserve">Current mechanisms are </w:t>
      </w:r>
      <w:proofErr w:type="gramStart"/>
      <w:r>
        <w:t>sufficient</w:t>
      </w:r>
      <w:proofErr w:type="gramEnd"/>
      <w:r>
        <w:t>. If differentiated within AI 11/15 is needed, operator-defined access categories can be used.</w:t>
      </w:r>
    </w:p>
    <w:p w14:paraId="536A1BC2" w14:textId="44927C8C" w:rsidR="00561F76" w:rsidRDefault="00561F76" w:rsidP="00561F76">
      <w:pPr>
        <w:pStyle w:val="BodyText"/>
        <w:numPr>
          <w:ilvl w:val="0"/>
          <w:numId w:val="25"/>
        </w:numPr>
      </w:pPr>
      <w:r>
        <w:t xml:space="preserve">For establishment </w:t>
      </w:r>
      <w:proofErr w:type="spellStart"/>
      <w:r>
        <w:t>cause</w:t>
      </w:r>
      <w:proofErr w:type="spellEnd"/>
      <w:r>
        <w:t xml:space="preserve"> in RRC Setup Request:</w:t>
      </w:r>
      <w:r>
        <w:br/>
        <w:t xml:space="preserve">Current mechanisms are </w:t>
      </w:r>
      <w:proofErr w:type="gramStart"/>
      <w:r>
        <w:t>sufficient</w:t>
      </w:r>
      <w:proofErr w:type="gramEnd"/>
      <w:r w:rsidR="00C11D58">
        <w:t xml:space="preserve"> i.e. re-used of currently defined establishment cause values</w:t>
      </w:r>
    </w:p>
    <w:p w14:paraId="28B7B7A5" w14:textId="77777777" w:rsidR="00561F76" w:rsidRDefault="00561F76" w:rsidP="00561F76">
      <w:pPr>
        <w:pStyle w:val="BodyText"/>
        <w:numPr>
          <w:ilvl w:val="0"/>
          <w:numId w:val="26"/>
        </w:numPr>
      </w:pPr>
      <w:r>
        <w:t>Scenario 2 leads to no impact in 3GPP unless differentiation within AI 11 is desired. Then the impact is the same as in scenario 1 (TS 38.331 - MIB/SIB1; and TS 38.304)</w:t>
      </w:r>
    </w:p>
    <w:p w14:paraId="2B0D0A70" w14:textId="77777777" w:rsidR="00561F76" w:rsidRDefault="00561F76" w:rsidP="00561F76">
      <w:pPr>
        <w:pStyle w:val="BodyText"/>
      </w:pPr>
    </w:p>
    <w:p w14:paraId="2E5627D5" w14:textId="79720785" w:rsidR="00561F76" w:rsidRDefault="00561F76" w:rsidP="00561F76">
      <w:pPr>
        <w:pStyle w:val="BodyText"/>
      </w:pPr>
      <w:r>
        <w:t xml:space="preserve">Scenario 3: IAB node is assigned </w:t>
      </w:r>
      <w:r w:rsidR="008676B6">
        <w:t>AI</w:t>
      </w:r>
      <w:r>
        <w:t xml:space="preserve"> = new value</w:t>
      </w:r>
    </w:p>
    <w:p w14:paraId="3A42D23F" w14:textId="77777777" w:rsidR="00561F76" w:rsidRDefault="00561F76" w:rsidP="00561F76">
      <w:pPr>
        <w:pStyle w:val="BodyText"/>
        <w:numPr>
          <w:ilvl w:val="0"/>
          <w:numId w:val="26"/>
        </w:numPr>
      </w:pPr>
      <w:r>
        <w:t>Scenario 3 leads considerable specification impacts in RAN2 as well as impact in SA1 and CT1 to update their specifications.</w:t>
      </w:r>
    </w:p>
    <w:p w14:paraId="308899BF" w14:textId="77777777" w:rsidR="00561F76" w:rsidRDefault="00561F76" w:rsidP="00561F76">
      <w:pPr>
        <w:pStyle w:val="BodyText"/>
      </w:pPr>
      <w:r>
        <w:br/>
      </w:r>
    </w:p>
    <w:p w14:paraId="037F0C95" w14:textId="5778D50D" w:rsidR="00561F76" w:rsidRDefault="00561F76" w:rsidP="00561F76">
      <w:pPr>
        <w:pStyle w:val="Proposal"/>
      </w:pPr>
      <w:r>
        <w:t xml:space="preserve">For IAB </w:t>
      </w:r>
      <w:r w:rsidR="00440ECC">
        <w:t xml:space="preserve">(MT) </w:t>
      </w:r>
      <w:r>
        <w:t xml:space="preserve">nodes, </w:t>
      </w:r>
      <w:r w:rsidR="009E4C51">
        <w:t xml:space="preserve">currently defined </w:t>
      </w:r>
      <w:r>
        <w:t xml:space="preserve">access identities and access categories are </w:t>
      </w:r>
      <w:proofErr w:type="gramStart"/>
      <w:r>
        <w:t>sufficient</w:t>
      </w:r>
      <w:proofErr w:type="gramEnd"/>
      <w:r>
        <w:t>.</w:t>
      </w:r>
    </w:p>
    <w:p w14:paraId="51922D30" w14:textId="18DA2009" w:rsidR="007D1261" w:rsidRDefault="007D1261" w:rsidP="007D1261">
      <w:pPr>
        <w:pStyle w:val="Proposal"/>
      </w:pPr>
      <w:r>
        <w:t xml:space="preserve">Currently defined establishment cause values for RRC Connection Setup are </w:t>
      </w:r>
      <w:proofErr w:type="gramStart"/>
      <w:r>
        <w:t>sufficient</w:t>
      </w:r>
      <w:proofErr w:type="gramEnd"/>
      <w:r>
        <w:t>.</w:t>
      </w:r>
    </w:p>
    <w:p w14:paraId="3A726EEE" w14:textId="74C6D69B" w:rsidR="007D1261" w:rsidRDefault="00561F76" w:rsidP="00080CAB">
      <w:pPr>
        <w:pStyle w:val="Proposal"/>
      </w:pPr>
      <w:r w:rsidRPr="000073E3">
        <w:t xml:space="preserve">A new mechanism </w:t>
      </w:r>
      <w:r w:rsidR="00812F52" w:rsidRPr="000073E3">
        <w:t>as proposed in [</w:t>
      </w:r>
      <w:r w:rsidR="000073E3" w:rsidRPr="000073E3">
        <w:t>1</w:t>
      </w:r>
      <w:r w:rsidR="00812F52" w:rsidRPr="000073E3">
        <w:t xml:space="preserve">] </w:t>
      </w:r>
      <w:r w:rsidRPr="000073E3">
        <w:t>is introduced for cell reservations to</w:t>
      </w:r>
      <w:r>
        <w:t xml:space="preserve"> differentiate among UEs, IAB nodes, and devices with AI set to 11 or 15.</w:t>
      </w:r>
    </w:p>
    <w:p w14:paraId="21484AA1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2F1CA87A" w14:textId="2B1D10A4" w:rsidR="003A7EF3" w:rsidRPr="00CE0424" w:rsidRDefault="008B5D07" w:rsidP="00EB3D90">
      <w:pPr>
        <w:pStyle w:val="Reference"/>
      </w:pPr>
      <w:bookmarkStart w:id="3" w:name="_Ref174151459"/>
      <w:bookmarkStart w:id="4" w:name="_Ref189809556"/>
      <w:r w:rsidRPr="000073E3">
        <w:t>R2-1910507</w:t>
      </w:r>
      <w:r w:rsidR="00AD5FC3">
        <w:t>;</w:t>
      </w:r>
      <w:r w:rsidR="000073E3">
        <w:t xml:space="preserve"> </w:t>
      </w:r>
      <w:r w:rsidR="00AD5FC3">
        <w:t>“</w:t>
      </w:r>
      <w:bookmarkEnd w:id="3"/>
      <w:bookmarkEnd w:id="4"/>
      <w:r w:rsidR="00C81930" w:rsidRPr="00C81930">
        <w:t>Allowing only IAB nodes in a standalone NR deployment</w:t>
      </w:r>
      <w:bookmarkStart w:id="5" w:name="_GoBack"/>
      <w:bookmarkEnd w:id="5"/>
      <w:r w:rsidR="00AD5FC3">
        <w:t xml:space="preserve">”, Ericsson, </w:t>
      </w:r>
      <w:r w:rsidR="00092478">
        <w:t xml:space="preserve">RAN2_107, Prague, Czech Republic, </w:t>
      </w:r>
      <w:r w:rsidR="00E91F9C">
        <w:t>August 2019</w:t>
      </w:r>
      <w:r w:rsidR="00AD5FC3">
        <w:t>.</w:t>
      </w: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54329C" w14:textId="77777777" w:rsidR="00985610" w:rsidRDefault="00985610">
      <w:r>
        <w:separator/>
      </w:r>
    </w:p>
  </w:endnote>
  <w:endnote w:type="continuationSeparator" w:id="0">
    <w:p w14:paraId="09B0F2D5" w14:textId="77777777" w:rsidR="00985610" w:rsidRDefault="00985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F857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00117D" w14:textId="77777777" w:rsidR="00985610" w:rsidRDefault="00985610">
      <w:r>
        <w:separator/>
      </w:r>
    </w:p>
  </w:footnote>
  <w:footnote w:type="continuationSeparator" w:id="0">
    <w:p w14:paraId="54EE9B6C" w14:textId="77777777" w:rsidR="00985610" w:rsidRDefault="00985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6F0FE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9D3315B"/>
    <w:multiLevelType w:val="hybridMultilevel"/>
    <w:tmpl w:val="7346BEF2"/>
    <w:lvl w:ilvl="0" w:tplc="0BBC9B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863C01"/>
    <w:multiLevelType w:val="hybridMultilevel"/>
    <w:tmpl w:val="35A8F724"/>
    <w:lvl w:ilvl="0" w:tplc="79C4E93C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C227A"/>
    <w:multiLevelType w:val="hybridMultilevel"/>
    <w:tmpl w:val="5D46B506"/>
    <w:lvl w:ilvl="0" w:tplc="0BBC9B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999"/>
    <w:multiLevelType w:val="hybridMultilevel"/>
    <w:tmpl w:val="5518E6F6"/>
    <w:lvl w:ilvl="0" w:tplc="0BBC9B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2"/>
  </w:num>
  <w:num w:numId="8">
    <w:abstractNumId w:val="12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6"/>
  </w:num>
  <w:num w:numId="16">
    <w:abstractNumId w:val="23"/>
  </w:num>
  <w:num w:numId="17">
    <w:abstractNumId w:val="5"/>
  </w:num>
  <w:num w:numId="18">
    <w:abstractNumId w:val="6"/>
  </w:num>
  <w:num w:numId="19">
    <w:abstractNumId w:val="4"/>
  </w:num>
  <w:num w:numId="20">
    <w:abstractNumId w:val="25"/>
  </w:num>
  <w:num w:numId="21">
    <w:abstractNumId w:val="13"/>
  </w:num>
  <w:num w:numId="22">
    <w:abstractNumId w:val="24"/>
  </w:num>
  <w:num w:numId="23">
    <w:abstractNumId w:val="11"/>
  </w:num>
  <w:num w:numId="24">
    <w:abstractNumId w:val="7"/>
  </w:num>
  <w:num w:numId="25">
    <w:abstractNumId w:val="19"/>
  </w:num>
  <w:num w:numId="26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77A"/>
    <w:rsid w:val="000006E1"/>
    <w:rsid w:val="00002A37"/>
    <w:rsid w:val="00005206"/>
    <w:rsid w:val="0000564C"/>
    <w:rsid w:val="00006446"/>
    <w:rsid w:val="00006896"/>
    <w:rsid w:val="000073E3"/>
    <w:rsid w:val="00007CDC"/>
    <w:rsid w:val="00010078"/>
    <w:rsid w:val="00011B28"/>
    <w:rsid w:val="00012E9D"/>
    <w:rsid w:val="00013692"/>
    <w:rsid w:val="00015D15"/>
    <w:rsid w:val="0002349D"/>
    <w:rsid w:val="000247DC"/>
    <w:rsid w:val="0002564D"/>
    <w:rsid w:val="00025ECA"/>
    <w:rsid w:val="000263BE"/>
    <w:rsid w:val="00031624"/>
    <w:rsid w:val="000321C9"/>
    <w:rsid w:val="000325B8"/>
    <w:rsid w:val="00034C15"/>
    <w:rsid w:val="00036BA1"/>
    <w:rsid w:val="000422E2"/>
    <w:rsid w:val="00042F22"/>
    <w:rsid w:val="000444EF"/>
    <w:rsid w:val="00052A07"/>
    <w:rsid w:val="000534E3"/>
    <w:rsid w:val="00054F3A"/>
    <w:rsid w:val="0005606A"/>
    <w:rsid w:val="00057117"/>
    <w:rsid w:val="0006050D"/>
    <w:rsid w:val="00060B49"/>
    <w:rsid w:val="000616E7"/>
    <w:rsid w:val="0006487E"/>
    <w:rsid w:val="00065E1A"/>
    <w:rsid w:val="000704F2"/>
    <w:rsid w:val="000707D5"/>
    <w:rsid w:val="0007143D"/>
    <w:rsid w:val="00076878"/>
    <w:rsid w:val="00077E5F"/>
    <w:rsid w:val="0008036A"/>
    <w:rsid w:val="0008056F"/>
    <w:rsid w:val="00080CAB"/>
    <w:rsid w:val="00081AE6"/>
    <w:rsid w:val="000824EB"/>
    <w:rsid w:val="000855EB"/>
    <w:rsid w:val="00085B52"/>
    <w:rsid w:val="000866F2"/>
    <w:rsid w:val="00086F1C"/>
    <w:rsid w:val="00087EFC"/>
    <w:rsid w:val="0009009F"/>
    <w:rsid w:val="00090AA5"/>
    <w:rsid w:val="00091557"/>
    <w:rsid w:val="00092478"/>
    <w:rsid w:val="000924C1"/>
    <w:rsid w:val="000924F0"/>
    <w:rsid w:val="00093474"/>
    <w:rsid w:val="000949ED"/>
    <w:rsid w:val="0009510F"/>
    <w:rsid w:val="000979ED"/>
    <w:rsid w:val="000A1B7B"/>
    <w:rsid w:val="000A56F2"/>
    <w:rsid w:val="000B2719"/>
    <w:rsid w:val="000B2F7A"/>
    <w:rsid w:val="000B3A8F"/>
    <w:rsid w:val="000B4AB9"/>
    <w:rsid w:val="000B58C3"/>
    <w:rsid w:val="000B61E9"/>
    <w:rsid w:val="000B7431"/>
    <w:rsid w:val="000C165A"/>
    <w:rsid w:val="000C2C11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704"/>
    <w:rsid w:val="000F6DF3"/>
    <w:rsid w:val="001005FF"/>
    <w:rsid w:val="00102960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4576"/>
    <w:rsid w:val="00126758"/>
    <w:rsid w:val="00126B4A"/>
    <w:rsid w:val="00132FD0"/>
    <w:rsid w:val="001344C0"/>
    <w:rsid w:val="001346FA"/>
    <w:rsid w:val="00135252"/>
    <w:rsid w:val="00137AB5"/>
    <w:rsid w:val="00137F0B"/>
    <w:rsid w:val="0014454F"/>
    <w:rsid w:val="0014764E"/>
    <w:rsid w:val="00147F51"/>
    <w:rsid w:val="00150656"/>
    <w:rsid w:val="00150A9E"/>
    <w:rsid w:val="00151E23"/>
    <w:rsid w:val="001526E0"/>
    <w:rsid w:val="00154EBC"/>
    <w:rsid w:val="001551B5"/>
    <w:rsid w:val="00157EBD"/>
    <w:rsid w:val="001636BE"/>
    <w:rsid w:val="001659C1"/>
    <w:rsid w:val="00170890"/>
    <w:rsid w:val="00173A8E"/>
    <w:rsid w:val="0017502C"/>
    <w:rsid w:val="00175199"/>
    <w:rsid w:val="0017626A"/>
    <w:rsid w:val="0018143F"/>
    <w:rsid w:val="00181FF8"/>
    <w:rsid w:val="00182722"/>
    <w:rsid w:val="00190AC1"/>
    <w:rsid w:val="0019341A"/>
    <w:rsid w:val="00197649"/>
    <w:rsid w:val="00197DF9"/>
    <w:rsid w:val="001A1987"/>
    <w:rsid w:val="001A1D28"/>
    <w:rsid w:val="001A23D1"/>
    <w:rsid w:val="001A2564"/>
    <w:rsid w:val="001A6173"/>
    <w:rsid w:val="001A6CBA"/>
    <w:rsid w:val="001B0D97"/>
    <w:rsid w:val="001B5A5D"/>
    <w:rsid w:val="001C1CE5"/>
    <w:rsid w:val="001C3D2A"/>
    <w:rsid w:val="001D45FB"/>
    <w:rsid w:val="001D51BA"/>
    <w:rsid w:val="001D53E7"/>
    <w:rsid w:val="001D6342"/>
    <w:rsid w:val="001D6D53"/>
    <w:rsid w:val="001E2702"/>
    <w:rsid w:val="001E2D28"/>
    <w:rsid w:val="001E58E2"/>
    <w:rsid w:val="001E7AED"/>
    <w:rsid w:val="001F3916"/>
    <w:rsid w:val="001F4C87"/>
    <w:rsid w:val="001F505B"/>
    <w:rsid w:val="001F54C5"/>
    <w:rsid w:val="001F662C"/>
    <w:rsid w:val="001F7074"/>
    <w:rsid w:val="00200490"/>
    <w:rsid w:val="00201F3A"/>
    <w:rsid w:val="00203A0A"/>
    <w:rsid w:val="00203F96"/>
    <w:rsid w:val="00206762"/>
    <w:rsid w:val="002069B2"/>
    <w:rsid w:val="00207FA3"/>
    <w:rsid w:val="002114F0"/>
    <w:rsid w:val="00212D33"/>
    <w:rsid w:val="00214DA8"/>
    <w:rsid w:val="00215423"/>
    <w:rsid w:val="002158FA"/>
    <w:rsid w:val="00220600"/>
    <w:rsid w:val="002224DB"/>
    <w:rsid w:val="002236CA"/>
    <w:rsid w:val="00223FCB"/>
    <w:rsid w:val="00224ECD"/>
    <w:rsid w:val="002252C3"/>
    <w:rsid w:val="00225C54"/>
    <w:rsid w:val="00226BEC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49C"/>
    <w:rsid w:val="0026473E"/>
    <w:rsid w:val="00266214"/>
    <w:rsid w:val="002662E5"/>
    <w:rsid w:val="00267C83"/>
    <w:rsid w:val="0027144F"/>
    <w:rsid w:val="00271813"/>
    <w:rsid w:val="00271F3A"/>
    <w:rsid w:val="002723F0"/>
    <w:rsid w:val="00273278"/>
    <w:rsid w:val="002737F4"/>
    <w:rsid w:val="002800D9"/>
    <w:rsid w:val="002805F5"/>
    <w:rsid w:val="00280751"/>
    <w:rsid w:val="0028280A"/>
    <w:rsid w:val="00283EC2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5B5A"/>
    <w:rsid w:val="002B78D5"/>
    <w:rsid w:val="002C06AD"/>
    <w:rsid w:val="002C41E6"/>
    <w:rsid w:val="002D071A"/>
    <w:rsid w:val="002D1E49"/>
    <w:rsid w:val="002D2C16"/>
    <w:rsid w:val="002D34B2"/>
    <w:rsid w:val="002D48B0"/>
    <w:rsid w:val="002D5B37"/>
    <w:rsid w:val="002D5BB6"/>
    <w:rsid w:val="002D7637"/>
    <w:rsid w:val="002E17F2"/>
    <w:rsid w:val="002E7501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3B0C"/>
    <w:rsid w:val="00324D23"/>
    <w:rsid w:val="00331751"/>
    <w:rsid w:val="00334579"/>
    <w:rsid w:val="00334C58"/>
    <w:rsid w:val="00335858"/>
    <w:rsid w:val="00336BDA"/>
    <w:rsid w:val="00342BD7"/>
    <w:rsid w:val="00343BD1"/>
    <w:rsid w:val="00346DB5"/>
    <w:rsid w:val="003477B1"/>
    <w:rsid w:val="00357380"/>
    <w:rsid w:val="003602D9"/>
    <w:rsid w:val="003604CE"/>
    <w:rsid w:val="00360A21"/>
    <w:rsid w:val="00362D18"/>
    <w:rsid w:val="00370E47"/>
    <w:rsid w:val="003742AC"/>
    <w:rsid w:val="003754AB"/>
    <w:rsid w:val="00375CD4"/>
    <w:rsid w:val="00377CE1"/>
    <w:rsid w:val="003843FB"/>
    <w:rsid w:val="00385BF0"/>
    <w:rsid w:val="003939FF"/>
    <w:rsid w:val="00396EF4"/>
    <w:rsid w:val="003A1F29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6D50"/>
    <w:rsid w:val="003C7806"/>
    <w:rsid w:val="003D109F"/>
    <w:rsid w:val="003D2478"/>
    <w:rsid w:val="003D3C45"/>
    <w:rsid w:val="003D5B1F"/>
    <w:rsid w:val="003E15FA"/>
    <w:rsid w:val="003E2E6F"/>
    <w:rsid w:val="003E55E4"/>
    <w:rsid w:val="003E74E3"/>
    <w:rsid w:val="003F05C7"/>
    <w:rsid w:val="003F13B6"/>
    <w:rsid w:val="003F2CD4"/>
    <w:rsid w:val="003F5D5B"/>
    <w:rsid w:val="003F6BBE"/>
    <w:rsid w:val="003F7A7B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54C"/>
    <w:rsid w:val="00413AAC"/>
    <w:rsid w:val="00413E92"/>
    <w:rsid w:val="00417733"/>
    <w:rsid w:val="00417F3E"/>
    <w:rsid w:val="00421105"/>
    <w:rsid w:val="00422AA4"/>
    <w:rsid w:val="004242F4"/>
    <w:rsid w:val="00427248"/>
    <w:rsid w:val="00437447"/>
    <w:rsid w:val="00440ECC"/>
    <w:rsid w:val="00441072"/>
    <w:rsid w:val="00441A92"/>
    <w:rsid w:val="00442160"/>
    <w:rsid w:val="004431DC"/>
    <w:rsid w:val="00444F56"/>
    <w:rsid w:val="00446488"/>
    <w:rsid w:val="004517AA"/>
    <w:rsid w:val="00452CAC"/>
    <w:rsid w:val="00456AE3"/>
    <w:rsid w:val="00457565"/>
    <w:rsid w:val="00457B71"/>
    <w:rsid w:val="004620AB"/>
    <w:rsid w:val="004669E2"/>
    <w:rsid w:val="00470C31"/>
    <w:rsid w:val="00471DE0"/>
    <w:rsid w:val="004734D0"/>
    <w:rsid w:val="0047556B"/>
    <w:rsid w:val="00477768"/>
    <w:rsid w:val="00482263"/>
    <w:rsid w:val="00482F88"/>
    <w:rsid w:val="00492BC5"/>
    <w:rsid w:val="004964F1"/>
    <w:rsid w:val="004A16BC"/>
    <w:rsid w:val="004A2B94"/>
    <w:rsid w:val="004A7B90"/>
    <w:rsid w:val="004B6F6A"/>
    <w:rsid w:val="004B7C0C"/>
    <w:rsid w:val="004C3898"/>
    <w:rsid w:val="004C4E37"/>
    <w:rsid w:val="004D12BA"/>
    <w:rsid w:val="004D36B1"/>
    <w:rsid w:val="004D7EBD"/>
    <w:rsid w:val="004E1777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379"/>
    <w:rsid w:val="005057B3"/>
    <w:rsid w:val="00506557"/>
    <w:rsid w:val="0050677A"/>
    <w:rsid w:val="005108D8"/>
    <w:rsid w:val="005116F9"/>
    <w:rsid w:val="005153A7"/>
    <w:rsid w:val="00520069"/>
    <w:rsid w:val="00520890"/>
    <w:rsid w:val="005219CF"/>
    <w:rsid w:val="00521A15"/>
    <w:rsid w:val="00534B59"/>
    <w:rsid w:val="00536759"/>
    <w:rsid w:val="00536A17"/>
    <w:rsid w:val="00537C62"/>
    <w:rsid w:val="00537E2B"/>
    <w:rsid w:val="0054058C"/>
    <w:rsid w:val="00542E93"/>
    <w:rsid w:val="005450C3"/>
    <w:rsid w:val="00546970"/>
    <w:rsid w:val="005507F1"/>
    <w:rsid w:val="00552D60"/>
    <w:rsid w:val="0055389E"/>
    <w:rsid w:val="00554E19"/>
    <w:rsid w:val="00555CCD"/>
    <w:rsid w:val="0056021D"/>
    <w:rsid w:val="00560AB1"/>
    <w:rsid w:val="0056121F"/>
    <w:rsid w:val="00561B94"/>
    <w:rsid w:val="00561F76"/>
    <w:rsid w:val="00572505"/>
    <w:rsid w:val="00576160"/>
    <w:rsid w:val="00582809"/>
    <w:rsid w:val="0058798C"/>
    <w:rsid w:val="005900FA"/>
    <w:rsid w:val="0059045F"/>
    <w:rsid w:val="00592EED"/>
    <w:rsid w:val="005935A4"/>
    <w:rsid w:val="005948C2"/>
    <w:rsid w:val="00595DCA"/>
    <w:rsid w:val="0059779B"/>
    <w:rsid w:val="005A209A"/>
    <w:rsid w:val="005A2F0F"/>
    <w:rsid w:val="005A662D"/>
    <w:rsid w:val="005B1409"/>
    <w:rsid w:val="005B35D7"/>
    <w:rsid w:val="005B392A"/>
    <w:rsid w:val="005B3AA3"/>
    <w:rsid w:val="005B42F2"/>
    <w:rsid w:val="005B6F83"/>
    <w:rsid w:val="005C4706"/>
    <w:rsid w:val="005C74FB"/>
    <w:rsid w:val="005D1602"/>
    <w:rsid w:val="005E385F"/>
    <w:rsid w:val="005E5B81"/>
    <w:rsid w:val="005F045D"/>
    <w:rsid w:val="005F2CB1"/>
    <w:rsid w:val="005F3025"/>
    <w:rsid w:val="005F618C"/>
    <w:rsid w:val="005F70BD"/>
    <w:rsid w:val="0060283C"/>
    <w:rsid w:val="00604F14"/>
    <w:rsid w:val="006057CE"/>
    <w:rsid w:val="00611B83"/>
    <w:rsid w:val="00613257"/>
    <w:rsid w:val="00615AD3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0013"/>
    <w:rsid w:val="0064151F"/>
    <w:rsid w:val="00641533"/>
    <w:rsid w:val="0064208D"/>
    <w:rsid w:val="00643475"/>
    <w:rsid w:val="0064396A"/>
    <w:rsid w:val="0064624E"/>
    <w:rsid w:val="00650AB9"/>
    <w:rsid w:val="00652A93"/>
    <w:rsid w:val="00655733"/>
    <w:rsid w:val="00655ACD"/>
    <w:rsid w:val="00656A92"/>
    <w:rsid w:val="00656DDE"/>
    <w:rsid w:val="0066011D"/>
    <w:rsid w:val="006607C0"/>
    <w:rsid w:val="00660E38"/>
    <w:rsid w:val="006613A6"/>
    <w:rsid w:val="006627A2"/>
    <w:rsid w:val="006634E6"/>
    <w:rsid w:val="00663C94"/>
    <w:rsid w:val="006655EE"/>
    <w:rsid w:val="006661AE"/>
    <w:rsid w:val="006679A4"/>
    <w:rsid w:val="00667EE7"/>
    <w:rsid w:val="00670922"/>
    <w:rsid w:val="00670BE1"/>
    <w:rsid w:val="0067218F"/>
    <w:rsid w:val="006733B8"/>
    <w:rsid w:val="006741F2"/>
    <w:rsid w:val="00674CC3"/>
    <w:rsid w:val="00675C72"/>
    <w:rsid w:val="006771F9"/>
    <w:rsid w:val="006776D7"/>
    <w:rsid w:val="00681003"/>
    <w:rsid w:val="006817C9"/>
    <w:rsid w:val="00683B44"/>
    <w:rsid w:val="00683ECE"/>
    <w:rsid w:val="00685EBF"/>
    <w:rsid w:val="00687BCD"/>
    <w:rsid w:val="006911B4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7F1"/>
    <w:rsid w:val="006B50CF"/>
    <w:rsid w:val="006C03B8"/>
    <w:rsid w:val="006C5EC9"/>
    <w:rsid w:val="006C6059"/>
    <w:rsid w:val="006C7522"/>
    <w:rsid w:val="006D37DE"/>
    <w:rsid w:val="006D44F8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3753"/>
    <w:rsid w:val="00704EDB"/>
    <w:rsid w:val="00706101"/>
    <w:rsid w:val="00707072"/>
    <w:rsid w:val="00707D61"/>
    <w:rsid w:val="00712287"/>
    <w:rsid w:val="00712772"/>
    <w:rsid w:val="007148D3"/>
    <w:rsid w:val="00714D00"/>
    <w:rsid w:val="00715B9A"/>
    <w:rsid w:val="007257D0"/>
    <w:rsid w:val="007260BD"/>
    <w:rsid w:val="00726206"/>
    <w:rsid w:val="00726EA6"/>
    <w:rsid w:val="00727208"/>
    <w:rsid w:val="00727680"/>
    <w:rsid w:val="007348B1"/>
    <w:rsid w:val="007362A6"/>
    <w:rsid w:val="00736B32"/>
    <w:rsid w:val="00736D7D"/>
    <w:rsid w:val="00740E58"/>
    <w:rsid w:val="00743A8D"/>
    <w:rsid w:val="007445A0"/>
    <w:rsid w:val="0074524B"/>
    <w:rsid w:val="00746D22"/>
    <w:rsid w:val="00747D8B"/>
    <w:rsid w:val="00750225"/>
    <w:rsid w:val="00751228"/>
    <w:rsid w:val="007571E1"/>
    <w:rsid w:val="00757A16"/>
    <w:rsid w:val="007604B2"/>
    <w:rsid w:val="00765281"/>
    <w:rsid w:val="00766BAD"/>
    <w:rsid w:val="007729A2"/>
    <w:rsid w:val="007755F2"/>
    <w:rsid w:val="007765FE"/>
    <w:rsid w:val="00776971"/>
    <w:rsid w:val="00780A80"/>
    <w:rsid w:val="0078177E"/>
    <w:rsid w:val="0078304C"/>
    <w:rsid w:val="00783673"/>
    <w:rsid w:val="00785490"/>
    <w:rsid w:val="007925EA"/>
    <w:rsid w:val="00793981"/>
    <w:rsid w:val="00793CD8"/>
    <w:rsid w:val="00795C92"/>
    <w:rsid w:val="00796231"/>
    <w:rsid w:val="00797CF1"/>
    <w:rsid w:val="007A1CB3"/>
    <w:rsid w:val="007A2427"/>
    <w:rsid w:val="007A306F"/>
    <w:rsid w:val="007A43A6"/>
    <w:rsid w:val="007A542D"/>
    <w:rsid w:val="007A58A6"/>
    <w:rsid w:val="007B2E3E"/>
    <w:rsid w:val="007B3D2D"/>
    <w:rsid w:val="007B50AE"/>
    <w:rsid w:val="007B51DF"/>
    <w:rsid w:val="007B5F45"/>
    <w:rsid w:val="007C05DD"/>
    <w:rsid w:val="007C3D18"/>
    <w:rsid w:val="007C60BF"/>
    <w:rsid w:val="007C6A07"/>
    <w:rsid w:val="007C75A1"/>
    <w:rsid w:val="007C77A5"/>
    <w:rsid w:val="007D04E5"/>
    <w:rsid w:val="007D1261"/>
    <w:rsid w:val="007D5901"/>
    <w:rsid w:val="007D7526"/>
    <w:rsid w:val="007D7A80"/>
    <w:rsid w:val="007E2142"/>
    <w:rsid w:val="007E251F"/>
    <w:rsid w:val="007E4610"/>
    <w:rsid w:val="007E4715"/>
    <w:rsid w:val="007E505B"/>
    <w:rsid w:val="007E7091"/>
    <w:rsid w:val="00803FAE"/>
    <w:rsid w:val="0080605F"/>
    <w:rsid w:val="00807786"/>
    <w:rsid w:val="00811FCB"/>
    <w:rsid w:val="008127D9"/>
    <w:rsid w:val="00812F52"/>
    <w:rsid w:val="008158D6"/>
    <w:rsid w:val="00817196"/>
    <w:rsid w:val="008235DB"/>
    <w:rsid w:val="00823BDC"/>
    <w:rsid w:val="00823D9E"/>
    <w:rsid w:val="00824AB4"/>
    <w:rsid w:val="00825C42"/>
    <w:rsid w:val="00825D25"/>
    <w:rsid w:val="00827D6F"/>
    <w:rsid w:val="00831BE6"/>
    <w:rsid w:val="008376AC"/>
    <w:rsid w:val="00843DE2"/>
    <w:rsid w:val="008444E8"/>
    <w:rsid w:val="00844E80"/>
    <w:rsid w:val="00846FE7"/>
    <w:rsid w:val="00856911"/>
    <w:rsid w:val="008676B6"/>
    <w:rsid w:val="008677FD"/>
    <w:rsid w:val="008706D4"/>
    <w:rsid w:val="00870F8A"/>
    <w:rsid w:val="008719A4"/>
    <w:rsid w:val="00871D23"/>
    <w:rsid w:val="00874312"/>
    <w:rsid w:val="0087437C"/>
    <w:rsid w:val="0087475B"/>
    <w:rsid w:val="00875CD7"/>
    <w:rsid w:val="00876B4D"/>
    <w:rsid w:val="00877F18"/>
    <w:rsid w:val="008846DB"/>
    <w:rsid w:val="00890035"/>
    <w:rsid w:val="00892A86"/>
    <w:rsid w:val="00892B68"/>
    <w:rsid w:val="008941E3"/>
    <w:rsid w:val="00894A88"/>
    <w:rsid w:val="00895386"/>
    <w:rsid w:val="008A21FF"/>
    <w:rsid w:val="008A2CE2"/>
    <w:rsid w:val="008A30AC"/>
    <w:rsid w:val="008A3DBA"/>
    <w:rsid w:val="008A44B8"/>
    <w:rsid w:val="008A51A8"/>
    <w:rsid w:val="008A54C7"/>
    <w:rsid w:val="008A735D"/>
    <w:rsid w:val="008A77D8"/>
    <w:rsid w:val="008B0483"/>
    <w:rsid w:val="008B120C"/>
    <w:rsid w:val="008B51A0"/>
    <w:rsid w:val="008B592A"/>
    <w:rsid w:val="008B5D07"/>
    <w:rsid w:val="008B6C0D"/>
    <w:rsid w:val="008B7B5C"/>
    <w:rsid w:val="008C0C99"/>
    <w:rsid w:val="008C2017"/>
    <w:rsid w:val="008C20FF"/>
    <w:rsid w:val="008C4958"/>
    <w:rsid w:val="008C4BAA"/>
    <w:rsid w:val="008C6AE8"/>
    <w:rsid w:val="008C7573"/>
    <w:rsid w:val="008D00A5"/>
    <w:rsid w:val="008D2AFD"/>
    <w:rsid w:val="008D34F1"/>
    <w:rsid w:val="008D39D8"/>
    <w:rsid w:val="008D6D1A"/>
    <w:rsid w:val="008E065E"/>
    <w:rsid w:val="008E0927"/>
    <w:rsid w:val="008E1909"/>
    <w:rsid w:val="008E418A"/>
    <w:rsid w:val="008E7B8A"/>
    <w:rsid w:val="008F1EAB"/>
    <w:rsid w:val="008F33DC"/>
    <w:rsid w:val="008F477F"/>
    <w:rsid w:val="008F59C6"/>
    <w:rsid w:val="00902138"/>
    <w:rsid w:val="00902350"/>
    <w:rsid w:val="0090336B"/>
    <w:rsid w:val="00904880"/>
    <w:rsid w:val="009053AA"/>
    <w:rsid w:val="0090629F"/>
    <w:rsid w:val="00906939"/>
    <w:rsid w:val="00910B7D"/>
    <w:rsid w:val="00911DFB"/>
    <w:rsid w:val="009139D9"/>
    <w:rsid w:val="00914AD8"/>
    <w:rsid w:val="00916079"/>
    <w:rsid w:val="00917CE9"/>
    <w:rsid w:val="00920BF2"/>
    <w:rsid w:val="00921BDD"/>
    <w:rsid w:val="00922010"/>
    <w:rsid w:val="00923606"/>
    <w:rsid w:val="00931BD9"/>
    <w:rsid w:val="00931D75"/>
    <w:rsid w:val="00931ED9"/>
    <w:rsid w:val="00936875"/>
    <w:rsid w:val="009368F3"/>
    <w:rsid w:val="00941636"/>
    <w:rsid w:val="00943742"/>
    <w:rsid w:val="00945C05"/>
    <w:rsid w:val="00946945"/>
    <w:rsid w:val="00946A1F"/>
    <w:rsid w:val="00947713"/>
    <w:rsid w:val="00950DE7"/>
    <w:rsid w:val="00953920"/>
    <w:rsid w:val="00953D47"/>
    <w:rsid w:val="0095681E"/>
    <w:rsid w:val="009572D4"/>
    <w:rsid w:val="009602D4"/>
    <w:rsid w:val="00960D62"/>
    <w:rsid w:val="00961921"/>
    <w:rsid w:val="0096430A"/>
    <w:rsid w:val="0096554B"/>
    <w:rsid w:val="0096584A"/>
    <w:rsid w:val="00971F08"/>
    <w:rsid w:val="0097603D"/>
    <w:rsid w:val="0097687A"/>
    <w:rsid w:val="0097689F"/>
    <w:rsid w:val="00976949"/>
    <w:rsid w:val="00980477"/>
    <w:rsid w:val="00980EA7"/>
    <w:rsid w:val="00983983"/>
    <w:rsid w:val="009844C5"/>
    <w:rsid w:val="00985253"/>
    <w:rsid w:val="009853B3"/>
    <w:rsid w:val="00985610"/>
    <w:rsid w:val="00987A2A"/>
    <w:rsid w:val="00990630"/>
    <w:rsid w:val="00991761"/>
    <w:rsid w:val="00994DCA"/>
    <w:rsid w:val="009960EC"/>
    <w:rsid w:val="009970DD"/>
    <w:rsid w:val="00997860"/>
    <w:rsid w:val="009A0FBA"/>
    <w:rsid w:val="009A117B"/>
    <w:rsid w:val="009A1601"/>
    <w:rsid w:val="009A3BB6"/>
    <w:rsid w:val="009A462D"/>
    <w:rsid w:val="009A5A5A"/>
    <w:rsid w:val="009A5CBA"/>
    <w:rsid w:val="009B03B5"/>
    <w:rsid w:val="009B1F30"/>
    <w:rsid w:val="009B3AC2"/>
    <w:rsid w:val="009B4DF4"/>
    <w:rsid w:val="009B564E"/>
    <w:rsid w:val="009B7E87"/>
    <w:rsid w:val="009C0169"/>
    <w:rsid w:val="009C18DB"/>
    <w:rsid w:val="009C403E"/>
    <w:rsid w:val="009D4FF0"/>
    <w:rsid w:val="009D703C"/>
    <w:rsid w:val="009D718F"/>
    <w:rsid w:val="009E068F"/>
    <w:rsid w:val="009E14E0"/>
    <w:rsid w:val="009E35DB"/>
    <w:rsid w:val="009E47A3"/>
    <w:rsid w:val="009E4C51"/>
    <w:rsid w:val="009E755B"/>
    <w:rsid w:val="009F08F3"/>
    <w:rsid w:val="009F344F"/>
    <w:rsid w:val="00A00DE4"/>
    <w:rsid w:val="00A031D8"/>
    <w:rsid w:val="00A048A8"/>
    <w:rsid w:val="00A04F49"/>
    <w:rsid w:val="00A11302"/>
    <w:rsid w:val="00A13E54"/>
    <w:rsid w:val="00A142A9"/>
    <w:rsid w:val="00A17F63"/>
    <w:rsid w:val="00A2193B"/>
    <w:rsid w:val="00A2351A"/>
    <w:rsid w:val="00A264A9"/>
    <w:rsid w:val="00A26DCF"/>
    <w:rsid w:val="00A27785"/>
    <w:rsid w:val="00A30187"/>
    <w:rsid w:val="00A309D0"/>
    <w:rsid w:val="00A3448A"/>
    <w:rsid w:val="00A36297"/>
    <w:rsid w:val="00A41E2B"/>
    <w:rsid w:val="00A45B74"/>
    <w:rsid w:val="00A52E1D"/>
    <w:rsid w:val="00A61499"/>
    <w:rsid w:val="00A62A77"/>
    <w:rsid w:val="00A63483"/>
    <w:rsid w:val="00A64C97"/>
    <w:rsid w:val="00A657D7"/>
    <w:rsid w:val="00A660AC"/>
    <w:rsid w:val="00A67E6C"/>
    <w:rsid w:val="00A67FE3"/>
    <w:rsid w:val="00A71B99"/>
    <w:rsid w:val="00A739D0"/>
    <w:rsid w:val="00A761D4"/>
    <w:rsid w:val="00A77EC4"/>
    <w:rsid w:val="00A82E71"/>
    <w:rsid w:val="00A8716C"/>
    <w:rsid w:val="00A8777A"/>
    <w:rsid w:val="00A90CBA"/>
    <w:rsid w:val="00A92879"/>
    <w:rsid w:val="00A9442A"/>
    <w:rsid w:val="00AA016F"/>
    <w:rsid w:val="00AA0AA1"/>
    <w:rsid w:val="00AA1ED6"/>
    <w:rsid w:val="00AA51D6"/>
    <w:rsid w:val="00AB0BC8"/>
    <w:rsid w:val="00AB114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0F2"/>
    <w:rsid w:val="00AD0AA3"/>
    <w:rsid w:val="00AD3F94"/>
    <w:rsid w:val="00AD4A5A"/>
    <w:rsid w:val="00AD5FC3"/>
    <w:rsid w:val="00AE18BA"/>
    <w:rsid w:val="00AE27AC"/>
    <w:rsid w:val="00AE2A68"/>
    <w:rsid w:val="00AE2B9F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365C"/>
    <w:rsid w:val="00B157EE"/>
    <w:rsid w:val="00B157F9"/>
    <w:rsid w:val="00B20256"/>
    <w:rsid w:val="00B20D09"/>
    <w:rsid w:val="00B21525"/>
    <w:rsid w:val="00B2238C"/>
    <w:rsid w:val="00B23226"/>
    <w:rsid w:val="00B2763F"/>
    <w:rsid w:val="00B27AAC"/>
    <w:rsid w:val="00B30929"/>
    <w:rsid w:val="00B36F93"/>
    <w:rsid w:val="00B372AA"/>
    <w:rsid w:val="00B40445"/>
    <w:rsid w:val="00B409E0"/>
    <w:rsid w:val="00B41888"/>
    <w:rsid w:val="00B45A52"/>
    <w:rsid w:val="00B46049"/>
    <w:rsid w:val="00B46175"/>
    <w:rsid w:val="00B548B7"/>
    <w:rsid w:val="00B662A3"/>
    <w:rsid w:val="00B664C7"/>
    <w:rsid w:val="00B70F92"/>
    <w:rsid w:val="00B723C2"/>
    <w:rsid w:val="00B739F6"/>
    <w:rsid w:val="00B803CD"/>
    <w:rsid w:val="00B81A6C"/>
    <w:rsid w:val="00B83057"/>
    <w:rsid w:val="00B85DE5"/>
    <w:rsid w:val="00B87EE6"/>
    <w:rsid w:val="00B90F73"/>
    <w:rsid w:val="00B9245E"/>
    <w:rsid w:val="00B93B59"/>
    <w:rsid w:val="00B9406A"/>
    <w:rsid w:val="00B948E1"/>
    <w:rsid w:val="00BA2280"/>
    <w:rsid w:val="00BA2A08"/>
    <w:rsid w:val="00BA56D2"/>
    <w:rsid w:val="00BA5B78"/>
    <w:rsid w:val="00BA76E0"/>
    <w:rsid w:val="00BB252E"/>
    <w:rsid w:val="00BB2A25"/>
    <w:rsid w:val="00BB51E9"/>
    <w:rsid w:val="00BB5472"/>
    <w:rsid w:val="00BC0FDC"/>
    <w:rsid w:val="00BC3053"/>
    <w:rsid w:val="00BC3615"/>
    <w:rsid w:val="00BC4D2E"/>
    <w:rsid w:val="00BC5911"/>
    <w:rsid w:val="00BC6828"/>
    <w:rsid w:val="00BD0447"/>
    <w:rsid w:val="00BD48AC"/>
    <w:rsid w:val="00BD5F1A"/>
    <w:rsid w:val="00BD6ECC"/>
    <w:rsid w:val="00BE0319"/>
    <w:rsid w:val="00BE1234"/>
    <w:rsid w:val="00BE2FA6"/>
    <w:rsid w:val="00BE333F"/>
    <w:rsid w:val="00BE7406"/>
    <w:rsid w:val="00BE7603"/>
    <w:rsid w:val="00BF3279"/>
    <w:rsid w:val="00BF74C7"/>
    <w:rsid w:val="00C01377"/>
    <w:rsid w:val="00C015F1"/>
    <w:rsid w:val="00C01F33"/>
    <w:rsid w:val="00C0279C"/>
    <w:rsid w:val="00C02CC6"/>
    <w:rsid w:val="00C040F7"/>
    <w:rsid w:val="00C044AB"/>
    <w:rsid w:val="00C05706"/>
    <w:rsid w:val="00C07377"/>
    <w:rsid w:val="00C10478"/>
    <w:rsid w:val="00C11D58"/>
    <w:rsid w:val="00C12107"/>
    <w:rsid w:val="00C14D4B"/>
    <w:rsid w:val="00C154BB"/>
    <w:rsid w:val="00C157DD"/>
    <w:rsid w:val="00C16469"/>
    <w:rsid w:val="00C17675"/>
    <w:rsid w:val="00C24D47"/>
    <w:rsid w:val="00C26D37"/>
    <w:rsid w:val="00C279B5"/>
    <w:rsid w:val="00C27C45"/>
    <w:rsid w:val="00C31EB9"/>
    <w:rsid w:val="00C35BD5"/>
    <w:rsid w:val="00C3719D"/>
    <w:rsid w:val="00C37CB2"/>
    <w:rsid w:val="00C43821"/>
    <w:rsid w:val="00C4526B"/>
    <w:rsid w:val="00C46655"/>
    <w:rsid w:val="00C473A5"/>
    <w:rsid w:val="00C477E0"/>
    <w:rsid w:val="00C535B4"/>
    <w:rsid w:val="00C5458D"/>
    <w:rsid w:val="00C5494D"/>
    <w:rsid w:val="00C54995"/>
    <w:rsid w:val="00C54D41"/>
    <w:rsid w:val="00C558CD"/>
    <w:rsid w:val="00C60783"/>
    <w:rsid w:val="00C645F5"/>
    <w:rsid w:val="00C64672"/>
    <w:rsid w:val="00C70697"/>
    <w:rsid w:val="00C72093"/>
    <w:rsid w:val="00C72EF4"/>
    <w:rsid w:val="00C744FE"/>
    <w:rsid w:val="00C758B5"/>
    <w:rsid w:val="00C75D2F"/>
    <w:rsid w:val="00C76245"/>
    <w:rsid w:val="00C767BE"/>
    <w:rsid w:val="00C76E3C"/>
    <w:rsid w:val="00C81568"/>
    <w:rsid w:val="00C81930"/>
    <w:rsid w:val="00C81A37"/>
    <w:rsid w:val="00C86DD2"/>
    <w:rsid w:val="00C87B6C"/>
    <w:rsid w:val="00C9027A"/>
    <w:rsid w:val="00C9068E"/>
    <w:rsid w:val="00C93814"/>
    <w:rsid w:val="00C93C4B"/>
    <w:rsid w:val="00C944AB"/>
    <w:rsid w:val="00C95B40"/>
    <w:rsid w:val="00CA1ED8"/>
    <w:rsid w:val="00CB1F63"/>
    <w:rsid w:val="00CB68EA"/>
    <w:rsid w:val="00CB6F3E"/>
    <w:rsid w:val="00CB6FA0"/>
    <w:rsid w:val="00CB7170"/>
    <w:rsid w:val="00CC040E"/>
    <w:rsid w:val="00CC0801"/>
    <w:rsid w:val="00CC111F"/>
    <w:rsid w:val="00CC2011"/>
    <w:rsid w:val="00CC3EA0"/>
    <w:rsid w:val="00CC4166"/>
    <w:rsid w:val="00CC4FE1"/>
    <w:rsid w:val="00CC7B45"/>
    <w:rsid w:val="00CD1188"/>
    <w:rsid w:val="00CD2ED1"/>
    <w:rsid w:val="00CD337B"/>
    <w:rsid w:val="00CD5707"/>
    <w:rsid w:val="00CD6BF4"/>
    <w:rsid w:val="00CD7844"/>
    <w:rsid w:val="00CE019E"/>
    <w:rsid w:val="00CE0424"/>
    <w:rsid w:val="00CE6935"/>
    <w:rsid w:val="00CE72DE"/>
    <w:rsid w:val="00CE7561"/>
    <w:rsid w:val="00CF1354"/>
    <w:rsid w:val="00CF15A3"/>
    <w:rsid w:val="00CF3B1F"/>
    <w:rsid w:val="00CF3BF6"/>
    <w:rsid w:val="00CF539A"/>
    <w:rsid w:val="00CF625B"/>
    <w:rsid w:val="00CF687E"/>
    <w:rsid w:val="00D0299C"/>
    <w:rsid w:val="00D02E07"/>
    <w:rsid w:val="00D0349B"/>
    <w:rsid w:val="00D0604A"/>
    <w:rsid w:val="00D10249"/>
    <w:rsid w:val="00D115C3"/>
    <w:rsid w:val="00D11897"/>
    <w:rsid w:val="00D13135"/>
    <w:rsid w:val="00D13E4E"/>
    <w:rsid w:val="00D16F12"/>
    <w:rsid w:val="00D21C12"/>
    <w:rsid w:val="00D239A7"/>
    <w:rsid w:val="00D23F47"/>
    <w:rsid w:val="00D2408C"/>
    <w:rsid w:val="00D35CBD"/>
    <w:rsid w:val="00D36E71"/>
    <w:rsid w:val="00D37D4A"/>
    <w:rsid w:val="00D37D87"/>
    <w:rsid w:val="00D40B33"/>
    <w:rsid w:val="00D4318F"/>
    <w:rsid w:val="00D438BF"/>
    <w:rsid w:val="00D440F8"/>
    <w:rsid w:val="00D45085"/>
    <w:rsid w:val="00D47E59"/>
    <w:rsid w:val="00D51553"/>
    <w:rsid w:val="00D546FF"/>
    <w:rsid w:val="00D55AD5"/>
    <w:rsid w:val="00D576CA"/>
    <w:rsid w:val="00D61AF5"/>
    <w:rsid w:val="00D652B5"/>
    <w:rsid w:val="00D66155"/>
    <w:rsid w:val="00D708B0"/>
    <w:rsid w:val="00D754E2"/>
    <w:rsid w:val="00D77B1D"/>
    <w:rsid w:val="00D8021F"/>
    <w:rsid w:val="00D80383"/>
    <w:rsid w:val="00D823C6"/>
    <w:rsid w:val="00D8327F"/>
    <w:rsid w:val="00D86CA3"/>
    <w:rsid w:val="00D871CE"/>
    <w:rsid w:val="00D9196D"/>
    <w:rsid w:val="00D91CC7"/>
    <w:rsid w:val="00D92982"/>
    <w:rsid w:val="00D957EC"/>
    <w:rsid w:val="00DA305E"/>
    <w:rsid w:val="00DA5417"/>
    <w:rsid w:val="00DA56E8"/>
    <w:rsid w:val="00DB0A9F"/>
    <w:rsid w:val="00DB3728"/>
    <w:rsid w:val="00DB377D"/>
    <w:rsid w:val="00DC2D36"/>
    <w:rsid w:val="00DC53EF"/>
    <w:rsid w:val="00DE5608"/>
    <w:rsid w:val="00DE58D0"/>
    <w:rsid w:val="00DE654F"/>
    <w:rsid w:val="00DF00AF"/>
    <w:rsid w:val="00DF0B6E"/>
    <w:rsid w:val="00DF15E0"/>
    <w:rsid w:val="00DF37A0"/>
    <w:rsid w:val="00DF443A"/>
    <w:rsid w:val="00DF6FCF"/>
    <w:rsid w:val="00E00675"/>
    <w:rsid w:val="00E03D0C"/>
    <w:rsid w:val="00E05D60"/>
    <w:rsid w:val="00E110E7"/>
    <w:rsid w:val="00E11B20"/>
    <w:rsid w:val="00E17FA2"/>
    <w:rsid w:val="00E22330"/>
    <w:rsid w:val="00E22546"/>
    <w:rsid w:val="00E30B5A"/>
    <w:rsid w:val="00E3123D"/>
    <w:rsid w:val="00E31461"/>
    <w:rsid w:val="00E31D43"/>
    <w:rsid w:val="00E32608"/>
    <w:rsid w:val="00E33F9D"/>
    <w:rsid w:val="00E34188"/>
    <w:rsid w:val="00E34B6E"/>
    <w:rsid w:val="00E35559"/>
    <w:rsid w:val="00E3723A"/>
    <w:rsid w:val="00E37860"/>
    <w:rsid w:val="00E441C2"/>
    <w:rsid w:val="00E4466E"/>
    <w:rsid w:val="00E446F1"/>
    <w:rsid w:val="00E46886"/>
    <w:rsid w:val="00E47AEF"/>
    <w:rsid w:val="00E53B75"/>
    <w:rsid w:val="00E54E3B"/>
    <w:rsid w:val="00E55305"/>
    <w:rsid w:val="00E57565"/>
    <w:rsid w:val="00E61023"/>
    <w:rsid w:val="00E6380B"/>
    <w:rsid w:val="00E63838"/>
    <w:rsid w:val="00E64434"/>
    <w:rsid w:val="00E67C51"/>
    <w:rsid w:val="00E72EFC"/>
    <w:rsid w:val="00E758EC"/>
    <w:rsid w:val="00E8234C"/>
    <w:rsid w:val="00E83AA9"/>
    <w:rsid w:val="00E85928"/>
    <w:rsid w:val="00E8756A"/>
    <w:rsid w:val="00E87822"/>
    <w:rsid w:val="00E90395"/>
    <w:rsid w:val="00E90E49"/>
    <w:rsid w:val="00E917F9"/>
    <w:rsid w:val="00E91F9C"/>
    <w:rsid w:val="00E9291C"/>
    <w:rsid w:val="00E93FFE"/>
    <w:rsid w:val="00E94F8A"/>
    <w:rsid w:val="00EA0AD4"/>
    <w:rsid w:val="00EA189E"/>
    <w:rsid w:val="00EA30A0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1F7D"/>
    <w:rsid w:val="00EE2293"/>
    <w:rsid w:val="00EF18FE"/>
    <w:rsid w:val="00EF2B65"/>
    <w:rsid w:val="00EF2F5F"/>
    <w:rsid w:val="00EF5787"/>
    <w:rsid w:val="00EF60D0"/>
    <w:rsid w:val="00F0528D"/>
    <w:rsid w:val="00F05335"/>
    <w:rsid w:val="00F06C67"/>
    <w:rsid w:val="00F06DFD"/>
    <w:rsid w:val="00F071D1"/>
    <w:rsid w:val="00F07533"/>
    <w:rsid w:val="00F10629"/>
    <w:rsid w:val="00F143D5"/>
    <w:rsid w:val="00F15FA5"/>
    <w:rsid w:val="00F209B7"/>
    <w:rsid w:val="00F2376F"/>
    <w:rsid w:val="00F243D8"/>
    <w:rsid w:val="00F30828"/>
    <w:rsid w:val="00F313D6"/>
    <w:rsid w:val="00F3599F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419"/>
    <w:rsid w:val="00F64C2B"/>
    <w:rsid w:val="00F651BE"/>
    <w:rsid w:val="00F67F53"/>
    <w:rsid w:val="00F703BE"/>
    <w:rsid w:val="00F71F69"/>
    <w:rsid w:val="00F726A5"/>
    <w:rsid w:val="00F72B72"/>
    <w:rsid w:val="00F74BB9"/>
    <w:rsid w:val="00F75582"/>
    <w:rsid w:val="00F76EFA"/>
    <w:rsid w:val="00F804BE"/>
    <w:rsid w:val="00F80E92"/>
    <w:rsid w:val="00F817CE"/>
    <w:rsid w:val="00F81E73"/>
    <w:rsid w:val="00F8456C"/>
    <w:rsid w:val="00F859D8"/>
    <w:rsid w:val="00F868F5"/>
    <w:rsid w:val="00F9056A"/>
    <w:rsid w:val="00F90F8D"/>
    <w:rsid w:val="00F9207E"/>
    <w:rsid w:val="00F92782"/>
    <w:rsid w:val="00F93AA9"/>
    <w:rsid w:val="00F96985"/>
    <w:rsid w:val="00F9726A"/>
    <w:rsid w:val="00F97838"/>
    <w:rsid w:val="00FA2BB3"/>
    <w:rsid w:val="00FA7D65"/>
    <w:rsid w:val="00FB0741"/>
    <w:rsid w:val="00FB4C80"/>
    <w:rsid w:val="00FB69E4"/>
    <w:rsid w:val="00FB6A6A"/>
    <w:rsid w:val="00FC3AC1"/>
    <w:rsid w:val="00FC6EB0"/>
    <w:rsid w:val="00FC6F74"/>
    <w:rsid w:val="00FC7429"/>
    <w:rsid w:val="00FD07F6"/>
    <w:rsid w:val="00FD1EC8"/>
    <w:rsid w:val="00FD47ED"/>
    <w:rsid w:val="00FD74DB"/>
    <w:rsid w:val="00FD75B7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5FE682"/>
  <w15:chartTrackingRefBased/>
  <w15:docId w15:val="{8BE983BA-FBE6-427D-93E3-FF5FC0292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47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747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747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747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747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747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7475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7475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7475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747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7475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747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7475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7475B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7475B"/>
    <w:pPr>
      <w:ind w:left="1701" w:hanging="1701"/>
    </w:pPr>
  </w:style>
  <w:style w:type="paragraph" w:styleId="TOC4">
    <w:name w:val="toc 4"/>
    <w:basedOn w:val="TOC3"/>
    <w:uiPriority w:val="39"/>
    <w:rsid w:val="0087475B"/>
    <w:pPr>
      <w:ind w:left="1418" w:hanging="1418"/>
    </w:pPr>
  </w:style>
  <w:style w:type="paragraph" w:styleId="TOC3">
    <w:name w:val="toc 3"/>
    <w:basedOn w:val="TOC2"/>
    <w:uiPriority w:val="39"/>
    <w:rsid w:val="0087475B"/>
    <w:pPr>
      <w:ind w:left="1134" w:hanging="1134"/>
    </w:pPr>
  </w:style>
  <w:style w:type="paragraph" w:styleId="TOC2">
    <w:name w:val="toc 2"/>
    <w:basedOn w:val="TOC1"/>
    <w:uiPriority w:val="39"/>
    <w:rsid w:val="008747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7475B"/>
    <w:pPr>
      <w:ind w:left="284"/>
    </w:pPr>
  </w:style>
  <w:style w:type="paragraph" w:styleId="Index1">
    <w:name w:val="index 1"/>
    <w:basedOn w:val="Normal"/>
    <w:rsid w:val="0087475B"/>
    <w:pPr>
      <w:keepLines/>
      <w:spacing w:after="0"/>
    </w:pPr>
  </w:style>
  <w:style w:type="paragraph" w:styleId="DocumentMap">
    <w:name w:val="Document Map"/>
    <w:basedOn w:val="Normal"/>
    <w:link w:val="DocumentMapChar"/>
    <w:rsid w:val="0087475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7475B"/>
    <w:pPr>
      <w:numPr>
        <w:numId w:val="22"/>
      </w:numPr>
    </w:pPr>
  </w:style>
  <w:style w:type="paragraph" w:styleId="ListNumber">
    <w:name w:val="List Number"/>
    <w:basedOn w:val="List"/>
    <w:rsid w:val="0087475B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7475B"/>
    <w:pPr>
      <w:ind w:left="568" w:hanging="284"/>
    </w:pPr>
  </w:style>
  <w:style w:type="paragraph" w:styleId="Header">
    <w:name w:val="header"/>
    <w:link w:val="HeaderChar"/>
    <w:rsid w:val="008747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7475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7475B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7475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7475B"/>
    <w:pPr>
      <w:ind w:left="1418" w:hanging="1418"/>
    </w:pPr>
  </w:style>
  <w:style w:type="paragraph" w:styleId="TOC6">
    <w:name w:val="toc 6"/>
    <w:basedOn w:val="TOC5"/>
    <w:next w:val="Normal"/>
    <w:uiPriority w:val="39"/>
    <w:rsid w:val="0087475B"/>
    <w:pPr>
      <w:ind w:left="1985" w:hanging="1985"/>
    </w:pPr>
  </w:style>
  <w:style w:type="paragraph" w:styleId="TOC7">
    <w:name w:val="toc 7"/>
    <w:basedOn w:val="TOC6"/>
    <w:next w:val="Normal"/>
    <w:uiPriority w:val="39"/>
    <w:rsid w:val="0087475B"/>
    <w:pPr>
      <w:ind w:left="2268" w:hanging="2268"/>
    </w:pPr>
  </w:style>
  <w:style w:type="paragraph" w:styleId="ListBullet2">
    <w:name w:val="List Bullet 2"/>
    <w:basedOn w:val="ListBullet"/>
    <w:rsid w:val="0087475B"/>
    <w:pPr>
      <w:numPr>
        <w:numId w:val="17"/>
      </w:numPr>
    </w:pPr>
  </w:style>
  <w:style w:type="paragraph" w:styleId="ListBullet">
    <w:name w:val="List Bullet"/>
    <w:basedOn w:val="List"/>
    <w:rsid w:val="0087475B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7475B"/>
    <w:pPr>
      <w:numPr>
        <w:numId w:val="18"/>
      </w:numPr>
    </w:pPr>
  </w:style>
  <w:style w:type="paragraph" w:customStyle="1" w:styleId="EQ">
    <w:name w:val="EQ"/>
    <w:basedOn w:val="Normal"/>
    <w:next w:val="Normal"/>
    <w:rsid w:val="0087475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7475B"/>
    <w:pPr>
      <w:ind w:left="851"/>
    </w:pPr>
    <w:rPr>
      <w:lang w:eastAsia="ja-JP"/>
    </w:rPr>
  </w:style>
  <w:style w:type="paragraph" w:styleId="List3">
    <w:name w:val="List 3"/>
    <w:basedOn w:val="List2"/>
    <w:rsid w:val="0087475B"/>
    <w:pPr>
      <w:ind w:left="1135"/>
    </w:pPr>
  </w:style>
  <w:style w:type="paragraph" w:styleId="List4">
    <w:name w:val="List 4"/>
    <w:basedOn w:val="List3"/>
    <w:rsid w:val="0087475B"/>
    <w:pPr>
      <w:ind w:left="1418"/>
    </w:pPr>
  </w:style>
  <w:style w:type="paragraph" w:styleId="List5">
    <w:name w:val="List 5"/>
    <w:basedOn w:val="List4"/>
    <w:rsid w:val="0087475B"/>
    <w:pPr>
      <w:ind w:left="1702"/>
    </w:pPr>
  </w:style>
  <w:style w:type="paragraph" w:customStyle="1" w:styleId="EditorsNote">
    <w:name w:val="Editor's Note"/>
    <w:basedOn w:val="NO"/>
    <w:link w:val="EditorsNoteChar"/>
    <w:rsid w:val="0087475B"/>
    <w:rPr>
      <w:color w:val="FF0000"/>
      <w:lang w:val="x-none" w:eastAsia="x-none"/>
    </w:rPr>
  </w:style>
  <w:style w:type="paragraph" w:styleId="ListBullet4">
    <w:name w:val="List Bullet 4"/>
    <w:basedOn w:val="ListBullet3"/>
    <w:rsid w:val="0087475B"/>
    <w:pPr>
      <w:numPr>
        <w:numId w:val="19"/>
      </w:numPr>
    </w:pPr>
  </w:style>
  <w:style w:type="paragraph" w:styleId="ListBullet5">
    <w:name w:val="List Bullet 5"/>
    <w:basedOn w:val="ListBullet4"/>
    <w:rsid w:val="0087475B"/>
    <w:pPr>
      <w:numPr>
        <w:numId w:val="20"/>
      </w:numPr>
    </w:pPr>
  </w:style>
  <w:style w:type="paragraph" w:styleId="Footer">
    <w:name w:val="footer"/>
    <w:basedOn w:val="Header"/>
    <w:link w:val="FooterChar"/>
    <w:rsid w:val="0087475B"/>
    <w:pPr>
      <w:jc w:val="center"/>
    </w:pPr>
    <w:rPr>
      <w:i/>
    </w:rPr>
  </w:style>
  <w:style w:type="paragraph" w:customStyle="1" w:styleId="Reference">
    <w:name w:val="Reference"/>
    <w:basedOn w:val="BodyText"/>
    <w:rsid w:val="0087475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7475B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7475B"/>
  </w:style>
  <w:style w:type="paragraph" w:styleId="BodyText">
    <w:name w:val="Body Text"/>
    <w:basedOn w:val="Normal"/>
    <w:link w:val="BodyTextChar"/>
    <w:rsid w:val="0087475B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7475B"/>
    <w:rPr>
      <w:color w:val="0000FF"/>
      <w:u w:val="single"/>
    </w:rPr>
  </w:style>
  <w:style w:type="character" w:styleId="FollowedHyperlink">
    <w:name w:val="FollowedHyperlink"/>
    <w:unhideWhenUsed/>
    <w:rsid w:val="0087475B"/>
    <w:rPr>
      <w:color w:val="800080"/>
      <w:u w:val="single"/>
    </w:rPr>
  </w:style>
  <w:style w:type="character" w:styleId="CommentReference">
    <w:name w:val="annotation reference"/>
    <w:uiPriority w:val="99"/>
    <w:qFormat/>
    <w:rsid w:val="008747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475B"/>
  </w:style>
  <w:style w:type="paragraph" w:styleId="CommentSubject">
    <w:name w:val="annotation subject"/>
    <w:basedOn w:val="CommentText"/>
    <w:next w:val="CommentText"/>
    <w:link w:val="CommentSubjectChar"/>
    <w:rsid w:val="0087475B"/>
    <w:rPr>
      <w:b/>
      <w:bCs/>
    </w:rPr>
  </w:style>
  <w:style w:type="character" w:customStyle="1" w:styleId="Heading1Char">
    <w:name w:val="Heading 1 Char"/>
    <w:link w:val="Heading1"/>
    <w:rsid w:val="0087475B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87475B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87475B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7475B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7475B"/>
    <w:rPr>
      <w:rFonts w:ascii="Times New Roman" w:hAnsi="Times New Roman"/>
    </w:rPr>
  </w:style>
  <w:style w:type="paragraph" w:customStyle="1" w:styleId="Proposal">
    <w:name w:val="Proposal"/>
    <w:basedOn w:val="BodyText"/>
    <w:rsid w:val="0087475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7475B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7475B"/>
    <w:rPr>
      <w:rFonts w:ascii="Times New Roman" w:hAnsi="Times New Roman"/>
    </w:rPr>
  </w:style>
  <w:style w:type="paragraph" w:customStyle="1" w:styleId="EX">
    <w:name w:val="EX"/>
    <w:basedOn w:val="Normal"/>
    <w:rsid w:val="0087475B"/>
    <w:pPr>
      <w:keepLines/>
      <w:ind w:left="1702" w:hanging="1418"/>
    </w:pPr>
  </w:style>
  <w:style w:type="paragraph" w:customStyle="1" w:styleId="EW">
    <w:name w:val="EW"/>
    <w:basedOn w:val="EX"/>
    <w:rsid w:val="0087475B"/>
    <w:pPr>
      <w:spacing w:after="0"/>
    </w:pPr>
  </w:style>
  <w:style w:type="paragraph" w:customStyle="1" w:styleId="TAL">
    <w:name w:val="TAL"/>
    <w:basedOn w:val="Normal"/>
    <w:link w:val="TALCar"/>
    <w:rsid w:val="0087475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7475B"/>
    <w:pPr>
      <w:jc w:val="center"/>
    </w:pPr>
  </w:style>
  <w:style w:type="paragraph" w:customStyle="1" w:styleId="TAH">
    <w:name w:val="TAH"/>
    <w:basedOn w:val="TAC"/>
    <w:link w:val="TAHCar"/>
    <w:rsid w:val="0087475B"/>
    <w:rPr>
      <w:b/>
    </w:rPr>
  </w:style>
  <w:style w:type="paragraph" w:customStyle="1" w:styleId="TAN">
    <w:name w:val="TAN"/>
    <w:basedOn w:val="TAL"/>
    <w:rsid w:val="0087475B"/>
    <w:pPr>
      <w:ind w:left="851" w:hanging="851"/>
    </w:pPr>
  </w:style>
  <w:style w:type="paragraph" w:customStyle="1" w:styleId="TAR">
    <w:name w:val="TAR"/>
    <w:basedOn w:val="TAL"/>
    <w:rsid w:val="0087475B"/>
    <w:pPr>
      <w:jc w:val="right"/>
    </w:pPr>
  </w:style>
  <w:style w:type="paragraph" w:customStyle="1" w:styleId="TH">
    <w:name w:val="TH"/>
    <w:basedOn w:val="Normal"/>
    <w:link w:val="THChar"/>
    <w:rsid w:val="0087475B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7475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7475B"/>
    <w:pPr>
      <w:outlineLvl w:val="9"/>
    </w:pPr>
  </w:style>
  <w:style w:type="paragraph" w:customStyle="1" w:styleId="ZA">
    <w:name w:val="ZA"/>
    <w:rsid w:val="008747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747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747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747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7475B"/>
  </w:style>
  <w:style w:type="paragraph" w:customStyle="1" w:styleId="ZH">
    <w:name w:val="ZH"/>
    <w:rsid w:val="008747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747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7475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747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7475B"/>
    <w:pPr>
      <w:framePr w:wrap="notBeside" w:y="16161"/>
    </w:pPr>
  </w:style>
  <w:style w:type="paragraph" w:customStyle="1" w:styleId="FP">
    <w:name w:val="FP"/>
    <w:basedOn w:val="Normal"/>
    <w:rsid w:val="0087475B"/>
    <w:pPr>
      <w:spacing w:after="0"/>
    </w:pPr>
  </w:style>
  <w:style w:type="paragraph" w:customStyle="1" w:styleId="Observation">
    <w:name w:val="Observation"/>
    <w:basedOn w:val="Proposal"/>
    <w:qFormat/>
    <w:rsid w:val="0087475B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7475B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7475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7475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7475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7475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7475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7475B"/>
    <w:pPr>
      <w:ind w:left="1985"/>
    </w:pPr>
  </w:style>
  <w:style w:type="character" w:customStyle="1" w:styleId="B6Char">
    <w:name w:val="B6 Char"/>
    <w:link w:val="B6"/>
    <w:rsid w:val="0087475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7475B"/>
    <w:pPr>
      <w:ind w:left="2269"/>
    </w:pPr>
  </w:style>
  <w:style w:type="character" w:customStyle="1" w:styleId="B7Char">
    <w:name w:val="B7 Char"/>
    <w:basedOn w:val="B6Char"/>
    <w:link w:val="B7"/>
    <w:rsid w:val="0087475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7475B"/>
    <w:pPr>
      <w:ind w:left="2552"/>
    </w:pPr>
  </w:style>
  <w:style w:type="character" w:customStyle="1" w:styleId="BalloonTextChar">
    <w:name w:val="Balloon Text Char"/>
    <w:link w:val="BalloonText"/>
    <w:rsid w:val="0087475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7475B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7475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7475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7475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7475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7475B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7475B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7475B"/>
    <w:pPr>
      <w:keepLines/>
      <w:ind w:left="1135" w:hanging="851"/>
    </w:pPr>
  </w:style>
  <w:style w:type="character" w:customStyle="1" w:styleId="NOChar">
    <w:name w:val="NO Char"/>
    <w:link w:val="NO"/>
    <w:qFormat/>
    <w:rsid w:val="0087475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7475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7475B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7475B"/>
    <w:rPr>
      <w:i/>
      <w:iCs/>
    </w:rPr>
  </w:style>
  <w:style w:type="paragraph" w:customStyle="1" w:styleId="FigureTitle">
    <w:name w:val="Figure_Title"/>
    <w:basedOn w:val="Normal"/>
    <w:next w:val="Normal"/>
    <w:rsid w:val="00874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7475B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7475B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7475B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7475B"/>
    <w:rPr>
      <w:i/>
      <w:color w:val="0000FF"/>
    </w:rPr>
  </w:style>
  <w:style w:type="character" w:customStyle="1" w:styleId="Heading2Char">
    <w:name w:val="Heading 2 Char"/>
    <w:link w:val="Heading2"/>
    <w:rsid w:val="0087475B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7475B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7475B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7475B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7475B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7475B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7475B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7475B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7475B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7475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7475B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747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7475B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7475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7475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7475B"/>
    <w:pPr>
      <w:spacing w:after="0"/>
    </w:pPr>
  </w:style>
  <w:style w:type="paragraph" w:customStyle="1" w:styleId="PL">
    <w:name w:val="PL"/>
    <w:link w:val="PLChar"/>
    <w:qFormat/>
    <w:rsid w:val="0087475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7475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7475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7475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7475B"/>
    <w:rPr>
      <w:b/>
      <w:bCs/>
    </w:rPr>
  </w:style>
  <w:style w:type="table" w:styleId="TableGrid">
    <w:name w:val="Table Grid"/>
    <w:basedOn w:val="TableNormal"/>
    <w:uiPriority w:val="39"/>
    <w:rsid w:val="0087475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7475B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7475B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7475B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7475B"/>
  </w:style>
  <w:style w:type="paragraph" w:customStyle="1" w:styleId="TALCharChar">
    <w:name w:val="TAL Char Char"/>
    <w:basedOn w:val="Normal"/>
    <w:link w:val="TALCharCharChar"/>
    <w:rsid w:val="0087475B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7475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7475B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7475B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7475B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7475B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7475B"/>
    <w:rPr>
      <w:color w:val="808080"/>
      <w:shd w:val="clear" w:color="auto" w:fill="E6E6E6"/>
    </w:rPr>
  </w:style>
  <w:style w:type="table" w:styleId="GridTable5Dark">
    <w:name w:val="Grid Table 5 Dark"/>
    <w:basedOn w:val="TableNormal"/>
    <w:uiPriority w:val="50"/>
    <w:rsid w:val="00C24D4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rajos\Documents\SWEA%20-%20RAN2\RAN2_105_Athens\EricssonContributions\R2-19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0E7CD-ED06-48DC-8F05-54E978584A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EF588F-C3CA-4972-A6F5-2244787929D8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0221EC2-17FA-41B4-BB28-D3E66EE451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1998D9-733D-4257-BDCC-E663AA225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R2-19xxxx Contribution Template</Template>
  <TotalTime>636</TotalTime>
  <Pages>3</Pages>
  <Words>1351</Words>
  <Characters>6962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8297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Jose Luis Pradas</dc:creator>
  <cp:keywords>3GPP; Ericsson; TDoc</cp:keywords>
  <dc:description/>
  <cp:lastModifiedBy>Ajmal</cp:lastModifiedBy>
  <cp:revision>317</cp:revision>
  <cp:lastPrinted>2008-01-31T07:09:00Z</cp:lastPrinted>
  <dcterms:created xsi:type="dcterms:W3CDTF">2019-07-15T07:04:00Z</dcterms:created>
  <dcterms:modified xsi:type="dcterms:W3CDTF">2019-08-15T16:53:00Z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8573b725-8352-4cbc-a638-3009f0dc63fc</vt:lpwstr>
  </property>
</Properties>
</file>