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AE6D982" w14:textId="5EACDD81"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6F2F0"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w:t>
      </w:r>
      <w:r w:rsidR="00B177B2">
        <w:rPr>
          <w:color w:val="auto"/>
          <w:sz w:val="24"/>
          <w:lang w:eastAsia="en-GB"/>
        </w:rPr>
        <w:t>7</w:t>
      </w:r>
      <w:r>
        <w:rPr>
          <w:rFonts w:hint="eastAsia"/>
          <w:color w:val="auto"/>
          <w:sz w:val="24"/>
          <w:lang w:eastAsia="zh-CN"/>
        </w:rPr>
        <w:tab/>
      </w:r>
      <w:r w:rsidR="00BF708D">
        <w:rPr>
          <w:color w:val="auto"/>
          <w:sz w:val="24"/>
          <w:lang w:eastAsia="zh-CN"/>
        </w:rPr>
        <w:tab/>
      </w:r>
      <w:r w:rsidR="008C2DF3">
        <w:rPr>
          <w:color w:val="auto"/>
          <w:sz w:val="24"/>
          <w:lang w:eastAsia="zh-CN"/>
        </w:rPr>
        <w:t xml:space="preserve">     </w:t>
      </w:r>
      <w:r w:rsidRPr="00BF708D">
        <w:rPr>
          <w:i/>
          <w:color w:val="auto"/>
          <w:sz w:val="24"/>
        </w:rPr>
        <w:t>R2-</w:t>
      </w:r>
      <w:r w:rsidR="007926E2">
        <w:rPr>
          <w:i/>
          <w:color w:val="auto"/>
          <w:sz w:val="24"/>
        </w:rPr>
        <w:t>1</w:t>
      </w:r>
      <w:r w:rsidR="00B22DE0">
        <w:rPr>
          <w:i/>
          <w:color w:val="auto"/>
          <w:sz w:val="24"/>
          <w:lang w:eastAsia="zh-CN"/>
        </w:rPr>
        <w:t>9</w:t>
      </w:r>
      <w:r w:rsidR="008C2DF3">
        <w:rPr>
          <w:i/>
          <w:color w:val="auto"/>
          <w:sz w:val="24"/>
          <w:lang w:eastAsia="zh-CN"/>
        </w:rPr>
        <w:t>1</w:t>
      </w:r>
      <w:r w:rsidR="00B22DE0">
        <w:rPr>
          <w:i/>
          <w:color w:val="auto"/>
          <w:sz w:val="24"/>
          <w:lang w:eastAsia="zh-CN"/>
        </w:rPr>
        <w:t>0</w:t>
      </w:r>
      <w:r w:rsidR="008C2DF3">
        <w:rPr>
          <w:i/>
          <w:color w:val="auto"/>
          <w:sz w:val="24"/>
          <w:lang w:eastAsia="zh-CN"/>
        </w:rPr>
        <w:t>459</w:t>
      </w:r>
    </w:p>
    <w:p w14:paraId="2AE6D983" w14:textId="5E4FB99C" w:rsidR="007E1DEE" w:rsidRPr="00C036E6" w:rsidRDefault="00B177B2" w:rsidP="007E1DEE">
      <w:pPr>
        <w:pStyle w:val="Header"/>
        <w:tabs>
          <w:tab w:val="left" w:pos="6521"/>
        </w:tabs>
        <w:jc w:val="both"/>
        <w:rPr>
          <w:color w:val="auto"/>
          <w:sz w:val="24"/>
          <w:lang w:eastAsia="zh-CN"/>
        </w:rPr>
      </w:pPr>
      <w:r>
        <w:rPr>
          <w:color w:val="auto"/>
          <w:sz w:val="24"/>
          <w:lang w:eastAsia="zh-CN"/>
        </w:rPr>
        <w:t>Prague</w:t>
      </w:r>
      <w:r w:rsidR="00FD3CA6">
        <w:rPr>
          <w:color w:val="auto"/>
          <w:sz w:val="24"/>
        </w:rPr>
        <w:t>,</w:t>
      </w:r>
      <w:r w:rsidR="00B22DE0">
        <w:rPr>
          <w:color w:val="auto"/>
          <w:sz w:val="24"/>
        </w:rPr>
        <w:t xml:space="preserve"> </w:t>
      </w:r>
      <w:r>
        <w:rPr>
          <w:color w:val="auto"/>
          <w:sz w:val="24"/>
        </w:rPr>
        <w:t>Czech, 26 – 30 August</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D39E54C"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76B77">
        <w:rPr>
          <w:rFonts w:ascii="Arial" w:hAnsi="Arial"/>
          <w:b/>
          <w:sz w:val="24"/>
          <w:lang w:val="en-US" w:eastAsia="zh-CN"/>
        </w:rPr>
        <w:t>11.</w:t>
      </w:r>
      <w:r w:rsidR="00AA4739">
        <w:rPr>
          <w:rFonts w:ascii="Arial" w:hAnsi="Arial"/>
          <w:b/>
          <w:sz w:val="24"/>
          <w:lang w:val="en-US" w:eastAsia="zh-CN"/>
        </w:rPr>
        <w:t>5.2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28A739B2"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BB553D">
        <w:rPr>
          <w:rFonts w:ascii="Arial" w:hAnsi="Arial"/>
          <w:b/>
          <w:sz w:val="24"/>
          <w:lang w:val="en-US"/>
        </w:rPr>
        <w:t xml:space="preserve">Clarification on the </w:t>
      </w:r>
      <w:r w:rsidR="00AA4739">
        <w:rPr>
          <w:rFonts w:ascii="Arial" w:hAnsi="Arial"/>
          <w:b/>
          <w:sz w:val="24"/>
          <w:lang w:val="en-US"/>
        </w:rPr>
        <w:t xml:space="preserve">Manufacturer </w:t>
      </w:r>
      <w:r w:rsidR="00BB553D">
        <w:rPr>
          <w:rFonts w:ascii="Arial" w:hAnsi="Arial"/>
          <w:b/>
          <w:sz w:val="24"/>
          <w:lang w:val="en-US"/>
        </w:rPr>
        <w:t xml:space="preserve">based </w:t>
      </w:r>
      <w:r w:rsidR="00AA4739">
        <w:rPr>
          <w:rFonts w:ascii="Arial" w:hAnsi="Arial"/>
          <w:b/>
          <w:sz w:val="24"/>
          <w:lang w:val="en-US"/>
        </w:rPr>
        <w:t xml:space="preserve">ID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C9FE47" w14:textId="5F0E2A0E" w:rsidR="009C418B" w:rsidRDefault="009C07D3" w:rsidP="00B177B2">
      <w:r>
        <w:t xml:space="preserve">RAN2 has </w:t>
      </w:r>
      <w:r w:rsidR="00AA4739">
        <w:t xml:space="preserve">discussed and agreed </w:t>
      </w:r>
      <w:r w:rsidR="007C05A7">
        <w:t>that</w:t>
      </w:r>
      <w:r w:rsidR="00AA4739">
        <w:t xml:space="preserve"> the UE manufacturer based ID</w:t>
      </w:r>
      <w:r w:rsidR="007C05A7">
        <w:t xml:space="preserve"> should reflect the complete UE capability. </w:t>
      </w:r>
      <w:r w:rsidR="00AA4739">
        <w:t xml:space="preserve">In this short paper, we would like to discuss the impact of </w:t>
      </w:r>
      <w:r w:rsidR="00D90E2C" w:rsidRPr="00D90E2C">
        <w:t>Internal UE capability configuration</w:t>
      </w:r>
      <w:r w:rsidR="00D90E2C" w:rsidRPr="00D90E2C" w:rsidDel="00D90E2C">
        <w:t xml:space="preserve"> </w:t>
      </w:r>
      <w:r w:rsidR="00D90E2C">
        <w:t xml:space="preserve">that could be changed based on information </w:t>
      </w:r>
      <w:r w:rsidR="00BB553D">
        <w:t>from upper layers</w:t>
      </w:r>
      <w:r w:rsidR="00AA4739">
        <w:t xml:space="preserve"> (enabling/disabling for certain RATs for example</w:t>
      </w:r>
      <w:r w:rsidR="007C05A7">
        <w:t xml:space="preserve">) on the manufacturer based ID, as this results in more than one set of complete UE capabilities. </w:t>
      </w:r>
    </w:p>
    <w:p w14:paraId="2AE6D98D" w14:textId="77777777" w:rsidR="003E1A61" w:rsidRDefault="003E1A61" w:rsidP="00F13226">
      <w:pPr>
        <w:pStyle w:val="Heading1"/>
      </w:pPr>
      <w:r>
        <w:t>Discussion</w:t>
      </w:r>
    </w:p>
    <w:p w14:paraId="3A448311" w14:textId="77777777" w:rsidR="00B25C6A" w:rsidRDefault="00B25C6A" w:rsidP="00AA4739"/>
    <w:p w14:paraId="7164EF86" w14:textId="77777777" w:rsidR="00B25C6A" w:rsidRDefault="00B25C6A" w:rsidP="00B25C6A">
      <w:pPr>
        <w:pStyle w:val="Heading2"/>
      </w:pPr>
      <w:r>
        <w:t>Internal UE configuration</w:t>
      </w:r>
    </w:p>
    <w:p w14:paraId="4845EB67" w14:textId="77777777" w:rsidR="00B25C6A" w:rsidRDefault="00B25C6A" w:rsidP="00B25C6A">
      <w:r>
        <w:t>We should also bring up the fact that certain capabilities in the UE can be turned OFF/ON from:</w:t>
      </w:r>
    </w:p>
    <w:p w14:paraId="3D64B4D8" w14:textId="77777777" w:rsidR="00B25C6A" w:rsidRDefault="00B25C6A" w:rsidP="00B25C6A">
      <w:pPr>
        <w:pStyle w:val="ListParagraph"/>
        <w:numPr>
          <w:ilvl w:val="0"/>
          <w:numId w:val="19"/>
        </w:numPr>
      </w:pPr>
      <w:r>
        <w:t>UE configuration manager (by the user or through over-the-air update)</w:t>
      </w:r>
    </w:p>
    <w:p w14:paraId="5B7AA7EC" w14:textId="77777777" w:rsidR="00B25C6A" w:rsidRDefault="00B25C6A" w:rsidP="00B25C6A">
      <w:pPr>
        <w:pStyle w:val="ListParagraph"/>
        <w:numPr>
          <w:ilvl w:val="0"/>
          <w:numId w:val="19"/>
        </w:numPr>
      </w:pPr>
      <w:r>
        <w:t>NAS or above layers etc.</w:t>
      </w:r>
    </w:p>
    <w:p w14:paraId="14059DD1" w14:textId="77777777" w:rsidR="00B25C6A" w:rsidRDefault="00AA4739" w:rsidP="00AA4739">
      <w:r>
        <w:t xml:space="preserve">Even though </w:t>
      </w:r>
      <w:r w:rsidR="00B25C6A">
        <w:t>the</w:t>
      </w:r>
      <w:r>
        <w:t xml:space="preserve"> manufacturer based ID </w:t>
      </w:r>
      <w:r w:rsidR="00B25C6A">
        <w:t>is expected to reflect</w:t>
      </w:r>
      <w:r>
        <w:t xml:space="preserve"> the complete UE capabilities</w:t>
      </w:r>
      <w:r w:rsidR="00B25C6A">
        <w:t xml:space="preserve"> without any filtering</w:t>
      </w:r>
      <w:r>
        <w:t xml:space="preserve">, </w:t>
      </w:r>
      <w:r w:rsidR="00B25C6A">
        <w:t xml:space="preserve">the UE can have more than one set of complete capability based on the internal configuration controlled by the upper layers. </w:t>
      </w:r>
    </w:p>
    <w:p w14:paraId="62E3B38A" w14:textId="515394AA" w:rsidR="00AA4739" w:rsidRDefault="00B25C6A" w:rsidP="00AA4739">
      <w:r>
        <w:t xml:space="preserve">The </w:t>
      </w:r>
      <w:r w:rsidR="00AA4739">
        <w:t xml:space="preserve">UE can </w:t>
      </w:r>
      <w:r>
        <w:t xml:space="preserve">be triggered to </w:t>
      </w:r>
      <w:r w:rsidR="00AA4739">
        <w:t xml:space="preserve">disable certain capabilities: for example, the user can turn OFF a particular RAT, and this can result in the UE capability getting changed. In such cases if the UE wants to use the manufacturer based ID, then this ID should reflect the capabilities that result from disabling of such RAT. </w:t>
      </w:r>
    </w:p>
    <w:p w14:paraId="1D1B05D0" w14:textId="0560DC2A" w:rsidR="00B25C6A" w:rsidRPr="00927C34" w:rsidRDefault="00B25C6A" w:rsidP="00B25C6A">
      <w:pPr>
        <w:rPr>
          <w:b/>
        </w:rPr>
      </w:pPr>
      <w:r w:rsidRPr="00927C34">
        <w:rPr>
          <w:b/>
        </w:rPr>
        <w:t xml:space="preserve">Observation </w:t>
      </w:r>
      <w:r>
        <w:rPr>
          <w:b/>
        </w:rPr>
        <w:t>1</w:t>
      </w:r>
      <w:r w:rsidRPr="00927C34">
        <w:rPr>
          <w:b/>
        </w:rPr>
        <w:t>: The UE capabilities can change based on inputs from above layers.</w:t>
      </w:r>
      <w:r>
        <w:rPr>
          <w:b/>
        </w:rPr>
        <w:t xml:space="preserve"> This internal configuration is known at the UE and it is not relevant to the network.</w:t>
      </w:r>
      <w:r w:rsidR="00EF0F6D">
        <w:rPr>
          <w:b/>
        </w:rPr>
        <w:t xml:space="preserve"> The network only needs to know the transferred UE capabilities that result from the Internal UE capability configuration.</w:t>
      </w:r>
    </w:p>
    <w:p w14:paraId="4FDAEF4C" w14:textId="41411337" w:rsidR="00B25C6A" w:rsidRDefault="00B25C6A" w:rsidP="00AA4739">
      <w:r>
        <w:t>Nonetheless, each of the capability variants are still reflected by a different manufacturer ID, and at registration, one manufacturer based ID is selected by the UE without any input from the network.</w:t>
      </w:r>
    </w:p>
    <w:p w14:paraId="1222BB19" w14:textId="187C8DCD" w:rsidR="00AA4739" w:rsidRDefault="00AA4739" w:rsidP="00AA4739">
      <w:pPr>
        <w:rPr>
          <w:b/>
        </w:rPr>
      </w:pPr>
      <w:r w:rsidRPr="007C05A7">
        <w:rPr>
          <w:b/>
        </w:rPr>
        <w:t>Proposal</w:t>
      </w:r>
      <w:r w:rsidR="00EB4DAF">
        <w:rPr>
          <w:b/>
        </w:rPr>
        <w:t xml:space="preserve"> 1</w:t>
      </w:r>
      <w:r w:rsidRPr="007C05A7">
        <w:rPr>
          <w:b/>
        </w:rPr>
        <w:t xml:space="preserve">: </w:t>
      </w:r>
      <w:r w:rsidR="004F04C8">
        <w:rPr>
          <w:b/>
        </w:rPr>
        <w:t>The</w:t>
      </w:r>
      <w:r w:rsidR="007C05A7" w:rsidRPr="007C05A7">
        <w:rPr>
          <w:b/>
        </w:rPr>
        <w:t xml:space="preserve"> </w:t>
      </w:r>
      <w:r w:rsidRPr="007C05A7">
        <w:rPr>
          <w:b/>
        </w:rPr>
        <w:t>UE is allowed to have more than one manufacturer based IDs that reflect</w:t>
      </w:r>
      <w:r w:rsidR="004F04C8">
        <w:rPr>
          <w:b/>
        </w:rPr>
        <w:t>s</w:t>
      </w:r>
      <w:r w:rsidRPr="007C05A7">
        <w:rPr>
          <w:b/>
        </w:rPr>
        <w:t xml:space="preserve"> the complete UE capabilities, based on the </w:t>
      </w:r>
      <w:r w:rsidR="004F04C8">
        <w:rPr>
          <w:b/>
        </w:rPr>
        <w:t>I</w:t>
      </w:r>
      <w:r w:rsidR="007C05A7" w:rsidRPr="007C05A7">
        <w:rPr>
          <w:b/>
        </w:rPr>
        <w:t xml:space="preserve">nternal </w:t>
      </w:r>
      <w:r w:rsidRPr="007C05A7">
        <w:rPr>
          <w:b/>
        </w:rPr>
        <w:t xml:space="preserve">UE </w:t>
      </w:r>
      <w:r w:rsidR="004F04C8">
        <w:rPr>
          <w:b/>
        </w:rPr>
        <w:t xml:space="preserve">capability </w:t>
      </w:r>
      <w:r w:rsidRPr="007C05A7">
        <w:rPr>
          <w:b/>
        </w:rPr>
        <w:t>configuration.</w:t>
      </w:r>
    </w:p>
    <w:p w14:paraId="30DB7953" w14:textId="36D90A65" w:rsidR="00EB4DAF" w:rsidRPr="007C05A7" w:rsidRDefault="00EB4DAF" w:rsidP="00AA4739">
      <w:pPr>
        <w:rPr>
          <w:b/>
        </w:rPr>
      </w:pPr>
      <w:r>
        <w:rPr>
          <w:b/>
        </w:rPr>
        <w:t>Proposal 2: Send an LS to SA2 on the fact that UE is allowed to have more than one manufacturer based IDs, so that this can be taken into account when deciding the manufacturer ID size.</w:t>
      </w:r>
    </w:p>
    <w:p w14:paraId="2AE6D99F" w14:textId="77777777" w:rsidR="00FB082B" w:rsidRPr="00B22DE0" w:rsidRDefault="00FB082B" w:rsidP="006D66EA">
      <w:pPr>
        <w:pStyle w:val="Heading1"/>
      </w:pPr>
      <w:r w:rsidRPr="00B22DE0">
        <w:lastRenderedPageBreak/>
        <w:t>Conclusion and proposals</w:t>
      </w:r>
    </w:p>
    <w:p w14:paraId="04DC290F" w14:textId="77777777" w:rsidR="00E0407D" w:rsidRPr="00927C34" w:rsidRDefault="00E0407D" w:rsidP="00E0407D">
      <w:pPr>
        <w:rPr>
          <w:b/>
        </w:rPr>
      </w:pPr>
      <w:r w:rsidRPr="00927C34">
        <w:rPr>
          <w:b/>
        </w:rPr>
        <w:t xml:space="preserve">Observation </w:t>
      </w:r>
      <w:r>
        <w:rPr>
          <w:b/>
        </w:rPr>
        <w:t>1</w:t>
      </w:r>
      <w:r w:rsidRPr="00927C34">
        <w:rPr>
          <w:b/>
        </w:rPr>
        <w:t>: The UE capabilities can change based on inputs from above layers.</w:t>
      </w:r>
      <w:r>
        <w:rPr>
          <w:b/>
        </w:rPr>
        <w:t xml:space="preserve"> This internal configuration is known at the UE and it is not relevant to the network. The network only needs to know the transferred UE capabilities that result from the Internal UE capability configuration.</w:t>
      </w:r>
    </w:p>
    <w:p w14:paraId="1C0723FC" w14:textId="4F68F12B" w:rsidR="00E0407D" w:rsidRDefault="00E0407D" w:rsidP="00E0407D">
      <w:pPr>
        <w:rPr>
          <w:b/>
        </w:rPr>
      </w:pPr>
      <w:r w:rsidRPr="007C05A7">
        <w:rPr>
          <w:b/>
        </w:rPr>
        <w:t>Proposal</w:t>
      </w:r>
      <w:r>
        <w:rPr>
          <w:b/>
        </w:rPr>
        <w:t xml:space="preserve"> 1</w:t>
      </w:r>
      <w:r w:rsidRPr="007C05A7">
        <w:rPr>
          <w:b/>
        </w:rPr>
        <w:t xml:space="preserve">: </w:t>
      </w:r>
      <w:r>
        <w:rPr>
          <w:b/>
        </w:rPr>
        <w:t>The</w:t>
      </w:r>
      <w:r w:rsidRPr="007C05A7">
        <w:rPr>
          <w:b/>
        </w:rPr>
        <w:t xml:space="preserve"> UE is allowed to have more than one manufacturer based IDs that reflect</w:t>
      </w:r>
      <w:r>
        <w:rPr>
          <w:b/>
        </w:rPr>
        <w:t>s</w:t>
      </w:r>
      <w:r w:rsidRPr="007C05A7">
        <w:rPr>
          <w:b/>
        </w:rPr>
        <w:t xml:space="preserve"> the complete UE capabilities, based on the </w:t>
      </w:r>
      <w:r>
        <w:rPr>
          <w:b/>
        </w:rPr>
        <w:t>I</w:t>
      </w:r>
      <w:r w:rsidRPr="007C05A7">
        <w:rPr>
          <w:b/>
        </w:rPr>
        <w:t xml:space="preserve">nternal UE </w:t>
      </w:r>
      <w:r>
        <w:rPr>
          <w:b/>
        </w:rPr>
        <w:t xml:space="preserve">capability </w:t>
      </w:r>
      <w:r w:rsidRPr="007C05A7">
        <w:rPr>
          <w:b/>
        </w:rPr>
        <w:t>configuration.</w:t>
      </w:r>
    </w:p>
    <w:p w14:paraId="58FC492F" w14:textId="77777777" w:rsidR="00E0407D" w:rsidRPr="007C05A7" w:rsidRDefault="00E0407D" w:rsidP="00E0407D">
      <w:pPr>
        <w:rPr>
          <w:b/>
        </w:rPr>
      </w:pPr>
      <w:r>
        <w:rPr>
          <w:b/>
        </w:rPr>
        <w:t>Proposal 2: Send an LS to SA2 on the fact that UE is allowed to have more than one manufacturer based IDs, so that this can be taken into account when deciding the manufacturer ID size.</w:t>
      </w:r>
    </w:p>
    <w:p w14:paraId="2799D7E3" w14:textId="37C0AD82" w:rsidR="00EF648F" w:rsidRDefault="00EF648F" w:rsidP="00DE50F1"/>
    <w:p w14:paraId="797F454E" w14:textId="77777777" w:rsidR="005F4B21" w:rsidRDefault="005F4B21" w:rsidP="00DE50F1"/>
    <w:p w14:paraId="254225E0" w14:textId="77777777" w:rsidR="005F4B21" w:rsidRPr="001C38EC" w:rsidRDefault="005F4B21" w:rsidP="00DE50F1"/>
    <w:sectPr w:rsidR="005F4B21"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54561" w14:textId="77777777" w:rsidR="000C1875" w:rsidRDefault="000C1875" w:rsidP="00DF7110">
      <w:pPr>
        <w:spacing w:after="0" w:line="240" w:lineRule="auto"/>
      </w:pPr>
      <w:r>
        <w:separator/>
      </w:r>
    </w:p>
  </w:endnote>
  <w:endnote w:type="continuationSeparator" w:id="0">
    <w:p w14:paraId="4D67B176" w14:textId="77777777" w:rsidR="000C1875" w:rsidRDefault="000C1875"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C7D55" w14:textId="77777777" w:rsidR="000C1875" w:rsidRDefault="000C1875" w:rsidP="00DF7110">
      <w:pPr>
        <w:spacing w:after="0" w:line="240" w:lineRule="auto"/>
      </w:pPr>
      <w:r>
        <w:separator/>
      </w:r>
    </w:p>
  </w:footnote>
  <w:footnote w:type="continuationSeparator" w:id="0">
    <w:p w14:paraId="49FC9DF3" w14:textId="77777777" w:rsidR="000C1875" w:rsidRDefault="000C1875"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6F197F"/>
    <w:multiLevelType w:val="hybridMultilevel"/>
    <w:tmpl w:val="C9BEF47C"/>
    <w:lvl w:ilvl="0" w:tplc="C5CCD8E0">
      <w:start w:val="1"/>
      <w:numFmt w:val="bullet"/>
      <w:lvlText w:val="–"/>
      <w:lvlJc w:val="left"/>
      <w:pPr>
        <w:tabs>
          <w:tab w:val="num" w:pos="720"/>
        </w:tabs>
        <w:ind w:left="720" w:hanging="360"/>
      </w:pPr>
      <w:rPr>
        <w:rFonts w:ascii="Intel Clear" w:hAnsi="Intel Clear" w:hint="default"/>
      </w:rPr>
    </w:lvl>
    <w:lvl w:ilvl="1" w:tplc="94027E32">
      <w:start w:val="1"/>
      <w:numFmt w:val="bullet"/>
      <w:lvlText w:val="–"/>
      <w:lvlJc w:val="left"/>
      <w:pPr>
        <w:tabs>
          <w:tab w:val="num" w:pos="1440"/>
        </w:tabs>
        <w:ind w:left="1440" w:hanging="360"/>
      </w:pPr>
      <w:rPr>
        <w:rFonts w:ascii="Intel Clear" w:hAnsi="Intel Clear" w:hint="default"/>
      </w:rPr>
    </w:lvl>
    <w:lvl w:ilvl="2" w:tplc="D820E304">
      <w:start w:val="1"/>
      <w:numFmt w:val="bullet"/>
      <w:lvlText w:val="–"/>
      <w:lvlJc w:val="left"/>
      <w:pPr>
        <w:tabs>
          <w:tab w:val="num" w:pos="2160"/>
        </w:tabs>
        <w:ind w:left="2160" w:hanging="360"/>
      </w:pPr>
      <w:rPr>
        <w:rFonts w:ascii="Intel Clear" w:hAnsi="Intel Clear" w:hint="default"/>
      </w:rPr>
    </w:lvl>
    <w:lvl w:ilvl="3" w:tplc="CDB0623A">
      <w:start w:val="142"/>
      <w:numFmt w:val="bullet"/>
      <w:lvlText w:val="–"/>
      <w:lvlJc w:val="left"/>
      <w:pPr>
        <w:tabs>
          <w:tab w:val="num" w:pos="2880"/>
        </w:tabs>
        <w:ind w:left="2880" w:hanging="360"/>
      </w:pPr>
      <w:rPr>
        <w:rFonts w:ascii="Arial" w:hAnsi="Arial" w:hint="default"/>
      </w:rPr>
    </w:lvl>
    <w:lvl w:ilvl="4" w:tplc="A3C08DE6" w:tentative="1">
      <w:start w:val="1"/>
      <w:numFmt w:val="bullet"/>
      <w:lvlText w:val="–"/>
      <w:lvlJc w:val="left"/>
      <w:pPr>
        <w:tabs>
          <w:tab w:val="num" w:pos="3600"/>
        </w:tabs>
        <w:ind w:left="3600" w:hanging="360"/>
      </w:pPr>
      <w:rPr>
        <w:rFonts w:ascii="Intel Clear" w:hAnsi="Intel Clear" w:hint="default"/>
      </w:rPr>
    </w:lvl>
    <w:lvl w:ilvl="5" w:tplc="1B2A5E56" w:tentative="1">
      <w:start w:val="1"/>
      <w:numFmt w:val="bullet"/>
      <w:lvlText w:val="–"/>
      <w:lvlJc w:val="left"/>
      <w:pPr>
        <w:tabs>
          <w:tab w:val="num" w:pos="4320"/>
        </w:tabs>
        <w:ind w:left="4320" w:hanging="360"/>
      </w:pPr>
      <w:rPr>
        <w:rFonts w:ascii="Intel Clear" w:hAnsi="Intel Clear" w:hint="default"/>
      </w:rPr>
    </w:lvl>
    <w:lvl w:ilvl="6" w:tplc="8CBCA35E" w:tentative="1">
      <w:start w:val="1"/>
      <w:numFmt w:val="bullet"/>
      <w:lvlText w:val="–"/>
      <w:lvlJc w:val="left"/>
      <w:pPr>
        <w:tabs>
          <w:tab w:val="num" w:pos="5040"/>
        </w:tabs>
        <w:ind w:left="5040" w:hanging="360"/>
      </w:pPr>
      <w:rPr>
        <w:rFonts w:ascii="Intel Clear" w:hAnsi="Intel Clear" w:hint="default"/>
      </w:rPr>
    </w:lvl>
    <w:lvl w:ilvl="7" w:tplc="F6D85262" w:tentative="1">
      <w:start w:val="1"/>
      <w:numFmt w:val="bullet"/>
      <w:lvlText w:val="–"/>
      <w:lvlJc w:val="left"/>
      <w:pPr>
        <w:tabs>
          <w:tab w:val="num" w:pos="5760"/>
        </w:tabs>
        <w:ind w:left="5760" w:hanging="360"/>
      </w:pPr>
      <w:rPr>
        <w:rFonts w:ascii="Intel Clear" w:hAnsi="Intel Clear" w:hint="default"/>
      </w:rPr>
    </w:lvl>
    <w:lvl w:ilvl="8" w:tplc="100AB2F2" w:tentative="1">
      <w:start w:val="1"/>
      <w:numFmt w:val="bullet"/>
      <w:lvlText w:val="–"/>
      <w:lvlJc w:val="left"/>
      <w:pPr>
        <w:tabs>
          <w:tab w:val="num" w:pos="6480"/>
        </w:tabs>
        <w:ind w:left="6480" w:hanging="360"/>
      </w:pPr>
      <w:rPr>
        <w:rFonts w:ascii="Intel Clear" w:hAnsi="Intel Clear" w:hint="default"/>
      </w:rPr>
    </w:lvl>
  </w:abstractNum>
  <w:abstractNum w:abstractNumId="4" w15:restartNumberingAfterBreak="0">
    <w:nsid w:val="16E751EA"/>
    <w:multiLevelType w:val="hybridMultilevel"/>
    <w:tmpl w:val="65DC37DE"/>
    <w:lvl w:ilvl="0" w:tplc="C9ECEB58">
      <w:start w:val="1"/>
      <w:numFmt w:val="bullet"/>
      <w:lvlText w:val="–"/>
      <w:lvlJc w:val="left"/>
      <w:pPr>
        <w:tabs>
          <w:tab w:val="num" w:pos="720"/>
        </w:tabs>
        <w:ind w:left="720" w:hanging="360"/>
      </w:pPr>
      <w:rPr>
        <w:rFonts w:ascii="Arial" w:hAnsi="Arial" w:hint="default"/>
      </w:rPr>
    </w:lvl>
    <w:lvl w:ilvl="1" w:tplc="2F2E834A">
      <w:start w:val="1"/>
      <w:numFmt w:val="bullet"/>
      <w:lvlText w:val="–"/>
      <w:lvlJc w:val="left"/>
      <w:pPr>
        <w:tabs>
          <w:tab w:val="num" w:pos="1440"/>
        </w:tabs>
        <w:ind w:left="1440" w:hanging="360"/>
      </w:pPr>
      <w:rPr>
        <w:rFonts w:ascii="Arial" w:hAnsi="Arial" w:hint="default"/>
      </w:rPr>
    </w:lvl>
    <w:lvl w:ilvl="2" w:tplc="54E667F8">
      <w:start w:val="1"/>
      <w:numFmt w:val="bullet"/>
      <w:lvlText w:val="–"/>
      <w:lvlJc w:val="left"/>
      <w:pPr>
        <w:tabs>
          <w:tab w:val="num" w:pos="2160"/>
        </w:tabs>
        <w:ind w:left="2160" w:hanging="360"/>
      </w:pPr>
      <w:rPr>
        <w:rFonts w:ascii="Arial" w:hAnsi="Arial" w:hint="default"/>
      </w:rPr>
    </w:lvl>
    <w:lvl w:ilvl="3" w:tplc="14845C72">
      <w:start w:val="1"/>
      <w:numFmt w:val="bullet"/>
      <w:lvlText w:val="–"/>
      <w:lvlJc w:val="left"/>
      <w:pPr>
        <w:tabs>
          <w:tab w:val="num" w:pos="2880"/>
        </w:tabs>
        <w:ind w:left="2880" w:hanging="360"/>
      </w:pPr>
      <w:rPr>
        <w:rFonts w:ascii="Arial" w:hAnsi="Arial" w:hint="default"/>
      </w:rPr>
    </w:lvl>
    <w:lvl w:ilvl="4" w:tplc="EB8858BE" w:tentative="1">
      <w:start w:val="1"/>
      <w:numFmt w:val="bullet"/>
      <w:lvlText w:val="–"/>
      <w:lvlJc w:val="left"/>
      <w:pPr>
        <w:tabs>
          <w:tab w:val="num" w:pos="3600"/>
        </w:tabs>
        <w:ind w:left="3600" w:hanging="360"/>
      </w:pPr>
      <w:rPr>
        <w:rFonts w:ascii="Arial" w:hAnsi="Arial" w:hint="default"/>
      </w:rPr>
    </w:lvl>
    <w:lvl w:ilvl="5" w:tplc="D53E277A" w:tentative="1">
      <w:start w:val="1"/>
      <w:numFmt w:val="bullet"/>
      <w:lvlText w:val="–"/>
      <w:lvlJc w:val="left"/>
      <w:pPr>
        <w:tabs>
          <w:tab w:val="num" w:pos="4320"/>
        </w:tabs>
        <w:ind w:left="4320" w:hanging="360"/>
      </w:pPr>
      <w:rPr>
        <w:rFonts w:ascii="Arial" w:hAnsi="Arial" w:hint="default"/>
      </w:rPr>
    </w:lvl>
    <w:lvl w:ilvl="6" w:tplc="F572DE8A" w:tentative="1">
      <w:start w:val="1"/>
      <w:numFmt w:val="bullet"/>
      <w:lvlText w:val="–"/>
      <w:lvlJc w:val="left"/>
      <w:pPr>
        <w:tabs>
          <w:tab w:val="num" w:pos="5040"/>
        </w:tabs>
        <w:ind w:left="5040" w:hanging="360"/>
      </w:pPr>
      <w:rPr>
        <w:rFonts w:ascii="Arial" w:hAnsi="Arial" w:hint="default"/>
      </w:rPr>
    </w:lvl>
    <w:lvl w:ilvl="7" w:tplc="D09ED938" w:tentative="1">
      <w:start w:val="1"/>
      <w:numFmt w:val="bullet"/>
      <w:lvlText w:val="–"/>
      <w:lvlJc w:val="left"/>
      <w:pPr>
        <w:tabs>
          <w:tab w:val="num" w:pos="5760"/>
        </w:tabs>
        <w:ind w:left="5760" w:hanging="360"/>
      </w:pPr>
      <w:rPr>
        <w:rFonts w:ascii="Arial" w:hAnsi="Arial" w:hint="default"/>
      </w:rPr>
    </w:lvl>
    <w:lvl w:ilvl="8" w:tplc="FC109A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F0396A"/>
    <w:multiLevelType w:val="hybridMultilevel"/>
    <w:tmpl w:val="DDCC75E0"/>
    <w:lvl w:ilvl="0" w:tplc="222C7E9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641A83"/>
    <w:multiLevelType w:val="hybridMultilevel"/>
    <w:tmpl w:val="B8B68C14"/>
    <w:lvl w:ilvl="0" w:tplc="6A34CF8A">
      <w:start w:val="1"/>
      <w:numFmt w:val="bullet"/>
      <w:lvlText w:val=""/>
      <w:lvlJc w:val="left"/>
      <w:pPr>
        <w:tabs>
          <w:tab w:val="num" w:pos="720"/>
        </w:tabs>
        <w:ind w:left="720" w:hanging="360"/>
      </w:pPr>
      <w:rPr>
        <w:rFonts w:ascii="Wingdings" w:hAnsi="Wingdings" w:hint="default"/>
      </w:rPr>
    </w:lvl>
    <w:lvl w:ilvl="1" w:tplc="883E2396">
      <w:start w:val="1"/>
      <w:numFmt w:val="bullet"/>
      <w:lvlText w:val=""/>
      <w:lvlJc w:val="left"/>
      <w:pPr>
        <w:tabs>
          <w:tab w:val="num" w:pos="1440"/>
        </w:tabs>
        <w:ind w:left="1440" w:hanging="360"/>
      </w:pPr>
      <w:rPr>
        <w:rFonts w:ascii="Wingdings" w:hAnsi="Wingdings" w:hint="default"/>
      </w:rPr>
    </w:lvl>
    <w:lvl w:ilvl="2" w:tplc="8574179E" w:tentative="1">
      <w:start w:val="1"/>
      <w:numFmt w:val="bullet"/>
      <w:lvlText w:val=""/>
      <w:lvlJc w:val="left"/>
      <w:pPr>
        <w:tabs>
          <w:tab w:val="num" w:pos="2160"/>
        </w:tabs>
        <w:ind w:left="2160" w:hanging="360"/>
      </w:pPr>
      <w:rPr>
        <w:rFonts w:ascii="Wingdings" w:hAnsi="Wingdings" w:hint="default"/>
      </w:rPr>
    </w:lvl>
    <w:lvl w:ilvl="3" w:tplc="4D1CC328" w:tentative="1">
      <w:start w:val="1"/>
      <w:numFmt w:val="bullet"/>
      <w:lvlText w:val=""/>
      <w:lvlJc w:val="left"/>
      <w:pPr>
        <w:tabs>
          <w:tab w:val="num" w:pos="2880"/>
        </w:tabs>
        <w:ind w:left="2880" w:hanging="360"/>
      </w:pPr>
      <w:rPr>
        <w:rFonts w:ascii="Wingdings" w:hAnsi="Wingdings" w:hint="default"/>
      </w:rPr>
    </w:lvl>
    <w:lvl w:ilvl="4" w:tplc="5290F5FC" w:tentative="1">
      <w:start w:val="1"/>
      <w:numFmt w:val="bullet"/>
      <w:lvlText w:val=""/>
      <w:lvlJc w:val="left"/>
      <w:pPr>
        <w:tabs>
          <w:tab w:val="num" w:pos="3600"/>
        </w:tabs>
        <w:ind w:left="3600" w:hanging="360"/>
      </w:pPr>
      <w:rPr>
        <w:rFonts w:ascii="Wingdings" w:hAnsi="Wingdings" w:hint="default"/>
      </w:rPr>
    </w:lvl>
    <w:lvl w:ilvl="5" w:tplc="45F08836" w:tentative="1">
      <w:start w:val="1"/>
      <w:numFmt w:val="bullet"/>
      <w:lvlText w:val=""/>
      <w:lvlJc w:val="left"/>
      <w:pPr>
        <w:tabs>
          <w:tab w:val="num" w:pos="4320"/>
        </w:tabs>
        <w:ind w:left="4320" w:hanging="360"/>
      </w:pPr>
      <w:rPr>
        <w:rFonts w:ascii="Wingdings" w:hAnsi="Wingdings" w:hint="default"/>
      </w:rPr>
    </w:lvl>
    <w:lvl w:ilvl="6" w:tplc="0E9A9940" w:tentative="1">
      <w:start w:val="1"/>
      <w:numFmt w:val="bullet"/>
      <w:lvlText w:val=""/>
      <w:lvlJc w:val="left"/>
      <w:pPr>
        <w:tabs>
          <w:tab w:val="num" w:pos="5040"/>
        </w:tabs>
        <w:ind w:left="5040" w:hanging="360"/>
      </w:pPr>
      <w:rPr>
        <w:rFonts w:ascii="Wingdings" w:hAnsi="Wingdings" w:hint="default"/>
      </w:rPr>
    </w:lvl>
    <w:lvl w:ilvl="7" w:tplc="9FE6A978" w:tentative="1">
      <w:start w:val="1"/>
      <w:numFmt w:val="bullet"/>
      <w:lvlText w:val=""/>
      <w:lvlJc w:val="left"/>
      <w:pPr>
        <w:tabs>
          <w:tab w:val="num" w:pos="5760"/>
        </w:tabs>
        <w:ind w:left="5760" w:hanging="360"/>
      </w:pPr>
      <w:rPr>
        <w:rFonts w:ascii="Wingdings" w:hAnsi="Wingdings" w:hint="default"/>
      </w:rPr>
    </w:lvl>
    <w:lvl w:ilvl="8" w:tplc="D57E00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E30BAF"/>
    <w:multiLevelType w:val="hybridMultilevel"/>
    <w:tmpl w:val="E3E8CB16"/>
    <w:lvl w:ilvl="0" w:tplc="A32C3F9E">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8"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0"/>
  </w:num>
  <w:num w:numId="3">
    <w:abstractNumId w:val="10"/>
  </w:num>
  <w:num w:numId="4">
    <w:abstractNumId w:val="14"/>
  </w:num>
  <w:num w:numId="5">
    <w:abstractNumId w:val="2"/>
  </w:num>
  <w:num w:numId="6">
    <w:abstractNumId w:val="13"/>
  </w:num>
  <w:num w:numId="7">
    <w:abstractNumId w:val="17"/>
  </w:num>
  <w:num w:numId="8">
    <w:abstractNumId w:val="16"/>
  </w:num>
  <w:num w:numId="9">
    <w:abstractNumId w:val="11"/>
  </w:num>
  <w:num w:numId="10">
    <w:abstractNumId w:val="6"/>
  </w:num>
  <w:num w:numId="11">
    <w:abstractNumId w:val="1"/>
  </w:num>
  <w:num w:numId="12">
    <w:abstractNumId w:val="8"/>
  </w:num>
  <w:num w:numId="13">
    <w:abstractNumId w:val="18"/>
  </w:num>
  <w:num w:numId="14">
    <w:abstractNumId w:val="4"/>
  </w:num>
  <w:num w:numId="15">
    <w:abstractNumId w:val="9"/>
  </w:num>
  <w:num w:numId="16">
    <w:abstractNumId w:val="15"/>
  </w:num>
  <w:num w:numId="17">
    <w:abstractNumId w:val="3"/>
  </w:num>
  <w:num w:numId="18">
    <w:abstractNumId w:val="12"/>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425A"/>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7D6"/>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2BC7"/>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6C6"/>
    <w:rsid w:val="000A0D11"/>
    <w:rsid w:val="000A0E9B"/>
    <w:rsid w:val="000A0EB7"/>
    <w:rsid w:val="000A29F9"/>
    <w:rsid w:val="000A31A1"/>
    <w:rsid w:val="000A3EEA"/>
    <w:rsid w:val="000A5529"/>
    <w:rsid w:val="000A647B"/>
    <w:rsid w:val="000A6AC1"/>
    <w:rsid w:val="000A6C96"/>
    <w:rsid w:val="000A6F4D"/>
    <w:rsid w:val="000A75B0"/>
    <w:rsid w:val="000A7642"/>
    <w:rsid w:val="000B6F71"/>
    <w:rsid w:val="000B7A4F"/>
    <w:rsid w:val="000C0749"/>
    <w:rsid w:val="000C088C"/>
    <w:rsid w:val="000C1817"/>
    <w:rsid w:val="000C1875"/>
    <w:rsid w:val="000C1899"/>
    <w:rsid w:val="000C1CC4"/>
    <w:rsid w:val="000C1FE2"/>
    <w:rsid w:val="000C2537"/>
    <w:rsid w:val="000C4BD4"/>
    <w:rsid w:val="000C523A"/>
    <w:rsid w:val="000C66C7"/>
    <w:rsid w:val="000C7A7E"/>
    <w:rsid w:val="000D031F"/>
    <w:rsid w:val="000D0609"/>
    <w:rsid w:val="000D12BA"/>
    <w:rsid w:val="000D2585"/>
    <w:rsid w:val="000D2953"/>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66F9D"/>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428"/>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5320"/>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557E"/>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139"/>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704"/>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58AF"/>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2F1"/>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71E8"/>
    <w:rsid w:val="004B7B32"/>
    <w:rsid w:val="004B7F3C"/>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04C8"/>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2D6B"/>
    <w:rsid w:val="0057430A"/>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0F36"/>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B21"/>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0F5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22D"/>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31"/>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06030"/>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024"/>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0C20"/>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6FF3"/>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DEF"/>
    <w:rsid w:val="007B6EC0"/>
    <w:rsid w:val="007B6EEC"/>
    <w:rsid w:val="007C05A7"/>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0FA"/>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58BF"/>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010"/>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2DF3"/>
    <w:rsid w:val="008C38C0"/>
    <w:rsid w:val="008C3F13"/>
    <w:rsid w:val="008C42EE"/>
    <w:rsid w:val="008C5E57"/>
    <w:rsid w:val="008C705B"/>
    <w:rsid w:val="008D0D91"/>
    <w:rsid w:val="008D0E41"/>
    <w:rsid w:val="008D16D8"/>
    <w:rsid w:val="008D238E"/>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5FDE"/>
    <w:rsid w:val="008E6B91"/>
    <w:rsid w:val="008F0FD3"/>
    <w:rsid w:val="008F1923"/>
    <w:rsid w:val="008F1BF2"/>
    <w:rsid w:val="008F235D"/>
    <w:rsid w:val="008F2B4B"/>
    <w:rsid w:val="008F3876"/>
    <w:rsid w:val="008F3B2E"/>
    <w:rsid w:val="008F4925"/>
    <w:rsid w:val="008F4A29"/>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7D3"/>
    <w:rsid w:val="009C09E7"/>
    <w:rsid w:val="009C309F"/>
    <w:rsid w:val="009C30C1"/>
    <w:rsid w:val="009C376B"/>
    <w:rsid w:val="009C418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FF3"/>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2FD8"/>
    <w:rsid w:val="00A63002"/>
    <w:rsid w:val="00A63092"/>
    <w:rsid w:val="00A63691"/>
    <w:rsid w:val="00A64565"/>
    <w:rsid w:val="00A65490"/>
    <w:rsid w:val="00A6552F"/>
    <w:rsid w:val="00A65D63"/>
    <w:rsid w:val="00A66699"/>
    <w:rsid w:val="00A67E09"/>
    <w:rsid w:val="00A70DF9"/>
    <w:rsid w:val="00A7216C"/>
    <w:rsid w:val="00A7272D"/>
    <w:rsid w:val="00A72998"/>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0966"/>
    <w:rsid w:val="00A93BEB"/>
    <w:rsid w:val="00A93EA2"/>
    <w:rsid w:val="00A952F4"/>
    <w:rsid w:val="00A95A3C"/>
    <w:rsid w:val="00A96EEE"/>
    <w:rsid w:val="00A96F09"/>
    <w:rsid w:val="00AA08DC"/>
    <w:rsid w:val="00AA0C7A"/>
    <w:rsid w:val="00AA136A"/>
    <w:rsid w:val="00AA2FBF"/>
    <w:rsid w:val="00AA3643"/>
    <w:rsid w:val="00AA3D38"/>
    <w:rsid w:val="00AA432E"/>
    <w:rsid w:val="00AA4739"/>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177B2"/>
    <w:rsid w:val="00B205B6"/>
    <w:rsid w:val="00B20D44"/>
    <w:rsid w:val="00B2173C"/>
    <w:rsid w:val="00B21752"/>
    <w:rsid w:val="00B22DE0"/>
    <w:rsid w:val="00B230BF"/>
    <w:rsid w:val="00B230E8"/>
    <w:rsid w:val="00B23259"/>
    <w:rsid w:val="00B237AA"/>
    <w:rsid w:val="00B237B1"/>
    <w:rsid w:val="00B25497"/>
    <w:rsid w:val="00B254B8"/>
    <w:rsid w:val="00B25C6A"/>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36D"/>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53D"/>
    <w:rsid w:val="00BB59B9"/>
    <w:rsid w:val="00BB5C22"/>
    <w:rsid w:val="00BB5FB6"/>
    <w:rsid w:val="00BB6EF7"/>
    <w:rsid w:val="00BB72D7"/>
    <w:rsid w:val="00BC0CD2"/>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064"/>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451"/>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5D1C"/>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33B0"/>
    <w:rsid w:val="00D440C8"/>
    <w:rsid w:val="00D44441"/>
    <w:rsid w:val="00D44C7A"/>
    <w:rsid w:val="00D469A0"/>
    <w:rsid w:val="00D46AB8"/>
    <w:rsid w:val="00D46B2D"/>
    <w:rsid w:val="00D5367F"/>
    <w:rsid w:val="00D53800"/>
    <w:rsid w:val="00D540C3"/>
    <w:rsid w:val="00D54746"/>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39F"/>
    <w:rsid w:val="00D76C12"/>
    <w:rsid w:val="00D76D8E"/>
    <w:rsid w:val="00D772F1"/>
    <w:rsid w:val="00D80D4C"/>
    <w:rsid w:val="00D814ED"/>
    <w:rsid w:val="00D81A6A"/>
    <w:rsid w:val="00D82F31"/>
    <w:rsid w:val="00D84180"/>
    <w:rsid w:val="00D84715"/>
    <w:rsid w:val="00D853D1"/>
    <w:rsid w:val="00D85D73"/>
    <w:rsid w:val="00D860D0"/>
    <w:rsid w:val="00D86B01"/>
    <w:rsid w:val="00D901B3"/>
    <w:rsid w:val="00D90A13"/>
    <w:rsid w:val="00D90A1F"/>
    <w:rsid w:val="00D90E2C"/>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0F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7D"/>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0C5A"/>
    <w:rsid w:val="00E5122C"/>
    <w:rsid w:val="00E518BC"/>
    <w:rsid w:val="00E5284F"/>
    <w:rsid w:val="00E52E40"/>
    <w:rsid w:val="00E530D0"/>
    <w:rsid w:val="00E5408F"/>
    <w:rsid w:val="00E54627"/>
    <w:rsid w:val="00E54D20"/>
    <w:rsid w:val="00E56A48"/>
    <w:rsid w:val="00E600AE"/>
    <w:rsid w:val="00E6026E"/>
    <w:rsid w:val="00E60387"/>
    <w:rsid w:val="00E605DF"/>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26C"/>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4DAF"/>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0F6D"/>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53C"/>
    <w:rsid w:val="00FB33DA"/>
    <w:rsid w:val="00FB449A"/>
    <w:rsid w:val="00FB472E"/>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080"/>
    <w:rsid w:val="00FD318A"/>
    <w:rsid w:val="00FD3CA6"/>
    <w:rsid w:val="00FD42C0"/>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paragraph" w:customStyle="1" w:styleId="EQ">
    <w:name w:val="EQ"/>
    <w:basedOn w:val="Normal"/>
    <w:next w:val="Normal"/>
    <w:rsid w:val="00E7526C"/>
    <w:pPr>
      <w:keepLines/>
      <w:tabs>
        <w:tab w:val="center" w:pos="4536"/>
        <w:tab w:val="right" w:pos="9072"/>
      </w:tabs>
      <w:spacing w:after="180" w:line="240" w:lineRule="auto"/>
    </w:pPr>
    <w:rPr>
      <w:rFonts w:ascii="Times New Roman" w:eastAsia="Malgun Gothic" w:hAnsi="Times New Roman" w:cs="Times New Roman"/>
      <w:noProof/>
      <w:sz w:val="20"/>
      <w:szCs w:val="20"/>
    </w:rPr>
  </w:style>
  <w:style w:type="paragraph" w:customStyle="1" w:styleId="Observation">
    <w:name w:val="Observation"/>
    <w:basedOn w:val="Normal"/>
    <w:qFormat/>
    <w:rsid w:val="005F4B21"/>
    <w:pPr>
      <w:numPr>
        <w:numId w:val="18"/>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11305518">
      <w:bodyDiv w:val="1"/>
      <w:marLeft w:val="0"/>
      <w:marRight w:val="0"/>
      <w:marTop w:val="0"/>
      <w:marBottom w:val="0"/>
      <w:divBdr>
        <w:top w:val="none" w:sz="0" w:space="0" w:color="auto"/>
        <w:left w:val="none" w:sz="0" w:space="0" w:color="auto"/>
        <w:bottom w:val="none" w:sz="0" w:space="0" w:color="auto"/>
        <w:right w:val="none" w:sz="0" w:space="0" w:color="auto"/>
      </w:divBdr>
      <w:divsChild>
        <w:div w:id="1533306266">
          <w:marLeft w:val="907"/>
          <w:marRight w:val="0"/>
          <w:marTop w:val="160"/>
          <w:marBottom w:val="0"/>
          <w:divBdr>
            <w:top w:val="none" w:sz="0" w:space="0" w:color="auto"/>
            <w:left w:val="none" w:sz="0" w:space="0" w:color="auto"/>
            <w:bottom w:val="none" w:sz="0" w:space="0" w:color="auto"/>
            <w:right w:val="none" w:sz="0" w:space="0" w:color="auto"/>
          </w:divBdr>
        </w:div>
        <w:div w:id="1730029318">
          <w:marLeft w:val="1526"/>
          <w:marRight w:val="0"/>
          <w:marTop w:val="43"/>
          <w:marBottom w:val="0"/>
          <w:divBdr>
            <w:top w:val="none" w:sz="0" w:space="0" w:color="auto"/>
            <w:left w:val="none" w:sz="0" w:space="0" w:color="auto"/>
            <w:bottom w:val="none" w:sz="0" w:space="0" w:color="auto"/>
            <w:right w:val="none" w:sz="0" w:space="0" w:color="auto"/>
          </w:divBdr>
        </w:div>
        <w:div w:id="998188708">
          <w:marLeft w:val="907"/>
          <w:marRight w:val="0"/>
          <w:marTop w:val="160"/>
          <w:marBottom w:val="0"/>
          <w:divBdr>
            <w:top w:val="none" w:sz="0" w:space="0" w:color="auto"/>
            <w:left w:val="none" w:sz="0" w:space="0" w:color="auto"/>
            <w:bottom w:val="none" w:sz="0" w:space="0" w:color="auto"/>
            <w:right w:val="none" w:sz="0" w:space="0" w:color="auto"/>
          </w:divBdr>
        </w:div>
        <w:div w:id="579565146">
          <w:marLeft w:val="1526"/>
          <w:marRight w:val="0"/>
          <w:marTop w:val="43"/>
          <w:marBottom w:val="0"/>
          <w:divBdr>
            <w:top w:val="none" w:sz="0" w:space="0" w:color="auto"/>
            <w:left w:val="none" w:sz="0" w:space="0" w:color="auto"/>
            <w:bottom w:val="none" w:sz="0" w:space="0" w:color="auto"/>
            <w:right w:val="none" w:sz="0" w:space="0" w:color="auto"/>
          </w:divBdr>
        </w:div>
        <w:div w:id="1913544380">
          <w:marLeft w:val="907"/>
          <w:marRight w:val="0"/>
          <w:marTop w:val="160"/>
          <w:marBottom w:val="0"/>
          <w:divBdr>
            <w:top w:val="none" w:sz="0" w:space="0" w:color="auto"/>
            <w:left w:val="none" w:sz="0" w:space="0" w:color="auto"/>
            <w:bottom w:val="none" w:sz="0" w:space="0" w:color="auto"/>
            <w:right w:val="none" w:sz="0" w:space="0" w:color="auto"/>
          </w:divBdr>
        </w:div>
        <w:div w:id="522934861">
          <w:marLeft w:val="1526"/>
          <w:marRight w:val="0"/>
          <w:marTop w:val="43"/>
          <w:marBottom w:val="0"/>
          <w:divBdr>
            <w:top w:val="none" w:sz="0" w:space="0" w:color="auto"/>
            <w:left w:val="none" w:sz="0" w:space="0" w:color="auto"/>
            <w:bottom w:val="none" w:sz="0" w:space="0" w:color="auto"/>
            <w:right w:val="none" w:sz="0" w:space="0" w:color="auto"/>
          </w:divBdr>
        </w:div>
        <w:div w:id="805855347">
          <w:marLeft w:val="1526"/>
          <w:marRight w:val="0"/>
          <w:marTop w:val="43"/>
          <w:marBottom w:val="0"/>
          <w:divBdr>
            <w:top w:val="none" w:sz="0" w:space="0" w:color="auto"/>
            <w:left w:val="none" w:sz="0" w:space="0" w:color="auto"/>
            <w:bottom w:val="none" w:sz="0" w:space="0" w:color="auto"/>
            <w:right w:val="none" w:sz="0" w:space="0" w:color="auto"/>
          </w:divBdr>
        </w:div>
        <w:div w:id="189145901">
          <w:marLeft w:val="1526"/>
          <w:marRight w:val="0"/>
          <w:marTop w:val="43"/>
          <w:marBottom w:val="0"/>
          <w:divBdr>
            <w:top w:val="none" w:sz="0" w:space="0" w:color="auto"/>
            <w:left w:val="none" w:sz="0" w:space="0" w:color="auto"/>
            <w:bottom w:val="none" w:sz="0" w:space="0" w:color="auto"/>
            <w:right w:val="none" w:sz="0" w:space="0" w:color="auto"/>
          </w:divBdr>
        </w:div>
      </w:divsChild>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39485091">
      <w:bodyDiv w:val="1"/>
      <w:marLeft w:val="0"/>
      <w:marRight w:val="0"/>
      <w:marTop w:val="0"/>
      <w:marBottom w:val="0"/>
      <w:divBdr>
        <w:top w:val="none" w:sz="0" w:space="0" w:color="auto"/>
        <w:left w:val="none" w:sz="0" w:space="0" w:color="auto"/>
        <w:bottom w:val="none" w:sz="0" w:space="0" w:color="auto"/>
        <w:right w:val="none" w:sz="0" w:space="0" w:color="auto"/>
      </w:divBdr>
      <w:divsChild>
        <w:div w:id="1397631885">
          <w:marLeft w:val="1526"/>
          <w:marRight w:val="0"/>
          <w:marTop w:val="53"/>
          <w:marBottom w:val="0"/>
          <w:divBdr>
            <w:top w:val="none" w:sz="0" w:space="0" w:color="auto"/>
            <w:left w:val="none" w:sz="0" w:space="0" w:color="auto"/>
            <w:bottom w:val="none" w:sz="0" w:space="0" w:color="auto"/>
            <w:right w:val="none" w:sz="0" w:space="0" w:color="auto"/>
          </w:divBdr>
        </w:div>
        <w:div w:id="1822117393">
          <w:marLeft w:val="1526"/>
          <w:marRight w:val="0"/>
          <w:marTop w:val="53"/>
          <w:marBottom w:val="0"/>
          <w:divBdr>
            <w:top w:val="none" w:sz="0" w:space="0" w:color="auto"/>
            <w:left w:val="none" w:sz="0" w:space="0" w:color="auto"/>
            <w:bottom w:val="none" w:sz="0" w:space="0" w:color="auto"/>
            <w:right w:val="none" w:sz="0" w:space="0" w:color="auto"/>
          </w:divBdr>
        </w:div>
        <w:div w:id="275256190">
          <w:marLeft w:val="1526"/>
          <w:marRight w:val="0"/>
          <w:marTop w:val="53"/>
          <w:marBottom w:val="0"/>
          <w:divBdr>
            <w:top w:val="none" w:sz="0" w:space="0" w:color="auto"/>
            <w:left w:val="none" w:sz="0" w:space="0" w:color="auto"/>
            <w:bottom w:val="none" w:sz="0" w:space="0" w:color="auto"/>
            <w:right w:val="none" w:sz="0" w:space="0" w:color="auto"/>
          </w:divBdr>
        </w:div>
      </w:divsChild>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52360005">
      <w:bodyDiv w:val="1"/>
      <w:marLeft w:val="0"/>
      <w:marRight w:val="0"/>
      <w:marTop w:val="0"/>
      <w:marBottom w:val="0"/>
      <w:divBdr>
        <w:top w:val="none" w:sz="0" w:space="0" w:color="auto"/>
        <w:left w:val="none" w:sz="0" w:space="0" w:color="auto"/>
        <w:bottom w:val="none" w:sz="0" w:space="0" w:color="auto"/>
        <w:right w:val="none" w:sz="0" w:space="0" w:color="auto"/>
      </w:divBdr>
      <w:divsChild>
        <w:div w:id="335155563">
          <w:marLeft w:val="360"/>
          <w:marRight w:val="0"/>
          <w:marTop w:val="240"/>
          <w:marBottom w:val="0"/>
          <w:divBdr>
            <w:top w:val="none" w:sz="0" w:space="0" w:color="auto"/>
            <w:left w:val="none" w:sz="0" w:space="0" w:color="auto"/>
            <w:bottom w:val="none" w:sz="0" w:space="0" w:color="auto"/>
            <w:right w:val="none" w:sz="0" w:space="0" w:color="auto"/>
          </w:divBdr>
        </w:div>
        <w:div w:id="539630354">
          <w:marLeft w:val="360"/>
          <w:marRight w:val="0"/>
          <w:marTop w:val="240"/>
          <w:marBottom w:val="0"/>
          <w:divBdr>
            <w:top w:val="none" w:sz="0" w:space="0" w:color="auto"/>
            <w:left w:val="none" w:sz="0" w:space="0" w:color="auto"/>
            <w:bottom w:val="none" w:sz="0" w:space="0" w:color="auto"/>
            <w:right w:val="none" w:sz="0" w:space="0" w:color="auto"/>
          </w:divBdr>
        </w:div>
        <w:div w:id="727219589">
          <w:marLeft w:val="360"/>
          <w:marRight w:val="0"/>
          <w:marTop w:val="240"/>
          <w:marBottom w:val="0"/>
          <w:divBdr>
            <w:top w:val="none" w:sz="0" w:space="0" w:color="auto"/>
            <w:left w:val="none" w:sz="0" w:space="0" w:color="auto"/>
            <w:bottom w:val="none" w:sz="0" w:space="0" w:color="auto"/>
            <w:right w:val="none" w:sz="0" w:space="0" w:color="auto"/>
          </w:divBdr>
        </w:div>
        <w:div w:id="283192162">
          <w:marLeft w:val="360"/>
          <w:marRight w:val="0"/>
          <w:marTop w:val="240"/>
          <w:marBottom w:val="0"/>
          <w:divBdr>
            <w:top w:val="none" w:sz="0" w:space="0" w:color="auto"/>
            <w:left w:val="none" w:sz="0" w:space="0" w:color="auto"/>
            <w:bottom w:val="none" w:sz="0" w:space="0" w:color="auto"/>
            <w:right w:val="none" w:sz="0" w:space="0" w:color="auto"/>
          </w:divBdr>
        </w:div>
        <w:div w:id="1974672485">
          <w:marLeft w:val="360"/>
          <w:marRight w:val="0"/>
          <w:marTop w:val="240"/>
          <w:marBottom w:val="0"/>
          <w:divBdr>
            <w:top w:val="none" w:sz="0" w:space="0" w:color="auto"/>
            <w:left w:val="none" w:sz="0" w:space="0" w:color="auto"/>
            <w:bottom w:val="none" w:sz="0" w:space="0" w:color="auto"/>
            <w:right w:val="none" w:sz="0" w:space="0" w:color="auto"/>
          </w:divBdr>
        </w:div>
        <w:div w:id="1167985031">
          <w:marLeft w:val="360"/>
          <w:marRight w:val="0"/>
          <w:marTop w:val="240"/>
          <w:marBottom w:val="0"/>
          <w:divBdr>
            <w:top w:val="none" w:sz="0" w:space="0" w:color="auto"/>
            <w:left w:val="none" w:sz="0" w:space="0" w:color="auto"/>
            <w:bottom w:val="none" w:sz="0" w:space="0" w:color="auto"/>
            <w:right w:val="none" w:sz="0" w:space="0" w:color="auto"/>
          </w:divBdr>
        </w:div>
        <w:div w:id="1992057020">
          <w:marLeft w:val="360"/>
          <w:marRight w:val="0"/>
          <w:marTop w:val="240"/>
          <w:marBottom w:val="0"/>
          <w:divBdr>
            <w:top w:val="none" w:sz="0" w:space="0" w:color="auto"/>
            <w:left w:val="none" w:sz="0" w:space="0" w:color="auto"/>
            <w:bottom w:val="none" w:sz="0" w:space="0" w:color="auto"/>
            <w:right w:val="none" w:sz="0" w:space="0" w:color="auto"/>
          </w:divBdr>
        </w:div>
        <w:div w:id="1099761790">
          <w:marLeft w:val="360"/>
          <w:marRight w:val="0"/>
          <w:marTop w:val="240"/>
          <w:marBottom w:val="0"/>
          <w:divBdr>
            <w:top w:val="none" w:sz="0" w:space="0" w:color="auto"/>
            <w:left w:val="none" w:sz="0" w:space="0" w:color="auto"/>
            <w:bottom w:val="none" w:sz="0" w:space="0" w:color="auto"/>
            <w:right w:val="none" w:sz="0" w:space="0" w:color="auto"/>
          </w:divBdr>
        </w:div>
        <w:div w:id="2137260491">
          <w:marLeft w:val="360"/>
          <w:marRight w:val="0"/>
          <w:marTop w:val="240"/>
          <w:marBottom w:val="0"/>
          <w:divBdr>
            <w:top w:val="none" w:sz="0" w:space="0" w:color="auto"/>
            <w:left w:val="none" w:sz="0" w:space="0" w:color="auto"/>
            <w:bottom w:val="none" w:sz="0" w:space="0" w:color="auto"/>
            <w:right w:val="none" w:sz="0" w:space="0" w:color="auto"/>
          </w:divBdr>
        </w:div>
      </w:divsChild>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2439</Characters>
  <Application>Microsoft Office Word</Application>
  <DocSecurity>0</DocSecurity>
  <Lines>47</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2</cp:revision>
  <dcterms:created xsi:type="dcterms:W3CDTF">2019-08-15T21:24:00Z</dcterms:created>
  <dcterms:modified xsi:type="dcterms:W3CDTF">2019-08-15T21:24:00Z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39b81d86-c5ed-4106-a6cc-31439eb04ee6</vt:lpwstr>
  </property>
  <property fmtid="{D5CDD505-2E9C-101B-9397-08002B2CF9AE}" pid="3" name="CTP_BU">
    <vt:lpwstr>NEXT GEN &amp; STANDARDS GROUP</vt:lpwstr>
  </property>
  <property fmtid="{D5CDD505-2E9C-101B-9397-08002B2CF9AE}" pid="4" name="CTP_TimeStamp">
    <vt:lpwstr>2019-08-15 19:01:29Z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