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AE6D982" w14:textId="398656A9"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1888454"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2DE0">
        <w:rPr>
          <w:color w:val="auto"/>
          <w:sz w:val="24"/>
          <w:lang w:eastAsia="en-GB"/>
        </w:rPr>
        <w:t>3GPP TSG-RAN WG2 meeting #10</w:t>
      </w:r>
      <w:r w:rsidR="00B177B2">
        <w:rPr>
          <w:color w:val="auto"/>
          <w:sz w:val="24"/>
          <w:lang w:eastAsia="en-GB"/>
        </w:rPr>
        <w:t>7</w:t>
      </w:r>
      <w:r>
        <w:rPr>
          <w:rFonts w:hint="eastAsia"/>
          <w:color w:val="auto"/>
          <w:sz w:val="24"/>
          <w:lang w:eastAsia="zh-CN"/>
        </w:rPr>
        <w:tab/>
      </w:r>
      <w:r w:rsidR="00BF708D">
        <w:rPr>
          <w:color w:val="auto"/>
          <w:sz w:val="24"/>
          <w:lang w:eastAsia="zh-CN"/>
        </w:rPr>
        <w:tab/>
      </w:r>
      <w:r w:rsidR="000C2EEE">
        <w:rPr>
          <w:color w:val="auto"/>
          <w:sz w:val="24"/>
          <w:lang w:eastAsia="zh-CN"/>
        </w:rPr>
        <w:t xml:space="preserve">       </w:t>
      </w:r>
      <w:r w:rsidRPr="00BF708D">
        <w:rPr>
          <w:i/>
          <w:color w:val="auto"/>
          <w:sz w:val="24"/>
        </w:rPr>
        <w:t>R2-</w:t>
      </w:r>
      <w:r w:rsidR="007926E2">
        <w:rPr>
          <w:i/>
          <w:color w:val="auto"/>
          <w:sz w:val="24"/>
        </w:rPr>
        <w:t>1</w:t>
      </w:r>
      <w:r w:rsidR="00B22DE0">
        <w:rPr>
          <w:i/>
          <w:color w:val="auto"/>
          <w:sz w:val="24"/>
          <w:lang w:eastAsia="zh-CN"/>
        </w:rPr>
        <w:t>9</w:t>
      </w:r>
      <w:r w:rsidR="000C2EEE">
        <w:rPr>
          <w:i/>
          <w:color w:val="auto"/>
          <w:sz w:val="24"/>
          <w:lang w:eastAsia="zh-CN"/>
        </w:rPr>
        <w:t>10456</w:t>
      </w:r>
    </w:p>
    <w:p w14:paraId="2AE6D983" w14:textId="5E4FB99C" w:rsidR="007E1DEE" w:rsidRPr="00C036E6" w:rsidRDefault="00B177B2" w:rsidP="007E1DEE">
      <w:pPr>
        <w:pStyle w:val="Header"/>
        <w:tabs>
          <w:tab w:val="left" w:pos="6521"/>
        </w:tabs>
        <w:jc w:val="both"/>
        <w:rPr>
          <w:color w:val="auto"/>
          <w:sz w:val="24"/>
          <w:lang w:eastAsia="zh-CN"/>
        </w:rPr>
      </w:pPr>
      <w:r>
        <w:rPr>
          <w:color w:val="auto"/>
          <w:sz w:val="24"/>
          <w:lang w:eastAsia="zh-CN"/>
        </w:rPr>
        <w:t>Prague</w:t>
      </w:r>
      <w:r w:rsidR="00FD3CA6">
        <w:rPr>
          <w:color w:val="auto"/>
          <w:sz w:val="24"/>
        </w:rPr>
        <w:t>,</w:t>
      </w:r>
      <w:r w:rsidR="00B22DE0">
        <w:rPr>
          <w:color w:val="auto"/>
          <w:sz w:val="24"/>
        </w:rPr>
        <w:t xml:space="preserve"> </w:t>
      </w:r>
      <w:r>
        <w:rPr>
          <w:color w:val="auto"/>
          <w:sz w:val="24"/>
        </w:rPr>
        <w:t>Czech, 26 – 30 August</w:t>
      </w:r>
      <w:r w:rsidR="007A3C8B">
        <w:rPr>
          <w:rFonts w:hint="eastAsia"/>
          <w:color w:val="auto"/>
          <w:sz w:val="24"/>
        </w:rPr>
        <w:t>, 201</w:t>
      </w:r>
      <w:r w:rsidR="009C418B">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D39E54C"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76B77">
        <w:rPr>
          <w:rFonts w:ascii="Arial" w:hAnsi="Arial"/>
          <w:b/>
          <w:sz w:val="24"/>
          <w:lang w:val="en-US" w:eastAsia="zh-CN"/>
        </w:rPr>
        <w:t>11.</w:t>
      </w:r>
      <w:r w:rsidR="00AA4739">
        <w:rPr>
          <w:rFonts w:ascii="Arial" w:hAnsi="Arial"/>
          <w:b/>
          <w:sz w:val="24"/>
          <w:lang w:val="en-US" w:eastAsia="zh-CN"/>
        </w:rPr>
        <w:t>5.2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5683A32"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644BB0">
        <w:rPr>
          <w:rFonts w:ascii="Arial" w:hAnsi="Arial"/>
          <w:b/>
          <w:sz w:val="24"/>
          <w:lang w:val="en-US"/>
        </w:rPr>
        <w:t>RRC signaling</w:t>
      </w:r>
      <w:r w:rsidR="00AE32A6">
        <w:rPr>
          <w:rFonts w:ascii="Arial" w:hAnsi="Arial"/>
          <w:b/>
          <w:sz w:val="24"/>
          <w:lang w:val="en-US"/>
        </w:rPr>
        <w:t xml:space="preserve"> impact from RACS</w:t>
      </w:r>
      <w:r w:rsidR="00AA47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C6612C5" w14:textId="57A4908D" w:rsidR="00644BB0" w:rsidRDefault="00D6136C" w:rsidP="00B177B2">
      <w:r>
        <w:t xml:space="preserve">During the Study Item, </w:t>
      </w:r>
      <w:r w:rsidR="009C07D3">
        <w:t xml:space="preserve">RAN2 </w:t>
      </w:r>
      <w:r w:rsidR="00AB20A3">
        <w:t xml:space="preserve">discussed and agreed </w:t>
      </w:r>
      <w:r w:rsidR="00AA4739">
        <w:t xml:space="preserve">on the </w:t>
      </w:r>
      <w:r w:rsidR="00644BB0">
        <w:t>transfer of PLMN based capability ID in RRC signalling as part of UE capability transfer procedure in RRC</w:t>
      </w:r>
      <w:r w:rsidR="00AA4739">
        <w:t xml:space="preserve">. </w:t>
      </w:r>
    </w:p>
    <w:p w14:paraId="3E8360BF" w14:textId="390309B7" w:rsidR="00644BB0" w:rsidRDefault="00644BB0" w:rsidP="00B177B2">
      <w:r>
        <w:t>In later meetings</w:t>
      </w:r>
      <w:r w:rsidR="00D6136C">
        <w:t>,</w:t>
      </w:r>
      <w:r>
        <w:t xml:space="preserve"> RAN2 also agreed on the transfer of capability ID, as well as the assignment of the ID via NAS signalling. </w:t>
      </w:r>
    </w:p>
    <w:p w14:paraId="6AC9FE47" w14:textId="55CCFE66" w:rsidR="009C418B" w:rsidRDefault="00AA4739" w:rsidP="00B177B2">
      <w:r>
        <w:t xml:space="preserve">In this </w:t>
      </w:r>
      <w:r w:rsidR="001D575F">
        <w:t xml:space="preserve">short </w:t>
      </w:r>
      <w:r>
        <w:t xml:space="preserve">paper, we would like to </w:t>
      </w:r>
      <w:r w:rsidR="005974EF">
        <w:t xml:space="preserve">discuss </w:t>
      </w:r>
      <w:r w:rsidR="005D08AA">
        <w:t>on the</w:t>
      </w:r>
      <w:r w:rsidR="005974EF">
        <w:t xml:space="preserve"> RRC signalling </w:t>
      </w:r>
      <w:r w:rsidR="005D08AA">
        <w:t xml:space="preserve">impact from the agreements made so far. </w:t>
      </w:r>
      <w:r>
        <w:t xml:space="preserve"> </w:t>
      </w:r>
    </w:p>
    <w:p w14:paraId="2AE6D98D" w14:textId="77777777" w:rsidR="003E1A61" w:rsidRDefault="003E1A61" w:rsidP="00F13226">
      <w:pPr>
        <w:pStyle w:val="Heading1"/>
      </w:pPr>
      <w:r>
        <w:t>Discussion</w:t>
      </w:r>
    </w:p>
    <w:p w14:paraId="1222BB19" w14:textId="441B16C8" w:rsidR="00AA4739" w:rsidRDefault="00665ECD" w:rsidP="00AA4739">
      <w:r>
        <w:t>RAN2 agreed that NAS signalling carries:</w:t>
      </w:r>
    </w:p>
    <w:p w14:paraId="46B26009" w14:textId="6EAA7A5B" w:rsidR="00665ECD" w:rsidRDefault="00665ECD" w:rsidP="00665ECD">
      <w:pPr>
        <w:pStyle w:val="ListParagraph"/>
        <w:numPr>
          <w:ilvl w:val="0"/>
          <w:numId w:val="19"/>
        </w:numPr>
      </w:pPr>
      <w:r>
        <w:t>The transfer of the capability ID (either PLMN based capability ID or manufacturer based ID) from the UE to the network</w:t>
      </w:r>
    </w:p>
    <w:p w14:paraId="1D24F736" w14:textId="584C7A39" w:rsidR="00665ECD" w:rsidRDefault="00665ECD" w:rsidP="00665ECD">
      <w:pPr>
        <w:pStyle w:val="ListParagraph"/>
        <w:numPr>
          <w:ilvl w:val="0"/>
          <w:numId w:val="19"/>
        </w:numPr>
      </w:pPr>
      <w:r>
        <w:t>The assignment of the PLMN based capability ID from the network to the UE</w:t>
      </w:r>
    </w:p>
    <w:p w14:paraId="08F9AFF5" w14:textId="59C8290D" w:rsidR="00665ECD" w:rsidRPr="001D575F" w:rsidRDefault="00D57B5C" w:rsidP="00665ECD">
      <w:pPr>
        <w:rPr>
          <w:b/>
        </w:rPr>
      </w:pPr>
      <w:r w:rsidRPr="001D575F">
        <w:rPr>
          <w:b/>
        </w:rPr>
        <w:t>Observation</w:t>
      </w:r>
      <w:r w:rsidR="00D61845">
        <w:rPr>
          <w:b/>
        </w:rPr>
        <w:t xml:space="preserve"> 1</w:t>
      </w:r>
      <w:r w:rsidRPr="001D575F">
        <w:rPr>
          <w:b/>
        </w:rPr>
        <w:t>: RAN2 agreed on the transfer of capability ID from the UE to the network, as well as the assignment of the PLMN based capability to the UE ID via NAS signalling.</w:t>
      </w:r>
    </w:p>
    <w:p w14:paraId="066BBEA3" w14:textId="77777777" w:rsidR="00F47FC4" w:rsidRDefault="00D57B5C" w:rsidP="00665ECD">
      <w:r>
        <w:t xml:space="preserve">In </w:t>
      </w:r>
      <w:r w:rsidR="00F47FC4">
        <w:t>[1] we also proposed that the UE only associates the PLMN based capability ID to the PLMN and does associate the filters used or the capability containers it has transferred earlier, to the PLMN based capability ID.</w:t>
      </w:r>
    </w:p>
    <w:p w14:paraId="489EC164" w14:textId="5F4A4B0F" w:rsidR="00D57B5C" w:rsidRDefault="00F47FC4" w:rsidP="00665ECD">
      <w:r>
        <w:t xml:space="preserve">In </w:t>
      </w:r>
      <w:r w:rsidR="00D57B5C">
        <w:t xml:space="preserve">the cases where the capability provided by the UE using the PLMN based capability ID (via NAS signalling) is not using the filters that the NW is interested in, the NW can request the capability again using the legacy </w:t>
      </w:r>
      <w:r w:rsidR="00D6136C">
        <w:t xml:space="preserve">RRC </w:t>
      </w:r>
      <w:r w:rsidR="00D57B5C">
        <w:t>signalling. And the NW can also provide a new PLMN based capability ID to the UE (via NAS signalling).</w:t>
      </w:r>
      <w:r w:rsidR="0042150B">
        <w:t xml:space="preserve"> The below diagram shows this sequence.</w:t>
      </w:r>
    </w:p>
    <w:tbl>
      <w:tblPr>
        <w:tblStyle w:val="TableGrid"/>
        <w:tblW w:w="0" w:type="auto"/>
        <w:tblLook w:val="04A0" w:firstRow="1" w:lastRow="0" w:firstColumn="1" w:lastColumn="0" w:noHBand="0" w:noVBand="1"/>
      </w:tblPr>
      <w:tblGrid>
        <w:gridCol w:w="9016"/>
      </w:tblGrid>
      <w:tr w:rsidR="00314143" w14:paraId="51AEF8BB" w14:textId="77777777" w:rsidTr="00C65AA6">
        <w:tc>
          <w:tcPr>
            <w:tcW w:w="9016" w:type="dxa"/>
          </w:tcPr>
          <w:p w14:paraId="2E6772E1" w14:textId="61F55C3E" w:rsidR="00314143" w:rsidRDefault="0051699E" w:rsidP="00C65AA6">
            <w:r>
              <w:object w:dxaOrig="9706" w:dyaOrig="9736" w14:anchorId="7915F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452.25pt" o:ole="">
                  <v:imagedata r:id="rId11" o:title=""/>
                </v:shape>
                <o:OLEObject Type="Embed" ProgID="Visio.Drawing.15" ShapeID="_x0000_i1025" DrawAspect="Content" ObjectID="_1627384004" r:id="rId12"/>
              </w:object>
            </w:r>
          </w:p>
        </w:tc>
      </w:tr>
    </w:tbl>
    <w:p w14:paraId="4088F35A" w14:textId="51844C70" w:rsidR="00314143" w:rsidRPr="00044FAB" w:rsidRDefault="00314143" w:rsidP="00314143">
      <w:pPr>
        <w:jc w:val="center"/>
        <w:rPr>
          <w:b/>
        </w:rPr>
      </w:pPr>
      <w:r>
        <w:t xml:space="preserve"> </w:t>
      </w:r>
      <w:r>
        <w:rPr>
          <w:b/>
        </w:rPr>
        <w:t xml:space="preserve">Figure 1: NW retrieval of capabilities using legacy RRC signalling in case the </w:t>
      </w:r>
      <w:r w:rsidR="000A3929">
        <w:rPr>
          <w:b/>
        </w:rPr>
        <w:t xml:space="preserve">capabilities associated to the </w:t>
      </w:r>
      <w:r>
        <w:rPr>
          <w:b/>
        </w:rPr>
        <w:t xml:space="preserve">PLMN based capability ID provided by the UE </w:t>
      </w:r>
      <w:r w:rsidR="000A3929">
        <w:rPr>
          <w:b/>
        </w:rPr>
        <w:t>are</w:t>
      </w:r>
      <w:r>
        <w:rPr>
          <w:b/>
        </w:rPr>
        <w:t xml:space="preserve"> not based on the filters the NW is interested in.</w:t>
      </w:r>
      <w:r w:rsidR="00AF028C">
        <w:rPr>
          <w:b/>
        </w:rPr>
        <w:t xml:space="preserve">  </w:t>
      </w:r>
    </w:p>
    <w:p w14:paraId="29463F8F" w14:textId="5DE24281" w:rsidR="0042150B" w:rsidRDefault="00314143" w:rsidP="00665ECD">
      <w:r>
        <w:t xml:space="preserve"> </w:t>
      </w:r>
    </w:p>
    <w:p w14:paraId="0041C4AB" w14:textId="3A2F06C3" w:rsidR="00D57B5C" w:rsidRPr="00B2039E" w:rsidRDefault="00D61845" w:rsidP="00665ECD">
      <w:pPr>
        <w:rPr>
          <w:b/>
        </w:rPr>
      </w:pPr>
      <w:r w:rsidRPr="00D61845">
        <w:rPr>
          <w:b/>
        </w:rPr>
        <w:t>Observation 2: Legacy RRC signalling can be used in</w:t>
      </w:r>
      <w:r>
        <w:rPr>
          <w:b/>
        </w:rPr>
        <w:t xml:space="preserve"> case the </w:t>
      </w:r>
      <w:r w:rsidR="000A3929" w:rsidRPr="000A3929">
        <w:rPr>
          <w:b/>
        </w:rPr>
        <w:t xml:space="preserve">capabilities associated to the </w:t>
      </w:r>
      <w:r>
        <w:rPr>
          <w:b/>
        </w:rPr>
        <w:t xml:space="preserve">PLMN based capability ID provided by the UE </w:t>
      </w:r>
      <w:r w:rsidR="000A3929">
        <w:rPr>
          <w:b/>
        </w:rPr>
        <w:t xml:space="preserve">are </w:t>
      </w:r>
      <w:r>
        <w:rPr>
          <w:b/>
        </w:rPr>
        <w:t>not based on the filters the NW is interested in</w:t>
      </w:r>
      <w:r>
        <w:t>.</w:t>
      </w:r>
    </w:p>
    <w:p w14:paraId="62B5A8E4" w14:textId="0058FE18" w:rsidR="00D61845" w:rsidRDefault="00D61845" w:rsidP="00665ECD">
      <w:pPr>
        <w:rPr>
          <w:b/>
        </w:rPr>
      </w:pPr>
      <w:r w:rsidRPr="00D61845">
        <w:rPr>
          <w:b/>
        </w:rPr>
        <w:t xml:space="preserve">Observation 3: If a new PLMN based capability ID is assigned to the UE using the NAS signalling, </w:t>
      </w:r>
      <w:r w:rsidR="00484DB5" w:rsidRPr="00D61845">
        <w:rPr>
          <w:b/>
        </w:rPr>
        <w:t xml:space="preserve">for this PLMN </w:t>
      </w:r>
      <w:r w:rsidR="00484DB5">
        <w:rPr>
          <w:b/>
        </w:rPr>
        <w:t>the provided</w:t>
      </w:r>
      <w:r w:rsidRPr="00D61845">
        <w:rPr>
          <w:b/>
        </w:rPr>
        <w:t xml:space="preserve"> ID </w:t>
      </w:r>
      <w:r w:rsidR="00484DB5">
        <w:rPr>
          <w:b/>
        </w:rPr>
        <w:t>is used by the UE going forward</w:t>
      </w:r>
      <w:r w:rsidRPr="00D61845">
        <w:rPr>
          <w:b/>
        </w:rPr>
        <w:t>.</w:t>
      </w:r>
    </w:p>
    <w:p w14:paraId="0D4D02BC" w14:textId="0174112C" w:rsidR="00D61845" w:rsidRDefault="00D61845" w:rsidP="00665ECD">
      <w:r>
        <w:t>If the UE gets filters in legacy RRC signalling as part of capability enquiry, since</w:t>
      </w:r>
      <w:r w:rsidR="00484DB5">
        <w:t xml:space="preserve"> based on [1]</w:t>
      </w:r>
      <w:r>
        <w:t xml:space="preserve"> the UE does associate the capability ID with filters, there is no practical need for the UE to report a capability ID in the UE capability response message. </w:t>
      </w:r>
    </w:p>
    <w:p w14:paraId="55358675" w14:textId="16615CD0" w:rsidR="00484DB5" w:rsidRPr="00D61845" w:rsidRDefault="00484DB5" w:rsidP="00665ECD">
      <w:r>
        <w:lastRenderedPageBreak/>
        <w:t xml:space="preserve">From the analysis done so far, we see no new requirement to have any changes to RRC signalling for the RACS solution. Besides, </w:t>
      </w:r>
      <w:r w:rsidR="000A3929">
        <w:t xml:space="preserve">avoiding changes to RRC signalling </w:t>
      </w:r>
      <w:r>
        <w:t xml:space="preserve">would allow network deployments where RAN nodes do not need to implement </w:t>
      </w:r>
      <w:r w:rsidR="000A3929">
        <w:t xml:space="preserve">any changes </w:t>
      </w:r>
      <w:r>
        <w:t xml:space="preserve">for the </w:t>
      </w:r>
      <w:r w:rsidR="000A3929">
        <w:t xml:space="preserve">RACS </w:t>
      </w:r>
      <w:r>
        <w:t>feature to work.</w:t>
      </w:r>
    </w:p>
    <w:p w14:paraId="16E43B87" w14:textId="67A67B7C" w:rsidR="00D61845" w:rsidRDefault="00D61845" w:rsidP="00665ECD">
      <w:pPr>
        <w:rPr>
          <w:b/>
        </w:rPr>
      </w:pPr>
      <w:r>
        <w:rPr>
          <w:b/>
        </w:rPr>
        <w:t xml:space="preserve">Observation 4: Using NAS signalling for </w:t>
      </w:r>
      <w:r w:rsidR="000A3929">
        <w:rPr>
          <w:b/>
        </w:rPr>
        <w:t xml:space="preserve">UE capability </w:t>
      </w:r>
      <w:r>
        <w:rPr>
          <w:b/>
        </w:rPr>
        <w:t>ID transfer/assignment, while using the legacy RRC signalling as</w:t>
      </w:r>
      <w:r w:rsidR="000A3929">
        <w:rPr>
          <w:b/>
        </w:rPr>
        <w:t xml:space="preserve"> a</w:t>
      </w:r>
      <w:r>
        <w:rPr>
          <w:b/>
        </w:rPr>
        <w:t xml:space="preserve"> fallback for capability transfer, allows the RACS feature to be operate </w:t>
      </w:r>
      <w:r w:rsidR="000A3929">
        <w:rPr>
          <w:b/>
        </w:rPr>
        <w:t xml:space="preserve">with </w:t>
      </w:r>
      <w:r>
        <w:rPr>
          <w:b/>
        </w:rPr>
        <w:t xml:space="preserve">legacy LTE and NR RAN nodes which are not aware of RACS feature. </w:t>
      </w:r>
    </w:p>
    <w:p w14:paraId="6452B6CF" w14:textId="61EBCF5E" w:rsidR="00D61845" w:rsidRPr="00D61845" w:rsidRDefault="00D61845" w:rsidP="00665ECD">
      <w:pPr>
        <w:rPr>
          <w:b/>
        </w:rPr>
      </w:pPr>
      <w:r>
        <w:rPr>
          <w:b/>
        </w:rPr>
        <w:t xml:space="preserve">Proposal 1: No changes to RRC signalling are needed for the RACS feature. </w:t>
      </w:r>
      <w:r w:rsidR="00AC31C4">
        <w:rPr>
          <w:b/>
        </w:rPr>
        <w:t>The UE capability I</w:t>
      </w:r>
      <w:r w:rsidR="00484DB5">
        <w:rPr>
          <w:b/>
        </w:rPr>
        <w:t>E</w:t>
      </w:r>
      <w:r w:rsidR="00AC31C4">
        <w:rPr>
          <w:b/>
        </w:rPr>
        <w:t xml:space="preserve"> is not added to the UECapabilityInformation RRC message.</w:t>
      </w:r>
    </w:p>
    <w:p w14:paraId="2AE6D99F" w14:textId="77777777" w:rsidR="00FB082B" w:rsidRPr="00B22DE0" w:rsidRDefault="00FB082B" w:rsidP="006D66EA">
      <w:pPr>
        <w:pStyle w:val="Heading1"/>
      </w:pPr>
      <w:r w:rsidRPr="00B22DE0">
        <w:t>Conclusion and proposals</w:t>
      </w:r>
    </w:p>
    <w:p w14:paraId="797F454E" w14:textId="77777777" w:rsidR="005F4B21" w:rsidRDefault="005F4B21" w:rsidP="00DE50F1"/>
    <w:p w14:paraId="75118CC3" w14:textId="77777777" w:rsidR="00D84419" w:rsidRPr="001D575F" w:rsidRDefault="00D84419" w:rsidP="00D84419">
      <w:pPr>
        <w:rPr>
          <w:b/>
        </w:rPr>
      </w:pPr>
      <w:r w:rsidRPr="001D575F">
        <w:rPr>
          <w:b/>
        </w:rPr>
        <w:t>Observation</w:t>
      </w:r>
      <w:r>
        <w:rPr>
          <w:b/>
        </w:rPr>
        <w:t xml:space="preserve"> 1</w:t>
      </w:r>
      <w:r w:rsidRPr="001D575F">
        <w:rPr>
          <w:b/>
        </w:rPr>
        <w:t>: RAN2 agreed on the transfer of capability ID from the UE to the network, as well as the assignment of the PLMN based capability to the UE ID via NAS signalling.</w:t>
      </w:r>
    </w:p>
    <w:p w14:paraId="7540F3AA" w14:textId="3538DCAA" w:rsidR="00D84419" w:rsidRPr="00B2039E" w:rsidRDefault="00D84419" w:rsidP="00D84419">
      <w:pPr>
        <w:rPr>
          <w:b/>
        </w:rPr>
      </w:pPr>
      <w:r w:rsidRPr="00D61845">
        <w:rPr>
          <w:b/>
        </w:rPr>
        <w:t>Observation 2: Legacy RRC signalling can be used in</w:t>
      </w:r>
      <w:r>
        <w:rPr>
          <w:b/>
        </w:rPr>
        <w:t xml:space="preserve"> case the </w:t>
      </w:r>
      <w:r w:rsidRPr="000A3929">
        <w:rPr>
          <w:b/>
        </w:rPr>
        <w:t xml:space="preserve">capabilities associated to the </w:t>
      </w:r>
      <w:r>
        <w:rPr>
          <w:b/>
        </w:rPr>
        <w:t>PLMN based capability ID provided by the UE are not based on the filters the NW is interested in</w:t>
      </w:r>
      <w:r>
        <w:t>.</w:t>
      </w:r>
    </w:p>
    <w:p w14:paraId="57D0B07A" w14:textId="77777777" w:rsidR="00D84419" w:rsidRDefault="00D84419" w:rsidP="00D84419">
      <w:pPr>
        <w:rPr>
          <w:b/>
        </w:rPr>
      </w:pPr>
      <w:r w:rsidRPr="00D61845">
        <w:rPr>
          <w:b/>
        </w:rPr>
        <w:t xml:space="preserve">Observation 3: If a new PLMN based capability ID is assigned to the UE using the NAS signalling, for this PLMN </w:t>
      </w:r>
      <w:r>
        <w:rPr>
          <w:b/>
        </w:rPr>
        <w:t>the provided</w:t>
      </w:r>
      <w:r w:rsidRPr="00D61845">
        <w:rPr>
          <w:b/>
        </w:rPr>
        <w:t xml:space="preserve"> ID </w:t>
      </w:r>
      <w:r>
        <w:rPr>
          <w:b/>
        </w:rPr>
        <w:t>is used by the UE going forward</w:t>
      </w:r>
      <w:r w:rsidRPr="00D61845">
        <w:rPr>
          <w:b/>
        </w:rPr>
        <w:t>.</w:t>
      </w:r>
    </w:p>
    <w:p w14:paraId="4F74ADD6" w14:textId="20DF75B0" w:rsidR="00D84419" w:rsidRDefault="00D84419" w:rsidP="00D84419">
      <w:pPr>
        <w:rPr>
          <w:b/>
        </w:rPr>
      </w:pPr>
      <w:r>
        <w:rPr>
          <w:b/>
        </w:rPr>
        <w:t xml:space="preserve">Observation 4: Using NAS signalling for UE capability ID transfer/assignment, while using the legacy RRC signalling as a fallback for capability transfer, allows the RACS feature to be operate with legacy LTE and NR RAN nodes which are not aware of RACS feature. </w:t>
      </w:r>
    </w:p>
    <w:p w14:paraId="7DFFA411" w14:textId="77777777" w:rsidR="00D84419" w:rsidRDefault="00D84419" w:rsidP="00D84419">
      <w:pPr>
        <w:rPr>
          <w:b/>
        </w:rPr>
      </w:pPr>
    </w:p>
    <w:p w14:paraId="4A3DCC4C" w14:textId="77777777" w:rsidR="00D84419" w:rsidRPr="00D61845" w:rsidRDefault="00D84419" w:rsidP="00D84419">
      <w:pPr>
        <w:rPr>
          <w:b/>
        </w:rPr>
      </w:pPr>
      <w:r>
        <w:rPr>
          <w:b/>
        </w:rPr>
        <w:t>Proposal 1: No changes to RRC signalling are needed for the RACS feature. The UE capability IE is not added to the UECapabilityInformation RRC message.</w:t>
      </w:r>
    </w:p>
    <w:p w14:paraId="43D3D421" w14:textId="662E6982" w:rsidR="00C53EF1" w:rsidRDefault="00C53EF1" w:rsidP="00C53EF1">
      <w:pPr>
        <w:pStyle w:val="Heading1"/>
      </w:pPr>
      <w:r>
        <w:t>References</w:t>
      </w:r>
    </w:p>
    <w:p w14:paraId="26FA2A1D" w14:textId="737100F0" w:rsidR="00C53EF1" w:rsidRPr="00C53EF1" w:rsidRDefault="00C53EF1" w:rsidP="00C53EF1">
      <w:r>
        <w:t>[1]  R2-19</w:t>
      </w:r>
      <w:r w:rsidR="00005289">
        <w:t>10455</w:t>
      </w:r>
      <w:r>
        <w:t xml:space="preserve"> </w:t>
      </w:r>
      <w:r w:rsidRPr="00C53EF1">
        <w:t xml:space="preserve">Discussion on the interpretation of NW assigned capability ID  </w:t>
      </w:r>
    </w:p>
    <w:p w14:paraId="307DCBA2" w14:textId="77777777" w:rsidR="00C53EF1" w:rsidRDefault="00C53EF1" w:rsidP="00C53EF1"/>
    <w:p w14:paraId="09730FC5" w14:textId="77777777" w:rsidR="00C53EF1" w:rsidRDefault="00C53EF1" w:rsidP="00DE50F1"/>
    <w:p w14:paraId="2292B819" w14:textId="77777777" w:rsidR="005F4B21" w:rsidRDefault="005F4B21" w:rsidP="00DE50F1"/>
    <w:p w14:paraId="71AD6D2C" w14:textId="77777777" w:rsidR="005F4B21" w:rsidRDefault="005F4B21" w:rsidP="00DE50F1"/>
    <w:p w14:paraId="254225E0" w14:textId="77777777" w:rsidR="005F4B21" w:rsidRPr="001C38EC" w:rsidRDefault="005F4B21" w:rsidP="00DE50F1"/>
    <w:sectPr w:rsidR="005F4B21"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A4316" w14:textId="77777777" w:rsidR="00A8182A" w:rsidRDefault="00A8182A" w:rsidP="00DF7110">
      <w:pPr>
        <w:spacing w:after="0" w:line="240" w:lineRule="auto"/>
      </w:pPr>
      <w:r>
        <w:separator/>
      </w:r>
    </w:p>
  </w:endnote>
  <w:endnote w:type="continuationSeparator" w:id="0">
    <w:p w14:paraId="13C1659E" w14:textId="77777777" w:rsidR="00A8182A" w:rsidRDefault="00A8182A"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8933C" w14:textId="77777777" w:rsidR="00A8182A" w:rsidRDefault="00A8182A" w:rsidP="00DF7110">
      <w:pPr>
        <w:spacing w:after="0" w:line="240" w:lineRule="auto"/>
      </w:pPr>
      <w:r>
        <w:separator/>
      </w:r>
    </w:p>
  </w:footnote>
  <w:footnote w:type="continuationSeparator" w:id="0">
    <w:p w14:paraId="124CF6AA" w14:textId="77777777" w:rsidR="00A8182A" w:rsidRDefault="00A8182A"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3517567"/>
    <w:multiLevelType w:val="hybridMultilevel"/>
    <w:tmpl w:val="6EF29E6E"/>
    <w:lvl w:ilvl="0" w:tplc="6D00184C">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6F197F"/>
    <w:multiLevelType w:val="hybridMultilevel"/>
    <w:tmpl w:val="C9BEF47C"/>
    <w:lvl w:ilvl="0" w:tplc="C5CCD8E0">
      <w:start w:val="1"/>
      <w:numFmt w:val="bullet"/>
      <w:lvlText w:val="–"/>
      <w:lvlJc w:val="left"/>
      <w:pPr>
        <w:tabs>
          <w:tab w:val="num" w:pos="720"/>
        </w:tabs>
        <w:ind w:left="720" w:hanging="360"/>
      </w:pPr>
      <w:rPr>
        <w:rFonts w:ascii="Intel Clear" w:hAnsi="Intel Clear" w:hint="default"/>
      </w:rPr>
    </w:lvl>
    <w:lvl w:ilvl="1" w:tplc="94027E32">
      <w:start w:val="1"/>
      <w:numFmt w:val="bullet"/>
      <w:lvlText w:val="–"/>
      <w:lvlJc w:val="left"/>
      <w:pPr>
        <w:tabs>
          <w:tab w:val="num" w:pos="1440"/>
        </w:tabs>
        <w:ind w:left="1440" w:hanging="360"/>
      </w:pPr>
      <w:rPr>
        <w:rFonts w:ascii="Intel Clear" w:hAnsi="Intel Clear" w:hint="default"/>
      </w:rPr>
    </w:lvl>
    <w:lvl w:ilvl="2" w:tplc="D820E304">
      <w:start w:val="1"/>
      <w:numFmt w:val="bullet"/>
      <w:lvlText w:val="–"/>
      <w:lvlJc w:val="left"/>
      <w:pPr>
        <w:tabs>
          <w:tab w:val="num" w:pos="2160"/>
        </w:tabs>
        <w:ind w:left="2160" w:hanging="360"/>
      </w:pPr>
      <w:rPr>
        <w:rFonts w:ascii="Intel Clear" w:hAnsi="Intel Clear" w:hint="default"/>
      </w:rPr>
    </w:lvl>
    <w:lvl w:ilvl="3" w:tplc="CDB0623A">
      <w:start w:val="142"/>
      <w:numFmt w:val="bullet"/>
      <w:lvlText w:val="–"/>
      <w:lvlJc w:val="left"/>
      <w:pPr>
        <w:tabs>
          <w:tab w:val="num" w:pos="2880"/>
        </w:tabs>
        <w:ind w:left="2880" w:hanging="360"/>
      </w:pPr>
      <w:rPr>
        <w:rFonts w:ascii="Arial" w:hAnsi="Arial" w:hint="default"/>
      </w:rPr>
    </w:lvl>
    <w:lvl w:ilvl="4" w:tplc="A3C08DE6" w:tentative="1">
      <w:start w:val="1"/>
      <w:numFmt w:val="bullet"/>
      <w:lvlText w:val="–"/>
      <w:lvlJc w:val="left"/>
      <w:pPr>
        <w:tabs>
          <w:tab w:val="num" w:pos="3600"/>
        </w:tabs>
        <w:ind w:left="3600" w:hanging="360"/>
      </w:pPr>
      <w:rPr>
        <w:rFonts w:ascii="Intel Clear" w:hAnsi="Intel Clear" w:hint="default"/>
      </w:rPr>
    </w:lvl>
    <w:lvl w:ilvl="5" w:tplc="1B2A5E56" w:tentative="1">
      <w:start w:val="1"/>
      <w:numFmt w:val="bullet"/>
      <w:lvlText w:val="–"/>
      <w:lvlJc w:val="left"/>
      <w:pPr>
        <w:tabs>
          <w:tab w:val="num" w:pos="4320"/>
        </w:tabs>
        <w:ind w:left="4320" w:hanging="360"/>
      </w:pPr>
      <w:rPr>
        <w:rFonts w:ascii="Intel Clear" w:hAnsi="Intel Clear" w:hint="default"/>
      </w:rPr>
    </w:lvl>
    <w:lvl w:ilvl="6" w:tplc="8CBCA35E" w:tentative="1">
      <w:start w:val="1"/>
      <w:numFmt w:val="bullet"/>
      <w:lvlText w:val="–"/>
      <w:lvlJc w:val="left"/>
      <w:pPr>
        <w:tabs>
          <w:tab w:val="num" w:pos="5040"/>
        </w:tabs>
        <w:ind w:left="5040" w:hanging="360"/>
      </w:pPr>
      <w:rPr>
        <w:rFonts w:ascii="Intel Clear" w:hAnsi="Intel Clear" w:hint="default"/>
      </w:rPr>
    </w:lvl>
    <w:lvl w:ilvl="7" w:tplc="F6D85262" w:tentative="1">
      <w:start w:val="1"/>
      <w:numFmt w:val="bullet"/>
      <w:lvlText w:val="–"/>
      <w:lvlJc w:val="left"/>
      <w:pPr>
        <w:tabs>
          <w:tab w:val="num" w:pos="5760"/>
        </w:tabs>
        <w:ind w:left="5760" w:hanging="360"/>
      </w:pPr>
      <w:rPr>
        <w:rFonts w:ascii="Intel Clear" w:hAnsi="Intel Clear" w:hint="default"/>
      </w:rPr>
    </w:lvl>
    <w:lvl w:ilvl="8" w:tplc="100AB2F2"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6E751EA"/>
    <w:multiLevelType w:val="hybridMultilevel"/>
    <w:tmpl w:val="65DC37DE"/>
    <w:lvl w:ilvl="0" w:tplc="C9ECEB58">
      <w:start w:val="1"/>
      <w:numFmt w:val="bullet"/>
      <w:lvlText w:val="–"/>
      <w:lvlJc w:val="left"/>
      <w:pPr>
        <w:tabs>
          <w:tab w:val="num" w:pos="720"/>
        </w:tabs>
        <w:ind w:left="720" w:hanging="360"/>
      </w:pPr>
      <w:rPr>
        <w:rFonts w:ascii="Arial" w:hAnsi="Arial" w:hint="default"/>
      </w:rPr>
    </w:lvl>
    <w:lvl w:ilvl="1" w:tplc="2F2E834A">
      <w:start w:val="1"/>
      <w:numFmt w:val="bullet"/>
      <w:lvlText w:val="–"/>
      <w:lvlJc w:val="left"/>
      <w:pPr>
        <w:tabs>
          <w:tab w:val="num" w:pos="1440"/>
        </w:tabs>
        <w:ind w:left="1440" w:hanging="360"/>
      </w:pPr>
      <w:rPr>
        <w:rFonts w:ascii="Arial" w:hAnsi="Arial" w:hint="default"/>
      </w:rPr>
    </w:lvl>
    <w:lvl w:ilvl="2" w:tplc="54E667F8">
      <w:start w:val="1"/>
      <w:numFmt w:val="bullet"/>
      <w:lvlText w:val="–"/>
      <w:lvlJc w:val="left"/>
      <w:pPr>
        <w:tabs>
          <w:tab w:val="num" w:pos="2160"/>
        </w:tabs>
        <w:ind w:left="2160" w:hanging="360"/>
      </w:pPr>
      <w:rPr>
        <w:rFonts w:ascii="Arial" w:hAnsi="Arial" w:hint="default"/>
      </w:rPr>
    </w:lvl>
    <w:lvl w:ilvl="3" w:tplc="14845C72">
      <w:start w:val="1"/>
      <w:numFmt w:val="bullet"/>
      <w:lvlText w:val="–"/>
      <w:lvlJc w:val="left"/>
      <w:pPr>
        <w:tabs>
          <w:tab w:val="num" w:pos="2880"/>
        </w:tabs>
        <w:ind w:left="2880" w:hanging="360"/>
      </w:pPr>
      <w:rPr>
        <w:rFonts w:ascii="Arial" w:hAnsi="Arial" w:hint="default"/>
      </w:rPr>
    </w:lvl>
    <w:lvl w:ilvl="4" w:tplc="EB8858BE" w:tentative="1">
      <w:start w:val="1"/>
      <w:numFmt w:val="bullet"/>
      <w:lvlText w:val="–"/>
      <w:lvlJc w:val="left"/>
      <w:pPr>
        <w:tabs>
          <w:tab w:val="num" w:pos="3600"/>
        </w:tabs>
        <w:ind w:left="3600" w:hanging="360"/>
      </w:pPr>
      <w:rPr>
        <w:rFonts w:ascii="Arial" w:hAnsi="Arial" w:hint="default"/>
      </w:rPr>
    </w:lvl>
    <w:lvl w:ilvl="5" w:tplc="D53E277A" w:tentative="1">
      <w:start w:val="1"/>
      <w:numFmt w:val="bullet"/>
      <w:lvlText w:val="–"/>
      <w:lvlJc w:val="left"/>
      <w:pPr>
        <w:tabs>
          <w:tab w:val="num" w:pos="4320"/>
        </w:tabs>
        <w:ind w:left="4320" w:hanging="360"/>
      </w:pPr>
      <w:rPr>
        <w:rFonts w:ascii="Arial" w:hAnsi="Arial" w:hint="default"/>
      </w:rPr>
    </w:lvl>
    <w:lvl w:ilvl="6" w:tplc="F572DE8A" w:tentative="1">
      <w:start w:val="1"/>
      <w:numFmt w:val="bullet"/>
      <w:lvlText w:val="–"/>
      <w:lvlJc w:val="left"/>
      <w:pPr>
        <w:tabs>
          <w:tab w:val="num" w:pos="5040"/>
        </w:tabs>
        <w:ind w:left="5040" w:hanging="360"/>
      </w:pPr>
      <w:rPr>
        <w:rFonts w:ascii="Arial" w:hAnsi="Arial" w:hint="default"/>
      </w:rPr>
    </w:lvl>
    <w:lvl w:ilvl="7" w:tplc="D09ED938" w:tentative="1">
      <w:start w:val="1"/>
      <w:numFmt w:val="bullet"/>
      <w:lvlText w:val="–"/>
      <w:lvlJc w:val="left"/>
      <w:pPr>
        <w:tabs>
          <w:tab w:val="num" w:pos="5760"/>
        </w:tabs>
        <w:ind w:left="5760" w:hanging="360"/>
      </w:pPr>
      <w:rPr>
        <w:rFonts w:ascii="Arial" w:hAnsi="Arial" w:hint="default"/>
      </w:rPr>
    </w:lvl>
    <w:lvl w:ilvl="8" w:tplc="FC109A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641A83"/>
    <w:multiLevelType w:val="hybridMultilevel"/>
    <w:tmpl w:val="B8B68C14"/>
    <w:lvl w:ilvl="0" w:tplc="6A34CF8A">
      <w:start w:val="1"/>
      <w:numFmt w:val="bullet"/>
      <w:lvlText w:val=""/>
      <w:lvlJc w:val="left"/>
      <w:pPr>
        <w:tabs>
          <w:tab w:val="num" w:pos="720"/>
        </w:tabs>
        <w:ind w:left="720" w:hanging="360"/>
      </w:pPr>
      <w:rPr>
        <w:rFonts w:ascii="Wingdings" w:hAnsi="Wingdings" w:hint="default"/>
      </w:rPr>
    </w:lvl>
    <w:lvl w:ilvl="1" w:tplc="883E2396">
      <w:start w:val="1"/>
      <w:numFmt w:val="bullet"/>
      <w:lvlText w:val=""/>
      <w:lvlJc w:val="left"/>
      <w:pPr>
        <w:tabs>
          <w:tab w:val="num" w:pos="1440"/>
        </w:tabs>
        <w:ind w:left="1440" w:hanging="360"/>
      </w:pPr>
      <w:rPr>
        <w:rFonts w:ascii="Wingdings" w:hAnsi="Wingdings" w:hint="default"/>
      </w:rPr>
    </w:lvl>
    <w:lvl w:ilvl="2" w:tplc="8574179E" w:tentative="1">
      <w:start w:val="1"/>
      <w:numFmt w:val="bullet"/>
      <w:lvlText w:val=""/>
      <w:lvlJc w:val="left"/>
      <w:pPr>
        <w:tabs>
          <w:tab w:val="num" w:pos="2160"/>
        </w:tabs>
        <w:ind w:left="2160" w:hanging="360"/>
      </w:pPr>
      <w:rPr>
        <w:rFonts w:ascii="Wingdings" w:hAnsi="Wingdings" w:hint="default"/>
      </w:rPr>
    </w:lvl>
    <w:lvl w:ilvl="3" w:tplc="4D1CC328" w:tentative="1">
      <w:start w:val="1"/>
      <w:numFmt w:val="bullet"/>
      <w:lvlText w:val=""/>
      <w:lvlJc w:val="left"/>
      <w:pPr>
        <w:tabs>
          <w:tab w:val="num" w:pos="2880"/>
        </w:tabs>
        <w:ind w:left="2880" w:hanging="360"/>
      </w:pPr>
      <w:rPr>
        <w:rFonts w:ascii="Wingdings" w:hAnsi="Wingdings" w:hint="default"/>
      </w:rPr>
    </w:lvl>
    <w:lvl w:ilvl="4" w:tplc="5290F5FC" w:tentative="1">
      <w:start w:val="1"/>
      <w:numFmt w:val="bullet"/>
      <w:lvlText w:val=""/>
      <w:lvlJc w:val="left"/>
      <w:pPr>
        <w:tabs>
          <w:tab w:val="num" w:pos="3600"/>
        </w:tabs>
        <w:ind w:left="3600" w:hanging="360"/>
      </w:pPr>
      <w:rPr>
        <w:rFonts w:ascii="Wingdings" w:hAnsi="Wingdings" w:hint="default"/>
      </w:rPr>
    </w:lvl>
    <w:lvl w:ilvl="5" w:tplc="45F08836" w:tentative="1">
      <w:start w:val="1"/>
      <w:numFmt w:val="bullet"/>
      <w:lvlText w:val=""/>
      <w:lvlJc w:val="left"/>
      <w:pPr>
        <w:tabs>
          <w:tab w:val="num" w:pos="4320"/>
        </w:tabs>
        <w:ind w:left="4320" w:hanging="360"/>
      </w:pPr>
      <w:rPr>
        <w:rFonts w:ascii="Wingdings" w:hAnsi="Wingdings" w:hint="default"/>
      </w:rPr>
    </w:lvl>
    <w:lvl w:ilvl="6" w:tplc="0E9A9940" w:tentative="1">
      <w:start w:val="1"/>
      <w:numFmt w:val="bullet"/>
      <w:lvlText w:val=""/>
      <w:lvlJc w:val="left"/>
      <w:pPr>
        <w:tabs>
          <w:tab w:val="num" w:pos="5040"/>
        </w:tabs>
        <w:ind w:left="5040" w:hanging="360"/>
      </w:pPr>
      <w:rPr>
        <w:rFonts w:ascii="Wingdings" w:hAnsi="Wingdings" w:hint="default"/>
      </w:rPr>
    </w:lvl>
    <w:lvl w:ilvl="7" w:tplc="9FE6A978" w:tentative="1">
      <w:start w:val="1"/>
      <w:numFmt w:val="bullet"/>
      <w:lvlText w:val=""/>
      <w:lvlJc w:val="left"/>
      <w:pPr>
        <w:tabs>
          <w:tab w:val="num" w:pos="5760"/>
        </w:tabs>
        <w:ind w:left="5760" w:hanging="360"/>
      </w:pPr>
      <w:rPr>
        <w:rFonts w:ascii="Wingdings" w:hAnsi="Wingdings" w:hint="default"/>
      </w:rPr>
    </w:lvl>
    <w:lvl w:ilvl="8" w:tplc="D57E00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E30BAF"/>
    <w:multiLevelType w:val="hybridMultilevel"/>
    <w:tmpl w:val="E3E8CB16"/>
    <w:lvl w:ilvl="0" w:tplc="A32C3F9E">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8"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0"/>
  </w:num>
  <w:num w:numId="3">
    <w:abstractNumId w:val="10"/>
  </w:num>
  <w:num w:numId="4">
    <w:abstractNumId w:val="14"/>
  </w:num>
  <w:num w:numId="5">
    <w:abstractNumId w:val="3"/>
  </w:num>
  <w:num w:numId="6">
    <w:abstractNumId w:val="13"/>
  </w:num>
  <w:num w:numId="7">
    <w:abstractNumId w:val="17"/>
  </w:num>
  <w:num w:numId="8">
    <w:abstractNumId w:val="16"/>
  </w:num>
  <w:num w:numId="9">
    <w:abstractNumId w:val="11"/>
  </w:num>
  <w:num w:numId="10">
    <w:abstractNumId w:val="6"/>
  </w:num>
  <w:num w:numId="11">
    <w:abstractNumId w:val="2"/>
  </w:num>
  <w:num w:numId="12">
    <w:abstractNumId w:val="8"/>
  </w:num>
  <w:num w:numId="13">
    <w:abstractNumId w:val="18"/>
  </w:num>
  <w:num w:numId="14">
    <w:abstractNumId w:val="5"/>
  </w:num>
  <w:num w:numId="15">
    <w:abstractNumId w:val="9"/>
  </w:num>
  <w:num w:numId="16">
    <w:abstractNumId w:val="15"/>
  </w:num>
  <w:num w:numId="17">
    <w:abstractNumId w:val="4"/>
  </w:num>
  <w:num w:numId="18">
    <w:abstractNumId w:val="12"/>
  </w:num>
  <w:num w:numId="1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89"/>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425A"/>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7D6"/>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2BC7"/>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6C6"/>
    <w:rsid w:val="000A0D11"/>
    <w:rsid w:val="000A0E9B"/>
    <w:rsid w:val="000A0EB7"/>
    <w:rsid w:val="000A29F9"/>
    <w:rsid w:val="000A31A1"/>
    <w:rsid w:val="000A3929"/>
    <w:rsid w:val="000A3EEA"/>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2EEE"/>
    <w:rsid w:val="000C4BD4"/>
    <w:rsid w:val="000C523A"/>
    <w:rsid w:val="000C66C7"/>
    <w:rsid w:val="000C7A7E"/>
    <w:rsid w:val="000D031F"/>
    <w:rsid w:val="000D0609"/>
    <w:rsid w:val="000D12BA"/>
    <w:rsid w:val="000D2585"/>
    <w:rsid w:val="000D2953"/>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66F9D"/>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75F"/>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143"/>
    <w:rsid w:val="003149DD"/>
    <w:rsid w:val="00314ACD"/>
    <w:rsid w:val="00315F6D"/>
    <w:rsid w:val="003161E1"/>
    <w:rsid w:val="0031731E"/>
    <w:rsid w:val="003210EC"/>
    <w:rsid w:val="0032134E"/>
    <w:rsid w:val="00322459"/>
    <w:rsid w:val="0032260A"/>
    <w:rsid w:val="003252AC"/>
    <w:rsid w:val="00325428"/>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5320"/>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557E"/>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139"/>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704"/>
    <w:rsid w:val="00415CC2"/>
    <w:rsid w:val="0041634E"/>
    <w:rsid w:val="00416888"/>
    <w:rsid w:val="00416A15"/>
    <w:rsid w:val="00416E5D"/>
    <w:rsid w:val="004173B7"/>
    <w:rsid w:val="004174CC"/>
    <w:rsid w:val="0041764D"/>
    <w:rsid w:val="0042030A"/>
    <w:rsid w:val="004211B7"/>
    <w:rsid w:val="0042150B"/>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58AF"/>
    <w:rsid w:val="00447B76"/>
    <w:rsid w:val="0045058F"/>
    <w:rsid w:val="004507F8"/>
    <w:rsid w:val="0045094D"/>
    <w:rsid w:val="00450C4E"/>
    <w:rsid w:val="0045145D"/>
    <w:rsid w:val="00451DB8"/>
    <w:rsid w:val="00453272"/>
    <w:rsid w:val="0045400A"/>
    <w:rsid w:val="00455706"/>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255E"/>
    <w:rsid w:val="004735D7"/>
    <w:rsid w:val="004743CF"/>
    <w:rsid w:val="004752ED"/>
    <w:rsid w:val="004753F6"/>
    <w:rsid w:val="00475CCB"/>
    <w:rsid w:val="00475D2B"/>
    <w:rsid w:val="004762F1"/>
    <w:rsid w:val="00476EFD"/>
    <w:rsid w:val="004771B9"/>
    <w:rsid w:val="0047747A"/>
    <w:rsid w:val="004774FE"/>
    <w:rsid w:val="00480210"/>
    <w:rsid w:val="00481674"/>
    <w:rsid w:val="004820E8"/>
    <w:rsid w:val="00483046"/>
    <w:rsid w:val="00483E1A"/>
    <w:rsid w:val="00484DB5"/>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2ADE"/>
    <w:rsid w:val="004B2E4A"/>
    <w:rsid w:val="004B332C"/>
    <w:rsid w:val="004B3A95"/>
    <w:rsid w:val="004B3B30"/>
    <w:rsid w:val="004B463C"/>
    <w:rsid w:val="004B55BD"/>
    <w:rsid w:val="004B69D2"/>
    <w:rsid w:val="004B71E8"/>
    <w:rsid w:val="004B7B32"/>
    <w:rsid w:val="004B7F3C"/>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72D"/>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1855"/>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1699E"/>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67EB"/>
    <w:rsid w:val="005675E1"/>
    <w:rsid w:val="00567AA9"/>
    <w:rsid w:val="005702F8"/>
    <w:rsid w:val="005704D2"/>
    <w:rsid w:val="00570610"/>
    <w:rsid w:val="0057079C"/>
    <w:rsid w:val="00570C2F"/>
    <w:rsid w:val="00572D6B"/>
    <w:rsid w:val="0057430A"/>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974EF"/>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8AA"/>
    <w:rsid w:val="005D0986"/>
    <w:rsid w:val="005D0E30"/>
    <w:rsid w:val="005D2980"/>
    <w:rsid w:val="005D327E"/>
    <w:rsid w:val="005D4967"/>
    <w:rsid w:val="005D4968"/>
    <w:rsid w:val="005D4AB4"/>
    <w:rsid w:val="005D57BC"/>
    <w:rsid w:val="005D74CE"/>
    <w:rsid w:val="005D7E7C"/>
    <w:rsid w:val="005E01FC"/>
    <w:rsid w:val="005E0F36"/>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B21"/>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0F5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BB0"/>
    <w:rsid w:val="00644D33"/>
    <w:rsid w:val="00645660"/>
    <w:rsid w:val="00645BB2"/>
    <w:rsid w:val="00646761"/>
    <w:rsid w:val="00646933"/>
    <w:rsid w:val="006470E3"/>
    <w:rsid w:val="006504A5"/>
    <w:rsid w:val="00650656"/>
    <w:rsid w:val="00651ABA"/>
    <w:rsid w:val="0065261C"/>
    <w:rsid w:val="0065268C"/>
    <w:rsid w:val="006528DB"/>
    <w:rsid w:val="00652EC5"/>
    <w:rsid w:val="0065322D"/>
    <w:rsid w:val="00653D5B"/>
    <w:rsid w:val="0065726D"/>
    <w:rsid w:val="006575BE"/>
    <w:rsid w:val="0066206D"/>
    <w:rsid w:val="00662575"/>
    <w:rsid w:val="00664189"/>
    <w:rsid w:val="006642A0"/>
    <w:rsid w:val="006647F5"/>
    <w:rsid w:val="00665D07"/>
    <w:rsid w:val="00665ECD"/>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2BD0"/>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31"/>
    <w:rsid w:val="006F3387"/>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06030"/>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024"/>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0C20"/>
    <w:rsid w:val="007713D9"/>
    <w:rsid w:val="007716F1"/>
    <w:rsid w:val="00771F63"/>
    <w:rsid w:val="00772CA5"/>
    <w:rsid w:val="007738DC"/>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6FF3"/>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5E95"/>
    <w:rsid w:val="007D600D"/>
    <w:rsid w:val="007D6379"/>
    <w:rsid w:val="007D66E6"/>
    <w:rsid w:val="007E06C4"/>
    <w:rsid w:val="007E0832"/>
    <w:rsid w:val="007E123E"/>
    <w:rsid w:val="007E142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3A9D"/>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0FA"/>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58BF"/>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010"/>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38E"/>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5FDE"/>
    <w:rsid w:val="008E6B91"/>
    <w:rsid w:val="008F0FD3"/>
    <w:rsid w:val="008F1923"/>
    <w:rsid w:val="008F1BF2"/>
    <w:rsid w:val="008F235D"/>
    <w:rsid w:val="008F2B4B"/>
    <w:rsid w:val="008F2DB5"/>
    <w:rsid w:val="008F3876"/>
    <w:rsid w:val="008F3B2E"/>
    <w:rsid w:val="008F4925"/>
    <w:rsid w:val="008F4A29"/>
    <w:rsid w:val="008F5091"/>
    <w:rsid w:val="008F5351"/>
    <w:rsid w:val="008F6481"/>
    <w:rsid w:val="008F7389"/>
    <w:rsid w:val="00902309"/>
    <w:rsid w:val="00902D34"/>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7D3"/>
    <w:rsid w:val="009C09E7"/>
    <w:rsid w:val="009C309F"/>
    <w:rsid w:val="009C30C1"/>
    <w:rsid w:val="009C376B"/>
    <w:rsid w:val="009C418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3FF3"/>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2FD8"/>
    <w:rsid w:val="00A63002"/>
    <w:rsid w:val="00A63092"/>
    <w:rsid w:val="00A63691"/>
    <w:rsid w:val="00A64565"/>
    <w:rsid w:val="00A65490"/>
    <w:rsid w:val="00A6552F"/>
    <w:rsid w:val="00A65D63"/>
    <w:rsid w:val="00A66699"/>
    <w:rsid w:val="00A67E09"/>
    <w:rsid w:val="00A70DF9"/>
    <w:rsid w:val="00A7216C"/>
    <w:rsid w:val="00A7272D"/>
    <w:rsid w:val="00A72998"/>
    <w:rsid w:val="00A72AF8"/>
    <w:rsid w:val="00A72CB2"/>
    <w:rsid w:val="00A734DB"/>
    <w:rsid w:val="00A73736"/>
    <w:rsid w:val="00A7456C"/>
    <w:rsid w:val="00A74FAC"/>
    <w:rsid w:val="00A753C0"/>
    <w:rsid w:val="00A75B9B"/>
    <w:rsid w:val="00A76AE7"/>
    <w:rsid w:val="00A775CB"/>
    <w:rsid w:val="00A777E7"/>
    <w:rsid w:val="00A80082"/>
    <w:rsid w:val="00A80A97"/>
    <w:rsid w:val="00A8182A"/>
    <w:rsid w:val="00A81923"/>
    <w:rsid w:val="00A819B1"/>
    <w:rsid w:val="00A81FDD"/>
    <w:rsid w:val="00A828CC"/>
    <w:rsid w:val="00A8355B"/>
    <w:rsid w:val="00A841C8"/>
    <w:rsid w:val="00A84D34"/>
    <w:rsid w:val="00A84D85"/>
    <w:rsid w:val="00A86217"/>
    <w:rsid w:val="00A878B4"/>
    <w:rsid w:val="00A87A27"/>
    <w:rsid w:val="00A87B86"/>
    <w:rsid w:val="00A87C1B"/>
    <w:rsid w:val="00A87FB7"/>
    <w:rsid w:val="00A90271"/>
    <w:rsid w:val="00A90575"/>
    <w:rsid w:val="00A90966"/>
    <w:rsid w:val="00A93BEB"/>
    <w:rsid w:val="00A93EA2"/>
    <w:rsid w:val="00A952F4"/>
    <w:rsid w:val="00A95A3C"/>
    <w:rsid w:val="00A96EEE"/>
    <w:rsid w:val="00A96F09"/>
    <w:rsid w:val="00AA08DC"/>
    <w:rsid w:val="00AA0C7A"/>
    <w:rsid w:val="00AA136A"/>
    <w:rsid w:val="00AA2FBF"/>
    <w:rsid w:val="00AA3643"/>
    <w:rsid w:val="00AA3D38"/>
    <w:rsid w:val="00AA432E"/>
    <w:rsid w:val="00AA4739"/>
    <w:rsid w:val="00AA5338"/>
    <w:rsid w:val="00AA58A5"/>
    <w:rsid w:val="00AA7E2C"/>
    <w:rsid w:val="00AB187E"/>
    <w:rsid w:val="00AB1AFD"/>
    <w:rsid w:val="00AB1CA7"/>
    <w:rsid w:val="00AB20A3"/>
    <w:rsid w:val="00AB4834"/>
    <w:rsid w:val="00AB552F"/>
    <w:rsid w:val="00AB5DAD"/>
    <w:rsid w:val="00AB5FA1"/>
    <w:rsid w:val="00AC043F"/>
    <w:rsid w:val="00AC13F0"/>
    <w:rsid w:val="00AC211B"/>
    <w:rsid w:val="00AC2303"/>
    <w:rsid w:val="00AC31C4"/>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2A6"/>
    <w:rsid w:val="00AE3B17"/>
    <w:rsid w:val="00AE4CCD"/>
    <w:rsid w:val="00AE63CA"/>
    <w:rsid w:val="00AE7045"/>
    <w:rsid w:val="00AE773C"/>
    <w:rsid w:val="00AE7DC8"/>
    <w:rsid w:val="00AF028C"/>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177B2"/>
    <w:rsid w:val="00B2039E"/>
    <w:rsid w:val="00B205B6"/>
    <w:rsid w:val="00B20D44"/>
    <w:rsid w:val="00B2173C"/>
    <w:rsid w:val="00B21752"/>
    <w:rsid w:val="00B22DE0"/>
    <w:rsid w:val="00B230BF"/>
    <w:rsid w:val="00B230E8"/>
    <w:rsid w:val="00B23259"/>
    <w:rsid w:val="00B237AA"/>
    <w:rsid w:val="00B237B1"/>
    <w:rsid w:val="00B25497"/>
    <w:rsid w:val="00B254B8"/>
    <w:rsid w:val="00B271A8"/>
    <w:rsid w:val="00B27593"/>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36D"/>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8EB"/>
    <w:rsid w:val="00BA6A70"/>
    <w:rsid w:val="00BA6FB0"/>
    <w:rsid w:val="00BB09BB"/>
    <w:rsid w:val="00BB1108"/>
    <w:rsid w:val="00BB2526"/>
    <w:rsid w:val="00BB2B91"/>
    <w:rsid w:val="00BB40C1"/>
    <w:rsid w:val="00BB4344"/>
    <w:rsid w:val="00BB59B9"/>
    <w:rsid w:val="00BB5C22"/>
    <w:rsid w:val="00BB5FB6"/>
    <w:rsid w:val="00BB6EF7"/>
    <w:rsid w:val="00BB72D7"/>
    <w:rsid w:val="00BC0CD2"/>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064"/>
    <w:rsid w:val="00C50583"/>
    <w:rsid w:val="00C53036"/>
    <w:rsid w:val="00C534E5"/>
    <w:rsid w:val="00C5363A"/>
    <w:rsid w:val="00C53EF1"/>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5385"/>
    <w:rsid w:val="00C75E65"/>
    <w:rsid w:val="00C76796"/>
    <w:rsid w:val="00C7767C"/>
    <w:rsid w:val="00C80C93"/>
    <w:rsid w:val="00C811FA"/>
    <w:rsid w:val="00C813CC"/>
    <w:rsid w:val="00C81826"/>
    <w:rsid w:val="00C850A6"/>
    <w:rsid w:val="00C85EA7"/>
    <w:rsid w:val="00C85FCF"/>
    <w:rsid w:val="00C90553"/>
    <w:rsid w:val="00C9135C"/>
    <w:rsid w:val="00C92618"/>
    <w:rsid w:val="00C92835"/>
    <w:rsid w:val="00C92D11"/>
    <w:rsid w:val="00C936F0"/>
    <w:rsid w:val="00C93DEF"/>
    <w:rsid w:val="00C96FD2"/>
    <w:rsid w:val="00C9707D"/>
    <w:rsid w:val="00CA1451"/>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5D1C"/>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4746"/>
    <w:rsid w:val="00D554C0"/>
    <w:rsid w:val="00D554C4"/>
    <w:rsid w:val="00D559BE"/>
    <w:rsid w:val="00D56392"/>
    <w:rsid w:val="00D56B04"/>
    <w:rsid w:val="00D57B5C"/>
    <w:rsid w:val="00D60837"/>
    <w:rsid w:val="00D6136C"/>
    <w:rsid w:val="00D61845"/>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39F"/>
    <w:rsid w:val="00D76C12"/>
    <w:rsid w:val="00D76D8E"/>
    <w:rsid w:val="00D772F1"/>
    <w:rsid w:val="00D80D4C"/>
    <w:rsid w:val="00D814ED"/>
    <w:rsid w:val="00D81A6A"/>
    <w:rsid w:val="00D82F31"/>
    <w:rsid w:val="00D84180"/>
    <w:rsid w:val="00D84419"/>
    <w:rsid w:val="00D84715"/>
    <w:rsid w:val="00D853D1"/>
    <w:rsid w:val="00D85D73"/>
    <w:rsid w:val="00D860D0"/>
    <w:rsid w:val="00D86B01"/>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0F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0C5A"/>
    <w:rsid w:val="00E5122C"/>
    <w:rsid w:val="00E518BC"/>
    <w:rsid w:val="00E5284F"/>
    <w:rsid w:val="00E52E40"/>
    <w:rsid w:val="00E530D0"/>
    <w:rsid w:val="00E5408F"/>
    <w:rsid w:val="00E54627"/>
    <w:rsid w:val="00E54D20"/>
    <w:rsid w:val="00E56A48"/>
    <w:rsid w:val="00E600AE"/>
    <w:rsid w:val="00E6026E"/>
    <w:rsid w:val="00E60387"/>
    <w:rsid w:val="00E605DF"/>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26C"/>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C9D"/>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47FC4"/>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1"/>
    <w:rsid w:val="00FA3819"/>
    <w:rsid w:val="00FA436A"/>
    <w:rsid w:val="00FA45B8"/>
    <w:rsid w:val="00FA5870"/>
    <w:rsid w:val="00FA5E05"/>
    <w:rsid w:val="00FA5EC3"/>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080"/>
    <w:rsid w:val="00FD318A"/>
    <w:rsid w:val="00FD3CA6"/>
    <w:rsid w:val="00FD42C0"/>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 w:type="paragraph" w:customStyle="1" w:styleId="EQ">
    <w:name w:val="EQ"/>
    <w:basedOn w:val="Normal"/>
    <w:next w:val="Normal"/>
    <w:rsid w:val="00E7526C"/>
    <w:pPr>
      <w:keepLines/>
      <w:tabs>
        <w:tab w:val="center" w:pos="4536"/>
        <w:tab w:val="right" w:pos="9072"/>
      </w:tabs>
      <w:spacing w:after="180" w:line="240" w:lineRule="auto"/>
    </w:pPr>
    <w:rPr>
      <w:rFonts w:ascii="Times New Roman" w:eastAsia="Malgun Gothic" w:hAnsi="Times New Roman" w:cs="Times New Roman"/>
      <w:noProof/>
      <w:sz w:val="20"/>
      <w:szCs w:val="20"/>
    </w:rPr>
  </w:style>
  <w:style w:type="paragraph" w:customStyle="1" w:styleId="Observation">
    <w:name w:val="Observation"/>
    <w:basedOn w:val="Normal"/>
    <w:qFormat/>
    <w:rsid w:val="005F4B21"/>
    <w:pPr>
      <w:numPr>
        <w:numId w:val="18"/>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eastAsia="zh-CN"/>
    </w:rPr>
  </w:style>
  <w:style w:type="table" w:styleId="TableGrid">
    <w:name w:val="Table Grid"/>
    <w:basedOn w:val="TableNormal"/>
    <w:uiPriority w:val="39"/>
    <w:rsid w:val="003141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11305518">
      <w:bodyDiv w:val="1"/>
      <w:marLeft w:val="0"/>
      <w:marRight w:val="0"/>
      <w:marTop w:val="0"/>
      <w:marBottom w:val="0"/>
      <w:divBdr>
        <w:top w:val="none" w:sz="0" w:space="0" w:color="auto"/>
        <w:left w:val="none" w:sz="0" w:space="0" w:color="auto"/>
        <w:bottom w:val="none" w:sz="0" w:space="0" w:color="auto"/>
        <w:right w:val="none" w:sz="0" w:space="0" w:color="auto"/>
      </w:divBdr>
      <w:divsChild>
        <w:div w:id="1533306266">
          <w:marLeft w:val="907"/>
          <w:marRight w:val="0"/>
          <w:marTop w:val="160"/>
          <w:marBottom w:val="0"/>
          <w:divBdr>
            <w:top w:val="none" w:sz="0" w:space="0" w:color="auto"/>
            <w:left w:val="none" w:sz="0" w:space="0" w:color="auto"/>
            <w:bottom w:val="none" w:sz="0" w:space="0" w:color="auto"/>
            <w:right w:val="none" w:sz="0" w:space="0" w:color="auto"/>
          </w:divBdr>
        </w:div>
        <w:div w:id="1730029318">
          <w:marLeft w:val="1526"/>
          <w:marRight w:val="0"/>
          <w:marTop w:val="43"/>
          <w:marBottom w:val="0"/>
          <w:divBdr>
            <w:top w:val="none" w:sz="0" w:space="0" w:color="auto"/>
            <w:left w:val="none" w:sz="0" w:space="0" w:color="auto"/>
            <w:bottom w:val="none" w:sz="0" w:space="0" w:color="auto"/>
            <w:right w:val="none" w:sz="0" w:space="0" w:color="auto"/>
          </w:divBdr>
        </w:div>
        <w:div w:id="998188708">
          <w:marLeft w:val="907"/>
          <w:marRight w:val="0"/>
          <w:marTop w:val="160"/>
          <w:marBottom w:val="0"/>
          <w:divBdr>
            <w:top w:val="none" w:sz="0" w:space="0" w:color="auto"/>
            <w:left w:val="none" w:sz="0" w:space="0" w:color="auto"/>
            <w:bottom w:val="none" w:sz="0" w:space="0" w:color="auto"/>
            <w:right w:val="none" w:sz="0" w:space="0" w:color="auto"/>
          </w:divBdr>
        </w:div>
        <w:div w:id="579565146">
          <w:marLeft w:val="1526"/>
          <w:marRight w:val="0"/>
          <w:marTop w:val="43"/>
          <w:marBottom w:val="0"/>
          <w:divBdr>
            <w:top w:val="none" w:sz="0" w:space="0" w:color="auto"/>
            <w:left w:val="none" w:sz="0" w:space="0" w:color="auto"/>
            <w:bottom w:val="none" w:sz="0" w:space="0" w:color="auto"/>
            <w:right w:val="none" w:sz="0" w:space="0" w:color="auto"/>
          </w:divBdr>
        </w:div>
        <w:div w:id="1913544380">
          <w:marLeft w:val="907"/>
          <w:marRight w:val="0"/>
          <w:marTop w:val="160"/>
          <w:marBottom w:val="0"/>
          <w:divBdr>
            <w:top w:val="none" w:sz="0" w:space="0" w:color="auto"/>
            <w:left w:val="none" w:sz="0" w:space="0" w:color="auto"/>
            <w:bottom w:val="none" w:sz="0" w:space="0" w:color="auto"/>
            <w:right w:val="none" w:sz="0" w:space="0" w:color="auto"/>
          </w:divBdr>
        </w:div>
        <w:div w:id="522934861">
          <w:marLeft w:val="1526"/>
          <w:marRight w:val="0"/>
          <w:marTop w:val="43"/>
          <w:marBottom w:val="0"/>
          <w:divBdr>
            <w:top w:val="none" w:sz="0" w:space="0" w:color="auto"/>
            <w:left w:val="none" w:sz="0" w:space="0" w:color="auto"/>
            <w:bottom w:val="none" w:sz="0" w:space="0" w:color="auto"/>
            <w:right w:val="none" w:sz="0" w:space="0" w:color="auto"/>
          </w:divBdr>
        </w:div>
        <w:div w:id="805855347">
          <w:marLeft w:val="1526"/>
          <w:marRight w:val="0"/>
          <w:marTop w:val="43"/>
          <w:marBottom w:val="0"/>
          <w:divBdr>
            <w:top w:val="none" w:sz="0" w:space="0" w:color="auto"/>
            <w:left w:val="none" w:sz="0" w:space="0" w:color="auto"/>
            <w:bottom w:val="none" w:sz="0" w:space="0" w:color="auto"/>
            <w:right w:val="none" w:sz="0" w:space="0" w:color="auto"/>
          </w:divBdr>
        </w:div>
        <w:div w:id="189145901">
          <w:marLeft w:val="1526"/>
          <w:marRight w:val="0"/>
          <w:marTop w:val="43"/>
          <w:marBottom w:val="0"/>
          <w:divBdr>
            <w:top w:val="none" w:sz="0" w:space="0" w:color="auto"/>
            <w:left w:val="none" w:sz="0" w:space="0" w:color="auto"/>
            <w:bottom w:val="none" w:sz="0" w:space="0" w:color="auto"/>
            <w:right w:val="none" w:sz="0" w:space="0" w:color="auto"/>
          </w:divBdr>
        </w:div>
      </w:divsChild>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39485091">
      <w:bodyDiv w:val="1"/>
      <w:marLeft w:val="0"/>
      <w:marRight w:val="0"/>
      <w:marTop w:val="0"/>
      <w:marBottom w:val="0"/>
      <w:divBdr>
        <w:top w:val="none" w:sz="0" w:space="0" w:color="auto"/>
        <w:left w:val="none" w:sz="0" w:space="0" w:color="auto"/>
        <w:bottom w:val="none" w:sz="0" w:space="0" w:color="auto"/>
        <w:right w:val="none" w:sz="0" w:space="0" w:color="auto"/>
      </w:divBdr>
      <w:divsChild>
        <w:div w:id="1397631885">
          <w:marLeft w:val="1526"/>
          <w:marRight w:val="0"/>
          <w:marTop w:val="53"/>
          <w:marBottom w:val="0"/>
          <w:divBdr>
            <w:top w:val="none" w:sz="0" w:space="0" w:color="auto"/>
            <w:left w:val="none" w:sz="0" w:space="0" w:color="auto"/>
            <w:bottom w:val="none" w:sz="0" w:space="0" w:color="auto"/>
            <w:right w:val="none" w:sz="0" w:space="0" w:color="auto"/>
          </w:divBdr>
        </w:div>
        <w:div w:id="1822117393">
          <w:marLeft w:val="1526"/>
          <w:marRight w:val="0"/>
          <w:marTop w:val="53"/>
          <w:marBottom w:val="0"/>
          <w:divBdr>
            <w:top w:val="none" w:sz="0" w:space="0" w:color="auto"/>
            <w:left w:val="none" w:sz="0" w:space="0" w:color="auto"/>
            <w:bottom w:val="none" w:sz="0" w:space="0" w:color="auto"/>
            <w:right w:val="none" w:sz="0" w:space="0" w:color="auto"/>
          </w:divBdr>
        </w:div>
        <w:div w:id="275256190">
          <w:marLeft w:val="1526"/>
          <w:marRight w:val="0"/>
          <w:marTop w:val="53"/>
          <w:marBottom w:val="0"/>
          <w:divBdr>
            <w:top w:val="none" w:sz="0" w:space="0" w:color="auto"/>
            <w:left w:val="none" w:sz="0" w:space="0" w:color="auto"/>
            <w:bottom w:val="none" w:sz="0" w:space="0" w:color="auto"/>
            <w:right w:val="none" w:sz="0" w:space="0" w:color="auto"/>
          </w:divBdr>
        </w:div>
      </w:divsChild>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52360005">
      <w:bodyDiv w:val="1"/>
      <w:marLeft w:val="0"/>
      <w:marRight w:val="0"/>
      <w:marTop w:val="0"/>
      <w:marBottom w:val="0"/>
      <w:divBdr>
        <w:top w:val="none" w:sz="0" w:space="0" w:color="auto"/>
        <w:left w:val="none" w:sz="0" w:space="0" w:color="auto"/>
        <w:bottom w:val="none" w:sz="0" w:space="0" w:color="auto"/>
        <w:right w:val="none" w:sz="0" w:space="0" w:color="auto"/>
      </w:divBdr>
      <w:divsChild>
        <w:div w:id="335155563">
          <w:marLeft w:val="360"/>
          <w:marRight w:val="0"/>
          <w:marTop w:val="240"/>
          <w:marBottom w:val="0"/>
          <w:divBdr>
            <w:top w:val="none" w:sz="0" w:space="0" w:color="auto"/>
            <w:left w:val="none" w:sz="0" w:space="0" w:color="auto"/>
            <w:bottom w:val="none" w:sz="0" w:space="0" w:color="auto"/>
            <w:right w:val="none" w:sz="0" w:space="0" w:color="auto"/>
          </w:divBdr>
        </w:div>
        <w:div w:id="539630354">
          <w:marLeft w:val="360"/>
          <w:marRight w:val="0"/>
          <w:marTop w:val="240"/>
          <w:marBottom w:val="0"/>
          <w:divBdr>
            <w:top w:val="none" w:sz="0" w:space="0" w:color="auto"/>
            <w:left w:val="none" w:sz="0" w:space="0" w:color="auto"/>
            <w:bottom w:val="none" w:sz="0" w:space="0" w:color="auto"/>
            <w:right w:val="none" w:sz="0" w:space="0" w:color="auto"/>
          </w:divBdr>
        </w:div>
        <w:div w:id="727219589">
          <w:marLeft w:val="360"/>
          <w:marRight w:val="0"/>
          <w:marTop w:val="240"/>
          <w:marBottom w:val="0"/>
          <w:divBdr>
            <w:top w:val="none" w:sz="0" w:space="0" w:color="auto"/>
            <w:left w:val="none" w:sz="0" w:space="0" w:color="auto"/>
            <w:bottom w:val="none" w:sz="0" w:space="0" w:color="auto"/>
            <w:right w:val="none" w:sz="0" w:space="0" w:color="auto"/>
          </w:divBdr>
        </w:div>
        <w:div w:id="283192162">
          <w:marLeft w:val="360"/>
          <w:marRight w:val="0"/>
          <w:marTop w:val="240"/>
          <w:marBottom w:val="0"/>
          <w:divBdr>
            <w:top w:val="none" w:sz="0" w:space="0" w:color="auto"/>
            <w:left w:val="none" w:sz="0" w:space="0" w:color="auto"/>
            <w:bottom w:val="none" w:sz="0" w:space="0" w:color="auto"/>
            <w:right w:val="none" w:sz="0" w:space="0" w:color="auto"/>
          </w:divBdr>
        </w:div>
        <w:div w:id="1974672485">
          <w:marLeft w:val="360"/>
          <w:marRight w:val="0"/>
          <w:marTop w:val="240"/>
          <w:marBottom w:val="0"/>
          <w:divBdr>
            <w:top w:val="none" w:sz="0" w:space="0" w:color="auto"/>
            <w:left w:val="none" w:sz="0" w:space="0" w:color="auto"/>
            <w:bottom w:val="none" w:sz="0" w:space="0" w:color="auto"/>
            <w:right w:val="none" w:sz="0" w:space="0" w:color="auto"/>
          </w:divBdr>
        </w:div>
        <w:div w:id="1167985031">
          <w:marLeft w:val="360"/>
          <w:marRight w:val="0"/>
          <w:marTop w:val="240"/>
          <w:marBottom w:val="0"/>
          <w:divBdr>
            <w:top w:val="none" w:sz="0" w:space="0" w:color="auto"/>
            <w:left w:val="none" w:sz="0" w:space="0" w:color="auto"/>
            <w:bottom w:val="none" w:sz="0" w:space="0" w:color="auto"/>
            <w:right w:val="none" w:sz="0" w:space="0" w:color="auto"/>
          </w:divBdr>
        </w:div>
        <w:div w:id="1992057020">
          <w:marLeft w:val="360"/>
          <w:marRight w:val="0"/>
          <w:marTop w:val="240"/>
          <w:marBottom w:val="0"/>
          <w:divBdr>
            <w:top w:val="none" w:sz="0" w:space="0" w:color="auto"/>
            <w:left w:val="none" w:sz="0" w:space="0" w:color="auto"/>
            <w:bottom w:val="none" w:sz="0" w:space="0" w:color="auto"/>
            <w:right w:val="none" w:sz="0" w:space="0" w:color="auto"/>
          </w:divBdr>
        </w:div>
        <w:div w:id="1099761790">
          <w:marLeft w:val="360"/>
          <w:marRight w:val="0"/>
          <w:marTop w:val="240"/>
          <w:marBottom w:val="0"/>
          <w:divBdr>
            <w:top w:val="none" w:sz="0" w:space="0" w:color="auto"/>
            <w:left w:val="none" w:sz="0" w:space="0" w:color="auto"/>
            <w:bottom w:val="none" w:sz="0" w:space="0" w:color="auto"/>
            <w:right w:val="none" w:sz="0" w:space="0" w:color="auto"/>
          </w:divBdr>
        </w:div>
        <w:div w:id="2137260491">
          <w:marLeft w:val="360"/>
          <w:marRight w:val="0"/>
          <w:marTop w:val="240"/>
          <w:marBottom w:val="0"/>
          <w:divBdr>
            <w:top w:val="none" w:sz="0" w:space="0" w:color="auto"/>
            <w:left w:val="none" w:sz="0" w:space="0" w:color="auto"/>
            <w:bottom w:val="none" w:sz="0" w:space="0" w:color="auto"/>
            <w:right w:val="none" w:sz="0" w:space="0" w:color="auto"/>
          </w:divBdr>
        </w:div>
      </w:divsChild>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730</Words>
  <Characters>3457</Characters>
  <Application>Microsoft Office Word</Application>
  <DocSecurity>0</DocSecurity>
  <Lines>69</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3</cp:revision>
  <dcterms:created xsi:type="dcterms:W3CDTF">2019-08-15T21:15:00Z</dcterms:created>
  <dcterms:modified xsi:type="dcterms:W3CDTF">2019-08-15T21:16:00Z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2ca13874-dc3b-4ee8-bf34-0f39559e8656</vt:lpwstr>
  </property>
  <property fmtid="{D5CDD505-2E9C-101B-9397-08002B2CF9AE}" pid="3" name="CTP_BU">
    <vt:lpwstr>NEXT GEN &amp; STANDARDS GROUP</vt:lpwstr>
  </property>
  <property fmtid="{D5CDD505-2E9C-101B-9397-08002B2CF9AE}" pid="4" name="CTP_TimeStamp">
    <vt:lpwstr>2019-08-15 21:16:01Z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