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F20C4" w14:textId="7B973C3C" w:rsidR="005F4BE8" w:rsidRPr="00943E97" w:rsidRDefault="005F4BE8" w:rsidP="005F4BE8">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35D8DD17" wp14:editId="5BA685AF">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F7C382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#107</w:t>
      </w:r>
      <w:r>
        <w:rPr>
          <w:rFonts w:hint="eastAsia"/>
          <w:color w:val="auto"/>
          <w:sz w:val="24"/>
          <w:lang w:eastAsia="zh-CN"/>
        </w:rPr>
        <w:tab/>
      </w:r>
      <w:r>
        <w:rPr>
          <w:color w:val="auto"/>
          <w:sz w:val="24"/>
          <w:lang w:eastAsia="zh-CN"/>
        </w:rPr>
        <w:tab/>
      </w:r>
      <w:r w:rsidR="004F57CC">
        <w:rPr>
          <w:color w:val="auto"/>
          <w:sz w:val="24"/>
          <w:lang w:eastAsia="zh-CN"/>
        </w:rPr>
        <w:t xml:space="preserve">   </w:t>
      </w:r>
      <w:r w:rsidRPr="00BF708D">
        <w:rPr>
          <w:i/>
          <w:color w:val="auto"/>
          <w:sz w:val="24"/>
        </w:rPr>
        <w:t>R2-</w:t>
      </w:r>
      <w:r>
        <w:rPr>
          <w:i/>
          <w:color w:val="auto"/>
          <w:sz w:val="24"/>
        </w:rPr>
        <w:t>1</w:t>
      </w:r>
      <w:r>
        <w:rPr>
          <w:i/>
          <w:color w:val="auto"/>
          <w:sz w:val="24"/>
          <w:lang w:eastAsia="zh-CN"/>
        </w:rPr>
        <w:t>9</w:t>
      </w:r>
      <w:r w:rsidR="004F57CC">
        <w:rPr>
          <w:i/>
          <w:color w:val="auto"/>
          <w:sz w:val="24"/>
          <w:lang w:eastAsia="zh-CN"/>
        </w:rPr>
        <w:t>10455</w:t>
      </w:r>
    </w:p>
    <w:p w14:paraId="2AE6D984" w14:textId="3A17B552" w:rsidR="007E1DEE" w:rsidRDefault="005F4BE8" w:rsidP="00C262CA">
      <w:r w:rsidRPr="005F4BE8">
        <w:rPr>
          <w:b/>
          <w:sz w:val="24"/>
        </w:rPr>
        <w:t>Prague, Czech, 26 – 30 August</w:t>
      </w:r>
      <w:r w:rsidRPr="005F4BE8">
        <w:rPr>
          <w:rFonts w:hint="eastAsia"/>
          <w:b/>
          <w:sz w:val="24"/>
        </w:rPr>
        <w:t>, 2019</w:t>
      </w:r>
      <w:r>
        <w:rPr>
          <w:b/>
          <w:sz w:val="24"/>
        </w:rPr>
        <w:tab/>
      </w:r>
      <w:r w:rsidR="00C262CA">
        <w:rPr>
          <w:sz w:val="24"/>
          <w:lang w:eastAsia="zh-CN"/>
        </w:rPr>
        <w:tab/>
      </w:r>
      <w:r w:rsidR="00C262CA">
        <w:rPr>
          <w:sz w:val="24"/>
          <w:lang w:eastAsia="zh-CN"/>
        </w:rPr>
        <w:tab/>
      </w:r>
      <w:r w:rsidR="00C262CA">
        <w:rPr>
          <w:sz w:val="24"/>
          <w:lang w:eastAsia="zh-CN"/>
        </w:rPr>
        <w:tab/>
      </w:r>
      <w:r w:rsidR="00E25C82">
        <w:rPr>
          <w:sz w:val="24"/>
          <w:lang w:eastAsia="zh-CN"/>
        </w:rPr>
        <w:tab/>
      </w:r>
      <w:r w:rsidR="00C262CA" w:rsidRPr="00C262CA">
        <w:rPr>
          <w:b/>
          <w:i/>
          <w:szCs w:val="18"/>
          <w:lang w:eastAsia="zh-CN"/>
        </w:rPr>
        <w:t>(</w:t>
      </w:r>
      <w:r w:rsidR="00E25C82">
        <w:rPr>
          <w:b/>
          <w:i/>
          <w:szCs w:val="18"/>
          <w:lang w:eastAsia="zh-CN"/>
        </w:rPr>
        <w:t>revision</w:t>
      </w:r>
      <w:r w:rsidR="00C262CA" w:rsidRPr="00C262CA">
        <w:rPr>
          <w:b/>
          <w:i/>
          <w:szCs w:val="18"/>
          <w:lang w:eastAsia="zh-CN"/>
        </w:rPr>
        <w:t xml:space="preserve"> of R2-190</w:t>
      </w:r>
      <w:r>
        <w:rPr>
          <w:b/>
          <w:i/>
          <w:szCs w:val="18"/>
          <w:lang w:eastAsia="zh-CN"/>
        </w:rPr>
        <w:t>6344</w:t>
      </w:r>
      <w:r w:rsidR="00C262CA" w:rsidRPr="00C262CA">
        <w:rPr>
          <w:b/>
          <w:i/>
          <w:szCs w:val="18"/>
          <w:lang w:eastAsia="zh-CN"/>
        </w:rPr>
        <w:t>)</w:t>
      </w:r>
    </w:p>
    <w:p w14:paraId="2AE6D985" w14:textId="1E6D106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64369D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235DA">
        <w:rPr>
          <w:rFonts w:ascii="Arial" w:hAnsi="Arial"/>
          <w:b/>
          <w:sz w:val="24"/>
          <w:lang w:val="en-US"/>
        </w:rPr>
        <w:t xml:space="preserve">Discussion </w:t>
      </w:r>
      <w:r w:rsidR="00306489">
        <w:rPr>
          <w:rFonts w:ascii="Arial" w:hAnsi="Arial"/>
          <w:b/>
          <w:sz w:val="24"/>
          <w:lang w:val="en-US"/>
        </w:rPr>
        <w:t>on the interpretation of NW assigned capability</w:t>
      </w:r>
      <w:r w:rsidR="00A74C90">
        <w:rPr>
          <w:rFonts w:ascii="Arial" w:hAnsi="Arial"/>
          <w:b/>
          <w:sz w:val="24"/>
          <w:lang w:val="en-US"/>
        </w:rPr>
        <w:t xml:space="preserve"> ID</w:t>
      </w:r>
      <w:r w:rsidR="00306489">
        <w:rPr>
          <w:rFonts w:ascii="Arial" w:hAnsi="Arial"/>
          <w:b/>
          <w:sz w:val="24"/>
          <w:lang w:val="en-US"/>
        </w:rPr>
        <w:t xml:space="preserve"> </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961158E" w14:textId="27A59096" w:rsidR="001C70F2" w:rsidRDefault="00306489" w:rsidP="001235DA">
      <w:r>
        <w:t xml:space="preserve">In [1] SA2 </w:t>
      </w:r>
      <w:r w:rsidR="00B76FD7">
        <w:t>has</w:t>
      </w:r>
      <w:r>
        <w:t xml:space="preserve"> conclude</w:t>
      </w:r>
      <w:r w:rsidR="00B76FD7">
        <w:t>d</w:t>
      </w:r>
      <w:r>
        <w:t xml:space="preserve"> on the SI for RACS. In the TR, the below NOTE is added on how the NW nodes can use the RAT container capabilities provided by the UE.</w:t>
      </w:r>
      <w:bookmarkStart w:id="2" w:name="_GoBack"/>
      <w:bookmarkEnd w:id="2"/>
    </w:p>
    <w:p w14:paraId="79C8BF88" w14:textId="77777777" w:rsidR="00B76FD7" w:rsidRDefault="00B76FD7" w:rsidP="00B76FD7">
      <w:pPr>
        <w:pStyle w:val="NO"/>
      </w:pPr>
      <w:r>
        <w:t xml:space="preserve">NOTE 5:   Signalling of additional UE radio capabilities with per-RAT granularity is supported with current RAN specifications e.g. </w:t>
      </w:r>
      <w:r>
        <w:rPr>
          <w:highlight w:val="yellow"/>
        </w:rPr>
        <w:t>if RAN already has UE radio capability corresponding to RAT1, it can acquire the additional UE radio capability corresponding to RAT2, combine the two and send them to 5GC which can then assign a new UE Capability ID corresponding to the sum of the old capability (RAT1) and the additional capability (RAT2).</w:t>
      </w:r>
    </w:p>
    <w:p w14:paraId="7120F2CC" w14:textId="6E675AB5" w:rsidR="003A622A" w:rsidRPr="003A622A" w:rsidRDefault="003A622A" w:rsidP="003A622A">
      <w:r>
        <w:t xml:space="preserve">Also, based on the last SA2 meeting, the following was added to TS 23.501 on </w:t>
      </w:r>
      <w:r w:rsidRPr="003A622A">
        <w:t>what the UE is supposed to store together with PLMN-assigned UE Capability ID.</w:t>
      </w:r>
    </w:p>
    <w:p w14:paraId="180F62C4" w14:textId="77777777" w:rsidR="003A622A" w:rsidRPr="003A622A" w:rsidRDefault="003A622A" w:rsidP="003A622A">
      <w:pPr>
        <w:pStyle w:val="ListParagraph"/>
        <w:numPr>
          <w:ilvl w:val="0"/>
          <w:numId w:val="45"/>
        </w:numPr>
        <w:spacing w:line="256" w:lineRule="auto"/>
      </w:pPr>
      <w:r w:rsidRPr="003A622A">
        <w:t>PLMN that assigned the UE Capability ID</w:t>
      </w:r>
    </w:p>
    <w:p w14:paraId="214CA6FD" w14:textId="77777777" w:rsidR="003A622A" w:rsidRPr="003A622A" w:rsidRDefault="003A622A" w:rsidP="003A622A">
      <w:pPr>
        <w:pStyle w:val="ListParagraph"/>
        <w:numPr>
          <w:ilvl w:val="0"/>
          <w:numId w:val="45"/>
        </w:numPr>
        <w:spacing w:line="256" w:lineRule="auto"/>
      </w:pPr>
      <w:r w:rsidRPr="003A622A">
        <w:t>UE configuration (e.g. whether or not GERAN or UTRAN or MBMS is enabled/disabled).</w:t>
      </w:r>
    </w:p>
    <w:p w14:paraId="14AEEAB7" w14:textId="77777777" w:rsidR="003A622A" w:rsidRPr="00F66DA1" w:rsidRDefault="003A622A" w:rsidP="003A622A">
      <w:pPr>
        <w:pStyle w:val="ListParagraph"/>
        <w:numPr>
          <w:ilvl w:val="0"/>
          <w:numId w:val="45"/>
        </w:numPr>
        <w:spacing w:line="256" w:lineRule="auto"/>
        <w:rPr>
          <w:highlight w:val="yellow"/>
        </w:rPr>
      </w:pPr>
      <w:r w:rsidRPr="00F66DA1">
        <w:rPr>
          <w:highlight w:val="yellow"/>
        </w:rPr>
        <w:t>The UE does not need to store the access stratum information.</w:t>
      </w:r>
    </w:p>
    <w:p w14:paraId="633B7EDB" w14:textId="25A59C43" w:rsidR="00F66DA1" w:rsidRDefault="001235DA" w:rsidP="001235DA">
      <w:r>
        <w:t xml:space="preserve">In this contribution, we discuss on </w:t>
      </w:r>
      <w:r w:rsidR="00306489">
        <w:t xml:space="preserve">the impact </w:t>
      </w:r>
      <w:r w:rsidR="00F66DA1">
        <w:t>from the above in RAN2 on how the UE should view the NW assigned capability ID, including whether any changes to RRC signalling are needed at all.</w:t>
      </w:r>
    </w:p>
    <w:p w14:paraId="2AE6D98D" w14:textId="77777777" w:rsidR="003E1A61" w:rsidRDefault="003E1A61" w:rsidP="00F13226">
      <w:pPr>
        <w:pStyle w:val="Heading1"/>
      </w:pPr>
      <w:r>
        <w:t>Discussion</w:t>
      </w:r>
    </w:p>
    <w:p w14:paraId="7AB15C91" w14:textId="78913982" w:rsidR="008A7787" w:rsidRDefault="00927C34" w:rsidP="008A7787">
      <w:pPr>
        <w:pStyle w:val="Heading2"/>
      </w:pPr>
      <w:r>
        <w:t>UE capability from the UE perspective</w:t>
      </w:r>
    </w:p>
    <w:p w14:paraId="28779370" w14:textId="0C51D966" w:rsidR="004559E9" w:rsidRDefault="004559E9" w:rsidP="002F0CA0">
      <w:r>
        <w:t xml:space="preserve">Based on the agreements made in RAN2-105, the UE currently associates the NW assigned capability to the capability content it has transferred </w:t>
      </w:r>
      <w:r w:rsidR="00BE0407">
        <w:t>earlier</w:t>
      </w:r>
      <w:r>
        <w:t>.</w:t>
      </w:r>
    </w:p>
    <w:p w14:paraId="2A728E8B"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Agreements for PLMN assigned capability ID</w:t>
      </w:r>
    </w:p>
    <w:p w14:paraId="07D33BDF"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1</w:t>
      </w:r>
      <w:r w:rsidRPr="004559E9">
        <w:rPr>
          <w:color w:val="auto"/>
        </w:rPr>
        <w:tab/>
        <w:t xml:space="preserve">It is possible for the network to use different filters in different parts of the PLMN </w:t>
      </w:r>
    </w:p>
    <w:p w14:paraId="4DAC9787"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FFS: Whether any extensions to the current filter mechanism are needed.</w:t>
      </w:r>
    </w:p>
    <w:p w14:paraId="713DF4C0"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2</w:t>
      </w:r>
      <w:r w:rsidRPr="004559E9">
        <w:rPr>
          <w:color w:val="auto"/>
        </w:rPr>
        <w:tab/>
        <w:t xml:space="preserve">UE provides capability to the network based on the filter and </w:t>
      </w:r>
      <w:r w:rsidRPr="004559E9">
        <w:rPr>
          <w:color w:val="auto"/>
          <w:highlight w:val="yellow"/>
        </w:rPr>
        <w:t>if an ID is assigned then the ID is associated to whatever capabilities it has transferred earlier.</w:t>
      </w:r>
      <w:r w:rsidRPr="004559E9">
        <w:rPr>
          <w:color w:val="auto"/>
        </w:rPr>
        <w:t xml:space="preserve">  </w:t>
      </w:r>
    </w:p>
    <w:p w14:paraId="70E35A5D"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3</w:t>
      </w:r>
      <w:r w:rsidRPr="004559E9">
        <w:rPr>
          <w:color w:val="auto"/>
        </w:rPr>
        <w:tab/>
        <w:t>The Capability ID is unique within a PLMN - i.e. the UE can provide to capability ID anywhere within this PLMN (this does not imply that Capability ID to capability set mapping needs to be known throughout the PLMN)</w:t>
      </w:r>
    </w:p>
    <w:p w14:paraId="2AE19089" w14:textId="77777777" w:rsidR="004559E9" w:rsidRDefault="004559E9" w:rsidP="002F0CA0"/>
    <w:p w14:paraId="357B7036" w14:textId="77777777" w:rsidR="00B0654E" w:rsidRDefault="00B0654E" w:rsidP="002F0CA0">
      <w:r>
        <w:t>Consider the below scenario where the PLMN combines the capability containers before assigning an ID.</w:t>
      </w:r>
    </w:p>
    <w:tbl>
      <w:tblPr>
        <w:tblStyle w:val="TableGrid"/>
        <w:tblW w:w="0" w:type="auto"/>
        <w:tblLook w:val="04A0" w:firstRow="1" w:lastRow="0" w:firstColumn="1" w:lastColumn="0" w:noHBand="0" w:noVBand="1"/>
      </w:tblPr>
      <w:tblGrid>
        <w:gridCol w:w="9016"/>
      </w:tblGrid>
      <w:tr w:rsidR="00244787" w14:paraId="43BB629D" w14:textId="77777777" w:rsidTr="00C65AA6">
        <w:tc>
          <w:tcPr>
            <w:tcW w:w="9016" w:type="dxa"/>
          </w:tcPr>
          <w:p w14:paraId="0A1787A4" w14:textId="1AE74EB2" w:rsidR="00244787" w:rsidRDefault="001D738E" w:rsidP="001D738E">
            <w:r>
              <w:object w:dxaOrig="13396" w:dyaOrig="10606" w14:anchorId="1599F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57pt" o:ole="">
                  <v:imagedata r:id="rId11" o:title=""/>
                </v:shape>
                <o:OLEObject Type="Embed" ProgID="Visio.Drawing.15" ShapeID="_x0000_i1025" DrawAspect="Content" ObjectID="_1627383935" r:id="rId12"/>
              </w:object>
            </w:r>
            <w:r w:rsidDel="001D738E">
              <w:t xml:space="preserve"> </w:t>
            </w:r>
            <w:r>
              <w:t xml:space="preserve"> </w:t>
            </w:r>
          </w:p>
        </w:tc>
      </w:tr>
    </w:tbl>
    <w:p w14:paraId="06C2F82E" w14:textId="77777777" w:rsidR="00244787" w:rsidRPr="00044FAB" w:rsidRDefault="00244787" w:rsidP="00244787">
      <w:pPr>
        <w:jc w:val="center"/>
        <w:rPr>
          <w:b/>
        </w:rPr>
      </w:pPr>
      <w:r>
        <w:t xml:space="preserve"> </w:t>
      </w:r>
      <w:r>
        <w:rPr>
          <w:b/>
        </w:rPr>
        <w:t>Figure 1: NAS assignment of capability ID where the UE does not know the containers reflecting the ID</w:t>
      </w:r>
    </w:p>
    <w:p w14:paraId="00B7B9B5" w14:textId="571AFC44" w:rsidR="00244787" w:rsidRDefault="00244787" w:rsidP="00244787">
      <w:pPr>
        <w:rPr>
          <w:b/>
        </w:rPr>
      </w:pPr>
      <w:r>
        <w:rPr>
          <w:b/>
        </w:rPr>
        <w:t>Observation 1: Whenever the UE gets assigned a capability ID (PLMN based) in NAS signalling, it is not clear at the UE which containers reflect this capability ID</w:t>
      </w:r>
    </w:p>
    <w:p w14:paraId="20E3EA41" w14:textId="7D51A514" w:rsidR="00244787" w:rsidRDefault="00244787" w:rsidP="00244787">
      <w:r>
        <w:t xml:space="preserve">While this looks a bit ambiguous, this already happens in legacy conditions where the UE just provides the containers it is requested and does not quite know what containers the NW has already. </w:t>
      </w:r>
    </w:p>
    <w:p w14:paraId="1A58D03C" w14:textId="7264FA3E" w:rsidR="009F3D43" w:rsidRDefault="009F3D43" w:rsidP="009F3D43">
      <w:r>
        <w:t xml:space="preserve">To start with, the </w:t>
      </w:r>
      <w:r w:rsidRPr="002F11B2">
        <w:rPr>
          <w:i/>
        </w:rPr>
        <w:t>eutra-nr</w:t>
      </w:r>
      <w:r>
        <w:t xml:space="preserve"> and </w:t>
      </w:r>
      <w:r w:rsidRPr="002F11B2">
        <w:rPr>
          <w:i/>
        </w:rPr>
        <w:t>nr</w:t>
      </w:r>
      <w:r>
        <w:t xml:space="preserve"> containers both carry parts of </w:t>
      </w:r>
      <w:r w:rsidR="00793926">
        <w:t xml:space="preserve">the </w:t>
      </w:r>
      <w:r>
        <w:t xml:space="preserve">MR-DC capabilities of the UE. The impact from this is that for the NW to ‘combine’ different containers to form a unified capability for the UE, the filters that are associated with </w:t>
      </w:r>
      <w:r w:rsidR="00793926">
        <w:t xml:space="preserve">all </w:t>
      </w:r>
      <w:r>
        <w:t>the containers have to be consistent. This is already agreed in rel-15.</w:t>
      </w:r>
    </w:p>
    <w:p w14:paraId="5C395C65" w14:textId="2DEB0609" w:rsidR="009F3D43" w:rsidRDefault="009F3D43" w:rsidP="009F3D43">
      <w:r>
        <w:t>The exception</w:t>
      </w:r>
      <w:r w:rsidR="00FF53AA">
        <w:t>s are</w:t>
      </w:r>
      <w:r>
        <w:t xml:space="preserve"> for LTE </w:t>
      </w:r>
      <w:r w:rsidR="00FF53AA">
        <w:t xml:space="preserve">and NR </w:t>
      </w:r>
      <w:r>
        <w:t>SA container</w:t>
      </w:r>
      <w:r w:rsidR="00FF53AA">
        <w:t xml:space="preserve"> when used for standalone opeartion</w:t>
      </w:r>
      <w:r>
        <w:t xml:space="preserve">, which has all the needed capabilities in </w:t>
      </w:r>
      <w:r>
        <w:rPr>
          <w:i/>
        </w:rPr>
        <w:t xml:space="preserve">eutra </w:t>
      </w:r>
      <w:r w:rsidR="00FF53AA">
        <w:rPr>
          <w:i/>
        </w:rPr>
        <w:t xml:space="preserve">and nr </w:t>
      </w:r>
      <w:r>
        <w:t xml:space="preserve">containerBut the featureSets present in </w:t>
      </w:r>
      <w:r>
        <w:rPr>
          <w:i/>
        </w:rPr>
        <w:t xml:space="preserve">eutra </w:t>
      </w:r>
      <w:r>
        <w:t>container meant for MR-DC capabilities can potentially be re-used for LTE SA operation (as part of future size reduction optimizations).</w:t>
      </w:r>
    </w:p>
    <w:p w14:paraId="1F9A7D4A" w14:textId="2F864E6D" w:rsidR="009F3D43" w:rsidRPr="00196876" w:rsidRDefault="009F3D43" w:rsidP="009F3D43">
      <w:pPr>
        <w:rPr>
          <w:b/>
        </w:rPr>
      </w:pPr>
      <w:r>
        <w:rPr>
          <w:b/>
        </w:rPr>
        <w:t>Observation 2: In NR and LTE, the usage of references to featureSets imply that there is dependency between the RAT containers.</w:t>
      </w:r>
    </w:p>
    <w:p w14:paraId="04C53742" w14:textId="14B18F29" w:rsidR="009F3D43" w:rsidRDefault="009F3D43" w:rsidP="009F3D43">
      <w:r>
        <w:t xml:space="preserve"> </w:t>
      </w:r>
      <w:r w:rsidR="002C24A7">
        <w:t xml:space="preserve">In </w:t>
      </w:r>
      <w:r>
        <w:t>release-15</w:t>
      </w:r>
      <w:r w:rsidR="002C24A7">
        <w:t>,</w:t>
      </w:r>
      <w:r>
        <w:t xml:space="preserve"> it is understood that the NW has to provide consistent set of filters to the UE, if the NW intends to combine containers, and that there is no requirement at the UE to store the </w:t>
      </w:r>
      <w:r w:rsidR="00BE0D2A">
        <w:lastRenderedPageBreak/>
        <w:t xml:space="preserve">requested </w:t>
      </w:r>
      <w:r>
        <w:t>filters</w:t>
      </w:r>
      <w:r w:rsidR="00BE0D2A">
        <w:t>. This further implies that</w:t>
      </w:r>
      <w:r>
        <w:t>, from release-15 , there is no requirement at the UE to ‘remember’ the capabilities it has sent.</w:t>
      </w:r>
    </w:p>
    <w:p w14:paraId="414CA082" w14:textId="228AAF5B" w:rsidR="00244787" w:rsidRDefault="00927C34" w:rsidP="00244787">
      <w:pPr>
        <w:rPr>
          <w:b/>
        </w:rPr>
      </w:pPr>
      <w:r>
        <w:rPr>
          <w:b/>
        </w:rPr>
        <w:t>Observation 3</w:t>
      </w:r>
      <w:r w:rsidR="00244787">
        <w:rPr>
          <w:b/>
        </w:rPr>
        <w:t xml:space="preserve">: </w:t>
      </w:r>
      <w:r w:rsidR="009F3D43">
        <w:rPr>
          <w:b/>
        </w:rPr>
        <w:t>The UE does not need to be aware of how the containers are combined, and there is no requirement at the UE to remember the capabilities it has sent earlier.</w:t>
      </w:r>
    </w:p>
    <w:p w14:paraId="14CB092D" w14:textId="51488805" w:rsidR="00F73B35" w:rsidRDefault="00E96B78" w:rsidP="00244787">
      <w:r>
        <w:t xml:space="preserve">Also as shown below, even though RAN2 also agreed that in rel16, the NW always provides filters in UE capability enquiry, we do not see the need for the UE to remember the filters used. This is also aligned with the SA2 agreement on the </w:t>
      </w:r>
      <w:r w:rsidR="00927C34">
        <w:t xml:space="preserve">UE </w:t>
      </w:r>
      <w:r>
        <w:t>not needing to store any AS information.</w:t>
      </w:r>
    </w:p>
    <w:p w14:paraId="3675C62B" w14:textId="391E764E" w:rsidR="00E96B78" w:rsidRPr="00F73B35" w:rsidRDefault="00927C34" w:rsidP="00244787">
      <w:pPr>
        <w:rPr>
          <w:b/>
        </w:rPr>
      </w:pPr>
      <w:r>
        <w:rPr>
          <w:b/>
        </w:rPr>
        <w:t>Observation 4</w:t>
      </w:r>
      <w:r w:rsidR="00F73B35" w:rsidRPr="00F73B35">
        <w:rPr>
          <w:b/>
        </w:rPr>
        <w:t xml:space="preserve">: </w:t>
      </w:r>
      <w:r w:rsidR="00E96B78" w:rsidRPr="00F73B35">
        <w:rPr>
          <w:b/>
        </w:rPr>
        <w:t xml:space="preserve"> </w:t>
      </w:r>
      <w:r w:rsidR="00F73B35">
        <w:rPr>
          <w:b/>
        </w:rPr>
        <w:t xml:space="preserve">The UE does not need to store the filters used for the generation of the capability containers. </w:t>
      </w:r>
    </w:p>
    <w:p w14:paraId="1C3791FD" w14:textId="6C1FC4FB" w:rsidR="00927C34" w:rsidRDefault="00927C34" w:rsidP="00927C34">
      <w:pPr>
        <w:pStyle w:val="Heading2"/>
      </w:pPr>
      <w:r>
        <w:t xml:space="preserve">Internal UE </w:t>
      </w:r>
      <w:r w:rsidR="00BE0D2A">
        <w:t xml:space="preserve">capability </w:t>
      </w:r>
      <w:r>
        <w:t>configuration</w:t>
      </w:r>
    </w:p>
    <w:p w14:paraId="4DCAB0DB" w14:textId="0DE9823A" w:rsidR="00927C34" w:rsidRDefault="00927C34" w:rsidP="00244787">
      <w:r>
        <w:t>We should also bring up the fact that certain capabilities in the UE can be turned OFF/ON from:</w:t>
      </w:r>
    </w:p>
    <w:p w14:paraId="3DF227B1" w14:textId="18B4993E" w:rsidR="00927C34" w:rsidRDefault="00927C34" w:rsidP="00927C34">
      <w:pPr>
        <w:pStyle w:val="ListParagraph"/>
        <w:numPr>
          <w:ilvl w:val="0"/>
          <w:numId w:val="45"/>
        </w:numPr>
      </w:pPr>
      <w:r>
        <w:t>UE configuration manager (by the user or through over-the-air update)</w:t>
      </w:r>
    </w:p>
    <w:p w14:paraId="1EFB49AC" w14:textId="4881C436" w:rsidR="00050B89" w:rsidRDefault="00927C34" w:rsidP="00050B89">
      <w:pPr>
        <w:pStyle w:val="ListParagraph"/>
        <w:numPr>
          <w:ilvl w:val="0"/>
          <w:numId w:val="45"/>
        </w:numPr>
      </w:pPr>
      <w:r>
        <w:t>NAS or above layers etc.</w:t>
      </w:r>
    </w:p>
    <w:p w14:paraId="66A682C1" w14:textId="7E0DAB16" w:rsidR="00927C34" w:rsidRDefault="00927C34" w:rsidP="00927C34">
      <w:pPr>
        <w:rPr>
          <w:b/>
        </w:rPr>
      </w:pPr>
      <w:r w:rsidRPr="00927C34">
        <w:rPr>
          <w:b/>
        </w:rPr>
        <w:t xml:space="preserve">Observation 5: The </w:t>
      </w:r>
      <w:r w:rsidR="00BE0D2A">
        <w:rPr>
          <w:b/>
        </w:rPr>
        <w:t xml:space="preserve">Internal </w:t>
      </w:r>
      <w:r w:rsidRPr="00927C34">
        <w:rPr>
          <w:b/>
        </w:rPr>
        <w:t>UE capabilit</w:t>
      </w:r>
      <w:r w:rsidR="00BE0D2A">
        <w:rPr>
          <w:b/>
        </w:rPr>
        <w:t xml:space="preserve">y configuration </w:t>
      </w:r>
      <w:r w:rsidRPr="00927C34">
        <w:rPr>
          <w:b/>
        </w:rPr>
        <w:t>can change based on inputs from above layers.</w:t>
      </w:r>
      <w:r>
        <w:rPr>
          <w:b/>
        </w:rPr>
        <w:t xml:space="preserve"> </w:t>
      </w:r>
      <w:r w:rsidR="00BE0D2A">
        <w:rPr>
          <w:b/>
        </w:rPr>
        <w:t>T</w:t>
      </w:r>
      <w:r>
        <w:rPr>
          <w:b/>
        </w:rPr>
        <w:t xml:space="preserve">his internal </w:t>
      </w:r>
      <w:r w:rsidR="00BE0D2A">
        <w:rPr>
          <w:b/>
        </w:rPr>
        <w:t xml:space="preserve">UE capability </w:t>
      </w:r>
      <w:r>
        <w:rPr>
          <w:b/>
        </w:rPr>
        <w:t>configuration is known at the UE and it is not relevant to the network.</w:t>
      </w:r>
      <w:r w:rsidR="00BE0D2A">
        <w:rPr>
          <w:b/>
        </w:rPr>
        <w:t xml:space="preserve"> The network only needs to know the transferred UE capabilities</w:t>
      </w:r>
      <w:r w:rsidR="00DB6A5E">
        <w:rPr>
          <w:b/>
        </w:rPr>
        <w:t xml:space="preserve"> that result from the Internal UE capability configuration.</w:t>
      </w:r>
    </w:p>
    <w:p w14:paraId="41A39CDA" w14:textId="77777777" w:rsidR="00050B89" w:rsidRPr="00927C34" w:rsidRDefault="00050B89" w:rsidP="00927C34">
      <w:pPr>
        <w:rPr>
          <w:b/>
        </w:rPr>
      </w:pPr>
    </w:p>
    <w:p w14:paraId="28030B7C" w14:textId="4AD63B81" w:rsidR="00927C34" w:rsidRDefault="00927C34" w:rsidP="00927C34">
      <w:pPr>
        <w:pStyle w:val="Heading2"/>
      </w:pPr>
      <w:r>
        <w:t>Interpretation of the NW assigned PLMN based capability ID</w:t>
      </w:r>
    </w:p>
    <w:p w14:paraId="1C9334CC" w14:textId="77777777" w:rsidR="00050B89" w:rsidRDefault="00050B89" w:rsidP="00050B89">
      <w:r>
        <w:t>If the Internal UE capability configuration changes then the UE needs to perform a registration procedure to trigger an update of the capabilities (and may or may not  provide no UE cap ID in the NAS signalling depending on whether it already has one assigned for the new Internal UE cap configuration).</w:t>
      </w:r>
    </w:p>
    <w:p w14:paraId="1058A12F" w14:textId="1F8F4F68" w:rsidR="009F3D43" w:rsidRDefault="009F3D43" w:rsidP="00244787">
      <w:r>
        <w:t xml:space="preserve">Based on the above, we propose that the earlier RAN2 agreement be </w:t>
      </w:r>
      <w:r w:rsidR="00DB6A5E">
        <w:t xml:space="preserve">revised </w:t>
      </w:r>
      <w:r>
        <w:t xml:space="preserve">such that the UE does not associate the </w:t>
      </w:r>
      <w:r w:rsidR="00DB6A5E">
        <w:t xml:space="preserve">capability </w:t>
      </w:r>
      <w:r>
        <w:t>ID with the capabilities it has sent</w:t>
      </w:r>
      <w:r w:rsidR="00F73B35">
        <w:t xml:space="preserve"> nor to the </w:t>
      </w:r>
      <w:r w:rsidR="00DB6A5E">
        <w:t xml:space="preserve">requested </w:t>
      </w:r>
      <w:r w:rsidR="00F73B35">
        <w:t>filters</w:t>
      </w:r>
      <w:r>
        <w:t>, but rather just associate</w:t>
      </w:r>
      <w:r w:rsidR="00DB6A5E">
        <w:t xml:space="preserve">s it </w:t>
      </w:r>
      <w:r>
        <w:t xml:space="preserve">to the PLMN </w:t>
      </w:r>
      <w:r w:rsidR="00DB6A5E">
        <w:t xml:space="preserve">from which </w:t>
      </w:r>
      <w:r>
        <w:t>it received</w:t>
      </w:r>
      <w:r w:rsidR="00DB6A5E">
        <w:t xml:space="preserve"> the ID</w:t>
      </w:r>
      <w:r>
        <w:t xml:space="preserve">, and to the UE internal </w:t>
      </w:r>
      <w:r w:rsidR="00DB6A5E">
        <w:t xml:space="preserve">UE capability </w:t>
      </w:r>
      <w:r>
        <w:t xml:space="preserve">configuration that resulted in the capabilities. </w:t>
      </w:r>
    </w:p>
    <w:p w14:paraId="0C1AD3A3" w14:textId="5E4750C9" w:rsidR="0043388B" w:rsidRDefault="00244787" w:rsidP="009F3D43">
      <w:pPr>
        <w:rPr>
          <w:b/>
        </w:rPr>
      </w:pPr>
      <w:r w:rsidRPr="006147F5">
        <w:rPr>
          <w:b/>
        </w:rPr>
        <w:t>Proposal</w:t>
      </w:r>
      <w:r>
        <w:rPr>
          <w:b/>
        </w:rPr>
        <w:t xml:space="preserve"> 1</w:t>
      </w:r>
      <w:r w:rsidRPr="006147F5">
        <w:rPr>
          <w:b/>
        </w:rPr>
        <w:t xml:space="preserve">: </w:t>
      </w:r>
      <w:r w:rsidR="009F3D43">
        <w:rPr>
          <w:b/>
        </w:rPr>
        <w:t>The</w:t>
      </w:r>
      <w:r w:rsidR="009F3D43" w:rsidRPr="006147F5">
        <w:rPr>
          <w:b/>
        </w:rPr>
        <w:t xml:space="preserve"> UE associate</w:t>
      </w:r>
      <w:r w:rsidR="00DB6A5E">
        <w:rPr>
          <w:b/>
        </w:rPr>
        <w:t>s</w:t>
      </w:r>
      <w:r w:rsidR="009F3D43" w:rsidRPr="006147F5">
        <w:rPr>
          <w:b/>
        </w:rPr>
        <w:t xml:space="preserve"> the NW assigned capability ID to </w:t>
      </w:r>
      <w:r w:rsidR="009F3D43">
        <w:rPr>
          <w:b/>
        </w:rPr>
        <w:t xml:space="preserve">the PLMN in which the ID is assigned and to </w:t>
      </w:r>
      <w:r w:rsidR="00927C34">
        <w:rPr>
          <w:b/>
        </w:rPr>
        <w:t xml:space="preserve">the internal </w:t>
      </w:r>
      <w:r w:rsidR="00DB6A5E">
        <w:rPr>
          <w:b/>
        </w:rPr>
        <w:t xml:space="preserve">UE capability </w:t>
      </w:r>
      <w:r w:rsidR="00927C34">
        <w:rPr>
          <w:b/>
        </w:rPr>
        <w:t xml:space="preserve">configuration </w:t>
      </w:r>
      <w:r w:rsidR="00B23A32">
        <w:rPr>
          <w:b/>
        </w:rPr>
        <w:t xml:space="preserve">at the time the ID is received. </w:t>
      </w:r>
    </w:p>
    <w:p w14:paraId="3A1DA56B" w14:textId="4F78497F" w:rsidR="009F3D43" w:rsidRPr="006147F5" w:rsidRDefault="0043388B" w:rsidP="009F3D43">
      <w:pPr>
        <w:rPr>
          <w:b/>
        </w:rPr>
      </w:pPr>
      <w:r>
        <w:rPr>
          <w:b/>
        </w:rPr>
        <w:t xml:space="preserve">Proposal 2: </w:t>
      </w:r>
      <w:r w:rsidR="00814B83">
        <w:rPr>
          <w:b/>
        </w:rPr>
        <w:t>The UE does not associate the PLMN ID to the filters used in providing the capability containers</w:t>
      </w:r>
      <w:r>
        <w:rPr>
          <w:b/>
        </w:rPr>
        <w:t xml:space="preserve"> and does not associate the PLMN ID to the capability containers that were transferred earlier</w:t>
      </w:r>
      <w:r w:rsidR="00814B83">
        <w:rPr>
          <w:b/>
        </w:rPr>
        <w:t xml:space="preserve">. </w:t>
      </w:r>
    </w:p>
    <w:p w14:paraId="0A7A49A6" w14:textId="347CBCBE" w:rsidR="004559E9" w:rsidRDefault="004559E9" w:rsidP="002F0CA0"/>
    <w:p w14:paraId="2AE6D99F" w14:textId="77777777" w:rsidR="00FB082B" w:rsidRPr="003A28F3" w:rsidRDefault="00FB082B" w:rsidP="006D66EA">
      <w:pPr>
        <w:pStyle w:val="Heading1"/>
      </w:pPr>
      <w:r w:rsidRPr="003A28F3">
        <w:t xml:space="preserve">Conclusion and </w:t>
      </w:r>
      <w:r w:rsidRPr="006D66EA">
        <w:t>proposals</w:t>
      </w:r>
    </w:p>
    <w:p w14:paraId="0D0BCC07" w14:textId="77777777" w:rsidR="007E5754" w:rsidRDefault="007E5754" w:rsidP="007E5754">
      <w:pPr>
        <w:rPr>
          <w:b/>
        </w:rPr>
      </w:pPr>
    </w:p>
    <w:p w14:paraId="33B26CE8" w14:textId="77777777" w:rsidR="007E5754" w:rsidRDefault="007E5754" w:rsidP="007E5754">
      <w:pPr>
        <w:rPr>
          <w:b/>
        </w:rPr>
      </w:pPr>
    </w:p>
    <w:p w14:paraId="5F2B6D7C" w14:textId="77777777" w:rsidR="007E5754" w:rsidRDefault="007E5754" w:rsidP="007E5754">
      <w:pPr>
        <w:rPr>
          <w:b/>
        </w:rPr>
      </w:pPr>
      <w:r>
        <w:rPr>
          <w:b/>
        </w:rPr>
        <w:t>Observation 1: Whenever the UE gets assigned a capability ID (PLMN based) in NAS signalling, it is not clear at the UE which containers reflect this capability ID</w:t>
      </w:r>
    </w:p>
    <w:p w14:paraId="567E43F9" w14:textId="77777777" w:rsidR="007E5754" w:rsidRPr="00196876" w:rsidRDefault="007E5754" w:rsidP="007E5754">
      <w:pPr>
        <w:rPr>
          <w:b/>
        </w:rPr>
      </w:pPr>
      <w:r>
        <w:rPr>
          <w:b/>
        </w:rPr>
        <w:lastRenderedPageBreak/>
        <w:t>Observation 2: In NR and LTE, the usage of references to featureSets imply that there is dependency between the RAT containers.</w:t>
      </w:r>
    </w:p>
    <w:p w14:paraId="0E1E1BA7" w14:textId="77777777" w:rsidR="007E5754" w:rsidRDefault="007E5754" w:rsidP="007E5754">
      <w:pPr>
        <w:rPr>
          <w:b/>
        </w:rPr>
      </w:pPr>
      <w:r>
        <w:rPr>
          <w:b/>
        </w:rPr>
        <w:t>Observation 3: The UE does not need to be aware of how the containers are combined, and there is no requirement at the UE to remember the capabilities it has sent earlier.</w:t>
      </w:r>
    </w:p>
    <w:p w14:paraId="070BF593" w14:textId="77777777" w:rsidR="007E5754" w:rsidRPr="00F73B35" w:rsidRDefault="007E5754" w:rsidP="007E5754">
      <w:pPr>
        <w:rPr>
          <w:b/>
        </w:rPr>
      </w:pPr>
      <w:r>
        <w:rPr>
          <w:b/>
        </w:rPr>
        <w:t>Observation 4</w:t>
      </w:r>
      <w:r w:rsidRPr="00F73B35">
        <w:rPr>
          <w:b/>
        </w:rPr>
        <w:t xml:space="preserve">:  </w:t>
      </w:r>
      <w:r>
        <w:rPr>
          <w:b/>
        </w:rPr>
        <w:t xml:space="preserve">The UE does not need to store the filters used for the generation of the capability containers. </w:t>
      </w:r>
    </w:p>
    <w:p w14:paraId="71FDC4EC" w14:textId="13305AF6" w:rsidR="007E5754" w:rsidRDefault="007E5754" w:rsidP="007E5754">
      <w:pPr>
        <w:rPr>
          <w:b/>
        </w:rPr>
      </w:pPr>
      <w:r w:rsidRPr="00927C34">
        <w:rPr>
          <w:b/>
        </w:rPr>
        <w:t xml:space="preserve">Observation 5: The </w:t>
      </w:r>
      <w:r>
        <w:rPr>
          <w:b/>
        </w:rPr>
        <w:t xml:space="preserve">Internal </w:t>
      </w:r>
      <w:r w:rsidRPr="00927C34">
        <w:rPr>
          <w:b/>
        </w:rPr>
        <w:t>UE capabilit</w:t>
      </w:r>
      <w:r>
        <w:rPr>
          <w:b/>
        </w:rPr>
        <w:t xml:space="preserve">y configuration </w:t>
      </w:r>
      <w:r w:rsidRPr="00927C34">
        <w:rPr>
          <w:b/>
        </w:rPr>
        <w:t>can change based on inputs from above layers.</w:t>
      </w:r>
      <w:r>
        <w:rPr>
          <w:b/>
        </w:rPr>
        <w:t xml:space="preserve"> This internal UE capability configuration is known at the UE and it is not relevant to the network. The network only needs to know the transferred UE capabilities that result from the Internal UE capability configuration.</w:t>
      </w:r>
    </w:p>
    <w:p w14:paraId="5F08DC71" w14:textId="77777777" w:rsidR="007E5754" w:rsidRDefault="007E5754" w:rsidP="007E5754">
      <w:pPr>
        <w:rPr>
          <w:b/>
        </w:rPr>
      </w:pPr>
    </w:p>
    <w:p w14:paraId="7123C253" w14:textId="01EA3A6E" w:rsidR="007E5754" w:rsidRDefault="007E5754" w:rsidP="007E5754">
      <w:pPr>
        <w:rPr>
          <w:b/>
        </w:rPr>
      </w:pPr>
      <w:r w:rsidRPr="006147F5">
        <w:rPr>
          <w:b/>
        </w:rPr>
        <w:t>Proposal</w:t>
      </w:r>
      <w:r>
        <w:rPr>
          <w:b/>
        </w:rPr>
        <w:t xml:space="preserve"> 1</w:t>
      </w:r>
      <w:r w:rsidRPr="006147F5">
        <w:rPr>
          <w:b/>
        </w:rPr>
        <w:t xml:space="preserve">: </w:t>
      </w:r>
      <w:r>
        <w:rPr>
          <w:b/>
        </w:rPr>
        <w:t>The</w:t>
      </w:r>
      <w:r w:rsidRPr="006147F5">
        <w:rPr>
          <w:b/>
        </w:rPr>
        <w:t xml:space="preserve"> UE associate</w:t>
      </w:r>
      <w:r>
        <w:rPr>
          <w:b/>
        </w:rPr>
        <w:t>s</w:t>
      </w:r>
      <w:r w:rsidRPr="006147F5">
        <w:rPr>
          <w:b/>
        </w:rPr>
        <w:t xml:space="preserve"> the NW assigned capability ID to </w:t>
      </w:r>
      <w:r>
        <w:rPr>
          <w:b/>
        </w:rPr>
        <w:t xml:space="preserve">the PLMN in which the ID is assigned and to the internal UE capability configuration at the time the ID is received. </w:t>
      </w:r>
    </w:p>
    <w:p w14:paraId="03E2EC4F" w14:textId="77777777" w:rsidR="007E5754" w:rsidRPr="006147F5" w:rsidRDefault="007E5754" w:rsidP="007E5754">
      <w:pPr>
        <w:rPr>
          <w:b/>
        </w:rPr>
      </w:pPr>
      <w:r>
        <w:rPr>
          <w:b/>
        </w:rPr>
        <w:t xml:space="preserve">Proposal 2: The UE does not associate the PLMN ID to the filters used in providing the capability containers and does not associate the PLMN ID to the capability containers that were transferred earlier. </w:t>
      </w:r>
    </w:p>
    <w:p w14:paraId="5CFA1EDF" w14:textId="77777777" w:rsidR="00B76FD7" w:rsidRDefault="00B76FD7" w:rsidP="00FB082B"/>
    <w:p w14:paraId="65F1A3F7" w14:textId="1C2A8219" w:rsidR="00B76FD7" w:rsidRPr="003A28F3" w:rsidRDefault="00B76FD7" w:rsidP="00B76FD7">
      <w:pPr>
        <w:pStyle w:val="Heading1"/>
      </w:pPr>
      <w:r>
        <w:t>References</w:t>
      </w:r>
    </w:p>
    <w:p w14:paraId="12292008" w14:textId="77777777" w:rsidR="00B76FD7" w:rsidRDefault="00B76FD7" w:rsidP="00B76FD7">
      <w:pPr>
        <w:rPr>
          <w:rFonts w:ascii="Arial" w:hAnsi="Arial" w:cs="Arial"/>
          <w:color w:val="0066FF"/>
          <w:sz w:val="20"/>
          <w:szCs w:val="20"/>
        </w:rPr>
      </w:pPr>
      <w:r>
        <w:t xml:space="preserve">[1] </w:t>
      </w:r>
      <w:hyperlink r:id="rId13" w:history="1">
        <w:r>
          <w:rPr>
            <w:rStyle w:val="Hyperlink"/>
            <w:rFonts w:cs="Arial"/>
            <w:sz w:val="20"/>
            <w:szCs w:val="20"/>
          </w:rPr>
          <w:t>ftp://ftp.3gpp.org/tsg_sa/WG2_Arch/Latest_SA2_Specs/Latest_draft_S2_Specs/23743-120.zip</w:t>
        </w:r>
      </w:hyperlink>
      <w:r>
        <w:rPr>
          <w:rFonts w:ascii="Arial" w:hAnsi="Arial" w:cs="Arial"/>
          <w:color w:val="0066FF"/>
          <w:sz w:val="20"/>
          <w:szCs w:val="20"/>
        </w:rPr>
        <w:t xml:space="preserve"> </w:t>
      </w:r>
    </w:p>
    <w:p w14:paraId="022C2D4D" w14:textId="3D46D1E6" w:rsidR="00B76FD7" w:rsidRDefault="005B4D3B" w:rsidP="00B76FD7">
      <w:r>
        <w:t xml:space="preserve">[2] R2-1904461: </w:t>
      </w:r>
      <w:r w:rsidRPr="005B4D3B">
        <w:t>Discussion of the capability ID transfer from the UE</w:t>
      </w:r>
    </w:p>
    <w:p w14:paraId="027F3A71" w14:textId="77777777" w:rsidR="00B76FD7" w:rsidRDefault="00B76FD7" w:rsidP="00FB082B"/>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3D8A4" w14:textId="77777777" w:rsidR="001A593A" w:rsidRDefault="001A593A" w:rsidP="00DF7110">
      <w:pPr>
        <w:spacing w:after="0" w:line="240" w:lineRule="auto"/>
      </w:pPr>
      <w:r>
        <w:separator/>
      </w:r>
    </w:p>
  </w:endnote>
  <w:endnote w:type="continuationSeparator" w:id="0">
    <w:p w14:paraId="636A0FBC" w14:textId="77777777" w:rsidR="001A593A" w:rsidRDefault="001A593A"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E1EAD" w14:textId="77777777" w:rsidR="001A593A" w:rsidRDefault="001A593A" w:rsidP="00DF7110">
      <w:pPr>
        <w:spacing w:after="0" w:line="240" w:lineRule="auto"/>
      </w:pPr>
      <w:r>
        <w:separator/>
      </w:r>
    </w:p>
  </w:footnote>
  <w:footnote w:type="continuationSeparator" w:id="0">
    <w:p w14:paraId="7C740397" w14:textId="77777777" w:rsidR="001A593A" w:rsidRDefault="001A593A"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0396A"/>
    <w:multiLevelType w:val="hybridMultilevel"/>
    <w:tmpl w:val="DDCC75E0"/>
    <w:lvl w:ilvl="0" w:tplc="222C7E9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CE7229"/>
    <w:multiLevelType w:val="hybridMultilevel"/>
    <w:tmpl w:val="E258F85C"/>
    <w:lvl w:ilvl="0" w:tplc="92BA963C">
      <w:start w:val="1"/>
      <w:numFmt w:val="bullet"/>
      <w:lvlText w:val="-"/>
      <w:lvlJc w:val="left"/>
      <w:pPr>
        <w:ind w:left="720" w:hanging="360"/>
      </w:pPr>
      <w:rPr>
        <w:rFonts w:ascii="Calibri" w:eastAsia="SimSu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33"/>
  </w:num>
  <w:num w:numId="3">
    <w:abstractNumId w:val="30"/>
  </w:num>
  <w:num w:numId="4">
    <w:abstractNumId w:val="42"/>
  </w:num>
  <w:num w:numId="5">
    <w:abstractNumId w:val="24"/>
  </w:num>
  <w:num w:numId="6">
    <w:abstractNumId w:val="42"/>
  </w:num>
  <w:num w:numId="7">
    <w:abstractNumId w:val="43"/>
  </w:num>
  <w:num w:numId="8">
    <w:abstractNumId w:val="27"/>
  </w:num>
  <w:num w:numId="9">
    <w:abstractNumId w:val="22"/>
  </w:num>
  <w:num w:numId="10">
    <w:abstractNumId w:val="11"/>
  </w:num>
  <w:num w:numId="11">
    <w:abstractNumId w:val="32"/>
  </w:num>
  <w:num w:numId="12">
    <w:abstractNumId w:val="3"/>
  </w:num>
  <w:num w:numId="13">
    <w:abstractNumId w:val="23"/>
  </w:num>
  <w:num w:numId="14">
    <w:abstractNumId w:val="14"/>
  </w:num>
  <w:num w:numId="15">
    <w:abstractNumId w:val="16"/>
  </w:num>
  <w:num w:numId="16">
    <w:abstractNumId w:val="37"/>
  </w:num>
  <w:num w:numId="17">
    <w:abstractNumId w:val="28"/>
  </w:num>
  <w:num w:numId="18">
    <w:abstractNumId w:val="18"/>
  </w:num>
  <w:num w:numId="19">
    <w:abstractNumId w:val="41"/>
  </w:num>
  <w:num w:numId="20">
    <w:abstractNumId w:val="34"/>
  </w:num>
  <w:num w:numId="21">
    <w:abstractNumId w:val="9"/>
  </w:num>
  <w:num w:numId="22">
    <w:abstractNumId w:val="19"/>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5"/>
  </w:num>
  <w:num w:numId="25">
    <w:abstractNumId w:val="31"/>
  </w:num>
  <w:num w:numId="26">
    <w:abstractNumId w:val="17"/>
  </w:num>
  <w:num w:numId="27">
    <w:abstractNumId w:val="26"/>
  </w:num>
  <w:num w:numId="28">
    <w:abstractNumId w:val="35"/>
  </w:num>
  <w:num w:numId="29">
    <w:abstractNumId w:val="39"/>
  </w:num>
  <w:num w:numId="30">
    <w:abstractNumId w:val="25"/>
  </w:num>
  <w:num w:numId="31">
    <w:abstractNumId w:val="36"/>
  </w:num>
  <w:num w:numId="32">
    <w:abstractNumId w:val="2"/>
  </w:num>
  <w:num w:numId="33">
    <w:abstractNumId w:val="0"/>
  </w:num>
  <w:num w:numId="34">
    <w:abstractNumId w:val="13"/>
  </w:num>
  <w:num w:numId="35">
    <w:abstractNumId w:val="29"/>
  </w:num>
  <w:num w:numId="36">
    <w:abstractNumId w:val="4"/>
  </w:num>
  <w:num w:numId="37">
    <w:abstractNumId w:val="38"/>
  </w:num>
  <w:num w:numId="38">
    <w:abstractNumId w:val="21"/>
  </w:num>
  <w:num w:numId="39">
    <w:abstractNumId w:val="7"/>
  </w:num>
  <w:num w:numId="40">
    <w:abstractNumId w:val="5"/>
  </w:num>
  <w:num w:numId="41">
    <w:abstractNumId w:val="6"/>
  </w:num>
  <w:num w:numId="42">
    <w:abstractNumId w:val="40"/>
  </w:num>
  <w:num w:numId="43">
    <w:abstractNumId w:val="12"/>
  </w:num>
  <w:num w:numId="44">
    <w:abstractNumId w:val="20"/>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521"/>
    <w:rsid w:val="00043B00"/>
    <w:rsid w:val="00043F8C"/>
    <w:rsid w:val="00044FAB"/>
    <w:rsid w:val="000458A6"/>
    <w:rsid w:val="000467AB"/>
    <w:rsid w:val="000467BE"/>
    <w:rsid w:val="00046C64"/>
    <w:rsid w:val="000503D8"/>
    <w:rsid w:val="00050A6F"/>
    <w:rsid w:val="00050B89"/>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1FB"/>
    <w:rsid w:val="000E7453"/>
    <w:rsid w:val="000E7CA8"/>
    <w:rsid w:val="000E7F74"/>
    <w:rsid w:val="000F0563"/>
    <w:rsid w:val="000F0E19"/>
    <w:rsid w:val="000F0FE5"/>
    <w:rsid w:val="000F16D5"/>
    <w:rsid w:val="000F1E75"/>
    <w:rsid w:val="000F220C"/>
    <w:rsid w:val="000F33F7"/>
    <w:rsid w:val="000F375B"/>
    <w:rsid w:val="000F43AB"/>
    <w:rsid w:val="000F4AD6"/>
    <w:rsid w:val="000F6280"/>
    <w:rsid w:val="000F7296"/>
    <w:rsid w:val="00101CAC"/>
    <w:rsid w:val="001024BA"/>
    <w:rsid w:val="001032DB"/>
    <w:rsid w:val="001039BE"/>
    <w:rsid w:val="001044B5"/>
    <w:rsid w:val="00104A13"/>
    <w:rsid w:val="00105979"/>
    <w:rsid w:val="00105A16"/>
    <w:rsid w:val="00105EA4"/>
    <w:rsid w:val="001065E0"/>
    <w:rsid w:val="00106C72"/>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876"/>
    <w:rsid w:val="00196E99"/>
    <w:rsid w:val="00197C69"/>
    <w:rsid w:val="001A09BB"/>
    <w:rsid w:val="001A3BA3"/>
    <w:rsid w:val="001A3C5F"/>
    <w:rsid w:val="001A4DA3"/>
    <w:rsid w:val="001A560F"/>
    <w:rsid w:val="001A561D"/>
    <w:rsid w:val="001A593A"/>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6281"/>
    <w:rsid w:val="001B6909"/>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38E"/>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787"/>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0B5E"/>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4A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11B2"/>
    <w:rsid w:val="002F179A"/>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6489"/>
    <w:rsid w:val="00307600"/>
    <w:rsid w:val="0031134A"/>
    <w:rsid w:val="003115B7"/>
    <w:rsid w:val="003117A1"/>
    <w:rsid w:val="00312974"/>
    <w:rsid w:val="00313A61"/>
    <w:rsid w:val="00313C29"/>
    <w:rsid w:val="00314040"/>
    <w:rsid w:val="003149DD"/>
    <w:rsid w:val="00314ACD"/>
    <w:rsid w:val="0031731E"/>
    <w:rsid w:val="00317716"/>
    <w:rsid w:val="00320E16"/>
    <w:rsid w:val="003210EC"/>
    <w:rsid w:val="0032134E"/>
    <w:rsid w:val="00322459"/>
    <w:rsid w:val="0032260A"/>
    <w:rsid w:val="0032559A"/>
    <w:rsid w:val="00325E3A"/>
    <w:rsid w:val="003266E7"/>
    <w:rsid w:val="003279EB"/>
    <w:rsid w:val="00330356"/>
    <w:rsid w:val="00330C68"/>
    <w:rsid w:val="00331196"/>
    <w:rsid w:val="00331512"/>
    <w:rsid w:val="00331BC9"/>
    <w:rsid w:val="00332B79"/>
    <w:rsid w:val="0033360E"/>
    <w:rsid w:val="00334DA4"/>
    <w:rsid w:val="00334E2C"/>
    <w:rsid w:val="003361CE"/>
    <w:rsid w:val="003367FF"/>
    <w:rsid w:val="00337E8E"/>
    <w:rsid w:val="00340D92"/>
    <w:rsid w:val="00342EBF"/>
    <w:rsid w:val="003436E2"/>
    <w:rsid w:val="00343827"/>
    <w:rsid w:val="003447D9"/>
    <w:rsid w:val="0034522E"/>
    <w:rsid w:val="003469E0"/>
    <w:rsid w:val="003505E8"/>
    <w:rsid w:val="003509BF"/>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3A5F"/>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22A"/>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B16"/>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0BDA"/>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88B"/>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9E9"/>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7CC"/>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AB"/>
    <w:rsid w:val="00540EE4"/>
    <w:rsid w:val="00541413"/>
    <w:rsid w:val="00542002"/>
    <w:rsid w:val="0054242F"/>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2E32"/>
    <w:rsid w:val="00583147"/>
    <w:rsid w:val="0058431E"/>
    <w:rsid w:val="005855C7"/>
    <w:rsid w:val="00585B50"/>
    <w:rsid w:val="00585B65"/>
    <w:rsid w:val="00586287"/>
    <w:rsid w:val="005862B1"/>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4D3B"/>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3FF"/>
    <w:rsid w:val="005F35C2"/>
    <w:rsid w:val="005F428F"/>
    <w:rsid w:val="005F48E7"/>
    <w:rsid w:val="005F4BE8"/>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5DB"/>
    <w:rsid w:val="00605B0A"/>
    <w:rsid w:val="00606040"/>
    <w:rsid w:val="0060775F"/>
    <w:rsid w:val="00607A50"/>
    <w:rsid w:val="00607EF2"/>
    <w:rsid w:val="00611F8C"/>
    <w:rsid w:val="00612072"/>
    <w:rsid w:val="0061267A"/>
    <w:rsid w:val="00612817"/>
    <w:rsid w:val="00613053"/>
    <w:rsid w:val="006130DA"/>
    <w:rsid w:val="0061385B"/>
    <w:rsid w:val="006147F5"/>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3D22"/>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6460"/>
    <w:rsid w:val="006F714C"/>
    <w:rsid w:val="006F71D3"/>
    <w:rsid w:val="006F773E"/>
    <w:rsid w:val="006F7A26"/>
    <w:rsid w:val="007004CD"/>
    <w:rsid w:val="0070184D"/>
    <w:rsid w:val="007027B8"/>
    <w:rsid w:val="0070372E"/>
    <w:rsid w:val="00703D3A"/>
    <w:rsid w:val="00703E6E"/>
    <w:rsid w:val="00704556"/>
    <w:rsid w:val="0070486A"/>
    <w:rsid w:val="00705516"/>
    <w:rsid w:val="00710C4C"/>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37D"/>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926"/>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A7F91"/>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754"/>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4B83"/>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5E3"/>
    <w:rsid w:val="008526BA"/>
    <w:rsid w:val="00854744"/>
    <w:rsid w:val="00855703"/>
    <w:rsid w:val="00856631"/>
    <w:rsid w:val="00856968"/>
    <w:rsid w:val="00856B0B"/>
    <w:rsid w:val="00860521"/>
    <w:rsid w:val="00860AA1"/>
    <w:rsid w:val="00861ED2"/>
    <w:rsid w:val="008642B8"/>
    <w:rsid w:val="00864726"/>
    <w:rsid w:val="00864B1E"/>
    <w:rsid w:val="00865C64"/>
    <w:rsid w:val="00866011"/>
    <w:rsid w:val="00867185"/>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336A"/>
    <w:rsid w:val="00894F02"/>
    <w:rsid w:val="00896F96"/>
    <w:rsid w:val="008A06A9"/>
    <w:rsid w:val="008A0B8D"/>
    <w:rsid w:val="008A1905"/>
    <w:rsid w:val="008A192E"/>
    <w:rsid w:val="008A1A3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2BF3"/>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1779B"/>
    <w:rsid w:val="00920769"/>
    <w:rsid w:val="00921D6A"/>
    <w:rsid w:val="00921EAE"/>
    <w:rsid w:val="00921FB8"/>
    <w:rsid w:val="009221C1"/>
    <w:rsid w:val="009222BB"/>
    <w:rsid w:val="009231BA"/>
    <w:rsid w:val="00924524"/>
    <w:rsid w:val="009245F2"/>
    <w:rsid w:val="00925023"/>
    <w:rsid w:val="00926478"/>
    <w:rsid w:val="009272FA"/>
    <w:rsid w:val="009276ED"/>
    <w:rsid w:val="00927C34"/>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A7FA0"/>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3D43"/>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4D6F"/>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C90"/>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A26"/>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D7FBA"/>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0654E"/>
    <w:rsid w:val="00B10692"/>
    <w:rsid w:val="00B126EB"/>
    <w:rsid w:val="00B13BF3"/>
    <w:rsid w:val="00B15D2A"/>
    <w:rsid w:val="00B1695D"/>
    <w:rsid w:val="00B17719"/>
    <w:rsid w:val="00B205B6"/>
    <w:rsid w:val="00B20D44"/>
    <w:rsid w:val="00B2173C"/>
    <w:rsid w:val="00B21752"/>
    <w:rsid w:val="00B230BF"/>
    <w:rsid w:val="00B230E8"/>
    <w:rsid w:val="00B23259"/>
    <w:rsid w:val="00B237AA"/>
    <w:rsid w:val="00B237B1"/>
    <w:rsid w:val="00B23A32"/>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296"/>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6FD7"/>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9D2"/>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1E8"/>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D1"/>
    <w:rsid w:val="00BD62ED"/>
    <w:rsid w:val="00BD741D"/>
    <w:rsid w:val="00BD798F"/>
    <w:rsid w:val="00BD7BEB"/>
    <w:rsid w:val="00BE0407"/>
    <w:rsid w:val="00BE0D2A"/>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62CA"/>
    <w:rsid w:val="00C27DCD"/>
    <w:rsid w:val="00C304A1"/>
    <w:rsid w:val="00C31317"/>
    <w:rsid w:val="00C313BE"/>
    <w:rsid w:val="00C3183F"/>
    <w:rsid w:val="00C31CCD"/>
    <w:rsid w:val="00C335DF"/>
    <w:rsid w:val="00C33614"/>
    <w:rsid w:val="00C337FE"/>
    <w:rsid w:val="00C33CCE"/>
    <w:rsid w:val="00C35871"/>
    <w:rsid w:val="00C3639F"/>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1CAB"/>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20E5"/>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B6A5E"/>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418F"/>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5C82"/>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4F6C"/>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42B"/>
    <w:rsid w:val="00E9586C"/>
    <w:rsid w:val="00E967B1"/>
    <w:rsid w:val="00E96B78"/>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6DA1"/>
    <w:rsid w:val="00F7096A"/>
    <w:rsid w:val="00F70ED9"/>
    <w:rsid w:val="00F71143"/>
    <w:rsid w:val="00F71475"/>
    <w:rsid w:val="00F72EC2"/>
    <w:rsid w:val="00F7337B"/>
    <w:rsid w:val="00F737D0"/>
    <w:rsid w:val="00F73B3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4407"/>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C7FB0"/>
    <w:rsid w:val="00FD0F41"/>
    <w:rsid w:val="00FD1214"/>
    <w:rsid w:val="00FD28E6"/>
    <w:rsid w:val="00FD46DB"/>
    <w:rsid w:val="00FD6D75"/>
    <w:rsid w:val="00FE17D3"/>
    <w:rsid w:val="00FE1A6A"/>
    <w:rsid w:val="00FE1D98"/>
    <w:rsid w:val="00FE1DF4"/>
    <w:rsid w:val="00FE2E8B"/>
    <w:rsid w:val="00FE3E3F"/>
    <w:rsid w:val="00FE4777"/>
    <w:rsid w:val="00FE72E2"/>
    <w:rsid w:val="00FF2C4D"/>
    <w:rsid w:val="00FF2F22"/>
    <w:rsid w:val="00FF49FA"/>
    <w:rsid w:val="00FF4A81"/>
    <w:rsid w:val="00FF53AA"/>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character" w:customStyle="1" w:styleId="NOZchn">
    <w:name w:val="NO Zchn"/>
    <w:basedOn w:val="DefaultParagraphFont"/>
    <w:locked/>
    <w:rsid w:val="00B76FD7"/>
    <w:rPr>
      <w:rFonts w:ascii="Times New Roman" w:hAnsi="Times New Roman" w:cs="Times New Roman"/>
    </w:rPr>
  </w:style>
  <w:style w:type="character" w:styleId="Hyperlink">
    <w:name w:val="Hyperlink"/>
    <w:basedOn w:val="DefaultParagraphFont"/>
    <w:uiPriority w:val="99"/>
    <w:semiHidden/>
    <w:unhideWhenUsed/>
    <w:rsid w:val="00B76FD7"/>
    <w:rPr>
      <w:rFonts w:ascii="Times New Roman" w:hAnsi="Times New Roman" w:cs="Times New Roman" w:hint="default"/>
      <w:color w:val="000000"/>
      <w:u w:val="single"/>
    </w:rPr>
  </w:style>
  <w:style w:type="table" w:styleId="TableGrid">
    <w:name w:val="Table Grid"/>
    <w:basedOn w:val="TableNormal"/>
    <w:uiPriority w:val="39"/>
    <w:rsid w:val="005F3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8A1A3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8A1A3E"/>
    <w:rPr>
      <w:rFonts w:ascii="Arial" w:eastAsia="MS Mincho" w:hAnsi="Arial" w:cs="Times New Roman"/>
      <w:noProof/>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6655917">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7377370">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4631953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gpp.org/tsg_sa/WG2_Arch/Latest_SA2_Specs/Latest_draft_S2_Specs/23743-120.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1303</Words>
  <Characters>6429</Characters>
  <Application>Microsoft Office Word</Application>
  <DocSecurity>0</DocSecurity>
  <Lines>121</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cp:revision>
  <dcterms:created xsi:type="dcterms:W3CDTF">2019-08-15T21:14:00Z</dcterms:created>
  <dcterms:modified xsi:type="dcterms:W3CDTF">2019-08-15T21:14:00Z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2019-08-15 19:05:38Z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