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808D4" w14:textId="792CB6CA" w:rsidR="00296DE4" w:rsidRDefault="00296DE4" w:rsidP="00296DE4">
      <w:pPr>
        <w:pStyle w:val="Header"/>
        <w:rPr>
          <w:sz w:val="24"/>
          <w:lang w:val="en-GB" w:eastAsia="zh-CN"/>
        </w:rPr>
      </w:pPr>
      <w:r w:rsidRPr="00EE6198">
        <w:rPr>
          <w:sz w:val="24"/>
          <w:lang w:val="en-GB" w:eastAsia="zh-CN"/>
        </w:rPr>
        <w:t xml:space="preserve">3GPP TSG-RAN WG2 </w:t>
      </w:r>
      <w:r>
        <w:rPr>
          <w:sz w:val="24"/>
          <w:lang w:val="en-GB" w:eastAsia="zh-CN"/>
        </w:rPr>
        <w:t>Meeting#107</w:t>
      </w:r>
      <w:r w:rsidRPr="00EE6198">
        <w:rPr>
          <w:sz w:val="24"/>
          <w:lang w:val="en-GB" w:eastAsia="zh-CN"/>
        </w:rPr>
        <w:tab/>
      </w:r>
      <w:r>
        <w:rPr>
          <w:sz w:val="24"/>
          <w:lang w:val="en-GB" w:eastAsia="zh-CN"/>
        </w:rPr>
        <w:tab/>
      </w:r>
      <w:r>
        <w:rPr>
          <w:sz w:val="24"/>
          <w:lang w:val="en-GB" w:eastAsia="zh-CN"/>
        </w:rPr>
        <w:tab/>
        <w:t xml:space="preserve"> </w:t>
      </w:r>
      <w:r>
        <w:rPr>
          <w:sz w:val="24"/>
          <w:lang w:val="en-GB" w:eastAsia="zh-CN"/>
        </w:rPr>
        <w:tab/>
      </w:r>
      <w:r>
        <w:rPr>
          <w:sz w:val="24"/>
          <w:lang w:val="en-GB" w:eastAsia="zh-CN"/>
        </w:rPr>
        <w:tab/>
        <w:t xml:space="preserve">        </w:t>
      </w:r>
      <w:r w:rsidRPr="00C76438">
        <w:rPr>
          <w:sz w:val="24"/>
          <w:lang w:val="en-GB" w:eastAsia="zh-CN"/>
        </w:rPr>
        <w:t>R2-</w:t>
      </w:r>
      <w:r w:rsidRPr="00C76438">
        <w:t xml:space="preserve"> </w:t>
      </w:r>
      <w:r w:rsidR="00C76438" w:rsidRPr="00C76438">
        <w:rPr>
          <w:sz w:val="24"/>
        </w:rPr>
        <w:t>1910380</w:t>
      </w:r>
    </w:p>
    <w:p w14:paraId="4BF78E6C" w14:textId="77777777" w:rsidR="00296DE4" w:rsidRPr="00394114" w:rsidRDefault="00296DE4" w:rsidP="00296DE4">
      <w:pPr>
        <w:pStyle w:val="Header"/>
        <w:rPr>
          <w:rFonts w:eastAsia="MS Mincho"/>
          <w:noProof w:val="0"/>
          <w:sz w:val="24"/>
          <w:szCs w:val="24"/>
          <w:lang w:val="en-GB" w:eastAsia="x-none"/>
        </w:rPr>
      </w:pPr>
      <w:r w:rsidRPr="00C874E0">
        <w:rPr>
          <w:rFonts w:eastAsia="MS Mincho"/>
          <w:noProof w:val="0"/>
          <w:sz w:val="24"/>
          <w:szCs w:val="24"/>
          <w:lang w:val="en-GB" w:eastAsia="x-none"/>
        </w:rPr>
        <w:t>Prague, Czech Republic,</w:t>
      </w:r>
      <w:r>
        <w:rPr>
          <w:rFonts w:eastAsia="MS Mincho"/>
          <w:noProof w:val="0"/>
          <w:sz w:val="24"/>
          <w:szCs w:val="24"/>
          <w:lang w:val="en-GB" w:eastAsia="x-none"/>
        </w:rPr>
        <w:t xml:space="preserve"> 26</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- 30</w:t>
      </w:r>
      <w:r w:rsidRPr="00894973">
        <w:rPr>
          <w:rFonts w:eastAsia="MS Mincho"/>
          <w:noProof w:val="0"/>
          <w:sz w:val="24"/>
          <w:szCs w:val="24"/>
          <w:vertAlign w:val="superscript"/>
          <w:lang w:val="en-GB" w:eastAsia="x-none"/>
        </w:rPr>
        <w:t>th</w:t>
      </w:r>
      <w:r>
        <w:rPr>
          <w:rFonts w:eastAsia="MS Mincho"/>
          <w:noProof w:val="0"/>
          <w:sz w:val="24"/>
          <w:szCs w:val="24"/>
          <w:lang w:val="en-GB" w:eastAsia="x-none"/>
        </w:rPr>
        <w:t xml:space="preserve"> </w:t>
      </w:r>
      <w:r w:rsidRPr="00C874E0">
        <w:rPr>
          <w:rFonts w:eastAsia="MS Mincho"/>
          <w:noProof w:val="0"/>
          <w:sz w:val="24"/>
          <w:szCs w:val="24"/>
          <w:lang w:val="en-GB" w:eastAsia="x-none"/>
        </w:rPr>
        <w:t xml:space="preserve">August </w:t>
      </w:r>
      <w:r w:rsidRPr="00394114">
        <w:rPr>
          <w:rFonts w:eastAsia="MS Mincho"/>
          <w:noProof w:val="0"/>
          <w:sz w:val="24"/>
          <w:szCs w:val="24"/>
          <w:lang w:val="en-GB" w:eastAsia="x-none"/>
        </w:rPr>
        <w:t>2019</w:t>
      </w:r>
    </w:p>
    <w:p w14:paraId="731FA42A" w14:textId="77777777" w:rsidR="00296DE4" w:rsidRPr="00EE6198" w:rsidRDefault="00296DE4" w:rsidP="00296DE4">
      <w:pPr>
        <w:pStyle w:val="Header"/>
        <w:tabs>
          <w:tab w:val="right" w:pos="9639"/>
        </w:tabs>
        <w:rPr>
          <w:sz w:val="24"/>
          <w:lang w:val="en-GB" w:eastAsia="zh-CN"/>
        </w:rPr>
      </w:pPr>
    </w:p>
    <w:p w14:paraId="1FE9E4C8" w14:textId="77777777" w:rsidR="00296DE4" w:rsidRPr="009D56B1" w:rsidRDefault="00296DE4" w:rsidP="00296DE4">
      <w:pPr>
        <w:pStyle w:val="Header"/>
        <w:tabs>
          <w:tab w:val="right" w:pos="9639"/>
        </w:tabs>
        <w:rPr>
          <w:bCs/>
          <w:noProof w:val="0"/>
          <w:sz w:val="24"/>
          <w:lang w:eastAsia="ja-JP"/>
        </w:rPr>
      </w:pPr>
      <w:r w:rsidRPr="009D56B1">
        <w:rPr>
          <w:noProof w:val="0"/>
          <w:sz w:val="24"/>
          <w:lang w:eastAsia="zh-CN"/>
        </w:rPr>
        <w:tab/>
      </w:r>
    </w:p>
    <w:p w14:paraId="6AFA9A81" w14:textId="3A1FC4FA" w:rsidR="00296DE4" w:rsidRPr="009D56B1" w:rsidRDefault="00296DE4" w:rsidP="00296DE4">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0C4CA0">
        <w:rPr>
          <w:rFonts w:eastAsia="SimSun" w:cs="Arial"/>
          <w:b/>
          <w:bCs/>
          <w:sz w:val="24"/>
          <w:lang w:val="en-US"/>
        </w:rPr>
        <w:t>11.4.5</w:t>
      </w:r>
      <w:bookmarkStart w:id="0" w:name="_GoBack"/>
      <w:bookmarkEnd w:id="0"/>
    </w:p>
    <w:p w14:paraId="2B063C81" w14:textId="77777777" w:rsidR="00296DE4" w:rsidRPr="009D56B1" w:rsidRDefault="00296DE4" w:rsidP="00296DE4">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294BDB3C" w14:textId="77777777" w:rsidR="00296DE4" w:rsidRPr="009D56B1" w:rsidRDefault="00296DE4" w:rsidP="00296DE4">
      <w:pPr>
        <w:tabs>
          <w:tab w:val="left" w:pos="216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Pr>
          <w:rFonts w:ascii="Arial" w:hAnsi="Arial" w:cs="Arial"/>
          <w:b/>
          <w:bCs/>
          <w:sz w:val="24"/>
        </w:rPr>
        <w:t xml:space="preserve">PC5 link identifier for </w:t>
      </w:r>
      <w:r w:rsidRPr="00C874E0">
        <w:rPr>
          <w:rFonts w:ascii="Arial" w:hAnsi="Arial" w:cs="Arial"/>
          <w:b/>
          <w:bCs/>
          <w:sz w:val="24"/>
        </w:rPr>
        <w:t xml:space="preserve">Unicast </w:t>
      </w:r>
      <w:r>
        <w:rPr>
          <w:rFonts w:ascii="Arial" w:hAnsi="Arial" w:cs="Arial"/>
          <w:b/>
          <w:bCs/>
          <w:sz w:val="24"/>
        </w:rPr>
        <w:t>communication in NR V2X</w:t>
      </w:r>
    </w:p>
    <w:p w14:paraId="5E265361" w14:textId="77777777" w:rsidR="00296DE4" w:rsidRPr="009D56B1" w:rsidRDefault="00296DE4" w:rsidP="00296DE4">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F598E1F" w14:textId="77777777" w:rsidR="00296DE4" w:rsidRPr="00E0063E" w:rsidRDefault="00296DE4" w:rsidP="00296DE4">
      <w:pPr>
        <w:pStyle w:val="Tdoc"/>
        <w:ind w:hanging="630"/>
      </w:pPr>
      <w:r w:rsidRPr="00E0063E">
        <w:t>Introduction</w:t>
      </w:r>
      <w:r w:rsidRPr="00E0063E">
        <w:rPr>
          <w:lang w:val="en-GB"/>
        </w:rPr>
        <w:t xml:space="preserve">  </w:t>
      </w:r>
    </w:p>
    <w:p w14:paraId="29AE2BF5" w14:textId="77777777" w:rsidR="00296DE4" w:rsidRPr="00D25A43" w:rsidRDefault="00296DE4" w:rsidP="00296DE4">
      <w:pPr>
        <w:overflowPunct w:val="0"/>
        <w:autoSpaceDE w:val="0"/>
        <w:autoSpaceDN w:val="0"/>
        <w:adjustRightInd w:val="0"/>
        <w:spacing w:after="120" w:line="240" w:lineRule="auto"/>
        <w:jc w:val="both"/>
        <w:textAlignment w:val="baseline"/>
        <w:rPr>
          <w:rFonts w:ascii="Times New Roman" w:hAnsi="Times New Roman"/>
          <w:szCs w:val="20"/>
          <w:lang w:eastAsia="ja-JP"/>
        </w:rPr>
      </w:pPr>
      <w:r w:rsidRPr="00D25A43">
        <w:rPr>
          <w:rFonts w:ascii="Times New Roman" w:hAnsi="Times New Roman"/>
          <w:szCs w:val="20"/>
          <w:lang w:eastAsia="ja-JP"/>
        </w:rPr>
        <w:t xml:space="preserve">SA2 has introduced the concept of PC5 link ID for V2X unicast communication [1]. In this contribution we will discuss the impact of this identifier in RAN2 specification. </w:t>
      </w:r>
    </w:p>
    <w:p w14:paraId="19D910AD" w14:textId="77777777" w:rsidR="00296DE4" w:rsidRPr="001C137C" w:rsidRDefault="00296DE4" w:rsidP="00296DE4">
      <w:pPr>
        <w:pStyle w:val="Tdoc"/>
        <w:ind w:hanging="630"/>
      </w:pPr>
      <w:r>
        <w:t>Discussion</w:t>
      </w:r>
    </w:p>
    <w:p w14:paraId="376178F1" w14:textId="77777777" w:rsidR="00296DE4" w:rsidRDefault="00296DE4" w:rsidP="00296DE4">
      <w:pPr>
        <w:pStyle w:val="ListParagraph"/>
        <w:widowControl w:val="0"/>
        <w:numPr>
          <w:ilvl w:val="1"/>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 xml:space="preserve">PC5 Unicast link identifier </w:t>
      </w:r>
    </w:p>
    <w:p w14:paraId="71548976" w14:textId="792779F8"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sidRPr="00D25A43">
        <w:rPr>
          <w:rFonts w:ascii="Times New Roman" w:eastAsia="MS Mincho" w:hAnsi="Times New Roman"/>
          <w:bCs/>
          <w:szCs w:val="26"/>
          <w:lang w:val="en-GB" w:eastAsia="en-GB"/>
        </w:rPr>
        <w:t xml:space="preserve">As shown below from [1], the PC5 link identifier refers to a unique ID established by the UE while involved in unicast communication with a peer UE. </w:t>
      </w:r>
    </w:p>
    <w:p w14:paraId="5F7E7B41" w14:textId="77777777" w:rsidR="0032797F" w:rsidRDefault="0032797F"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tbl>
      <w:tblPr>
        <w:tblStyle w:val="TableGrid"/>
        <w:tblW w:w="0" w:type="auto"/>
        <w:tblLook w:val="04A0" w:firstRow="1" w:lastRow="0" w:firstColumn="1" w:lastColumn="0" w:noHBand="0" w:noVBand="1"/>
      </w:tblPr>
      <w:tblGrid>
        <w:gridCol w:w="9350"/>
      </w:tblGrid>
      <w:tr w:rsidR="00296DE4" w14:paraId="0040B187" w14:textId="77777777" w:rsidTr="00296DE4">
        <w:tc>
          <w:tcPr>
            <w:tcW w:w="9350" w:type="dxa"/>
          </w:tcPr>
          <w:p w14:paraId="4CE74A21" w14:textId="77777777" w:rsidR="00296DE4" w:rsidRPr="00D25A43" w:rsidRDefault="00296DE4" w:rsidP="00296DE4">
            <w:pPr>
              <w:spacing w:after="180"/>
              <w:rPr>
                <w:rFonts w:ascii="Times New Roman" w:eastAsia="Malgun Gothic" w:hAnsi="Times New Roman"/>
                <w:lang w:val="en-GB" w:eastAsia="x-none"/>
              </w:rPr>
            </w:pPr>
            <w:r w:rsidRPr="00D25A43">
              <w:rPr>
                <w:rFonts w:ascii="Times New Roman" w:eastAsia="Malgun Gothic" w:hAnsi="Times New Roman"/>
                <w:lang w:val="en-GB"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6013B5C5" w14:textId="77777777" w:rsidR="00296DE4" w:rsidRPr="00D25A43" w:rsidRDefault="00296DE4" w:rsidP="00296DE4">
            <w:pPr>
              <w:spacing w:after="180"/>
              <w:ind w:left="284" w:hanging="284"/>
              <w:rPr>
                <w:rFonts w:ascii="Times New Roman" w:eastAsia="Malgun Gothic" w:hAnsi="Times New Roman"/>
                <w:lang w:val="en-GB"/>
              </w:rPr>
            </w:pPr>
            <w:r w:rsidRPr="00D25A43">
              <w:rPr>
                <w:rFonts w:ascii="Times New Roman" w:eastAsia="Malgun Gothic" w:hAnsi="Times New Roman"/>
                <w:lang w:val="en-GB"/>
              </w:rPr>
              <w:t>-</w:t>
            </w:r>
            <w:r w:rsidRPr="00D25A43">
              <w:rPr>
                <w:rFonts w:ascii="Times New Roman" w:eastAsia="Malgun Gothic" w:hAnsi="Times New Roman"/>
                <w:lang w:val="en-GB"/>
              </w:rPr>
              <w:tab/>
              <w:t>service type(s) (e.g. PSID or ITS-AID), Application Layer ID and Layer-2 ID of UE A; and</w:t>
            </w:r>
          </w:p>
          <w:p w14:paraId="6F31305D" w14:textId="77777777" w:rsidR="00296DE4" w:rsidRPr="00D25A43" w:rsidRDefault="00296DE4" w:rsidP="00296DE4">
            <w:pPr>
              <w:spacing w:after="180"/>
              <w:ind w:left="284" w:hanging="284"/>
              <w:rPr>
                <w:rFonts w:ascii="Times New Roman" w:eastAsia="Malgun Gothic" w:hAnsi="Times New Roman"/>
                <w:lang w:val="en-GB"/>
              </w:rPr>
            </w:pPr>
            <w:r w:rsidRPr="00D25A43">
              <w:rPr>
                <w:rFonts w:ascii="Times New Roman" w:eastAsia="Malgun Gothic" w:hAnsi="Times New Roman"/>
                <w:lang w:val="en-GB"/>
              </w:rPr>
              <w:t>-</w:t>
            </w:r>
            <w:r w:rsidRPr="00D25A43">
              <w:rPr>
                <w:rFonts w:ascii="Times New Roman" w:eastAsia="Malgun Gothic" w:hAnsi="Times New Roman"/>
                <w:lang w:val="en-GB"/>
              </w:rPr>
              <w:tab/>
              <w:t>Application Layer ID and Layer-2 ID of UE B; and</w:t>
            </w:r>
          </w:p>
          <w:p w14:paraId="4D194BE8" w14:textId="77777777" w:rsidR="00296DE4" w:rsidRPr="00D25A43" w:rsidRDefault="00296DE4" w:rsidP="00296DE4">
            <w:pPr>
              <w:spacing w:after="180"/>
              <w:ind w:left="284" w:hanging="284"/>
              <w:rPr>
                <w:rFonts w:ascii="Times New Roman" w:eastAsia="Malgun Gothic" w:hAnsi="Times New Roman"/>
                <w:lang w:val="en-GB"/>
              </w:rPr>
            </w:pPr>
            <w:r w:rsidRPr="00D25A43">
              <w:rPr>
                <w:rFonts w:ascii="Times New Roman" w:eastAsia="Malgun Gothic" w:hAnsi="Times New Roman"/>
                <w:lang w:val="en-GB"/>
              </w:rPr>
              <w:t>-</w:t>
            </w:r>
            <w:r w:rsidRPr="00D25A43">
              <w:rPr>
                <w:rFonts w:ascii="Times New Roman" w:eastAsia="Malgun Gothic" w:hAnsi="Times New Roman"/>
                <w:lang w:val="en-GB"/>
              </w:rPr>
              <w:tab/>
              <w:t xml:space="preserve">network layer protocol used on the PC5 unicast link; and </w:t>
            </w:r>
          </w:p>
          <w:p w14:paraId="2B6C9945" w14:textId="37ADB8B1" w:rsidR="00296DE4" w:rsidRDefault="00296DE4" w:rsidP="00296DE4">
            <w:pPr>
              <w:spacing w:after="180"/>
              <w:ind w:left="284" w:hanging="284"/>
              <w:rPr>
                <w:rFonts w:ascii="Times New Roman" w:eastAsia="MS Mincho" w:hAnsi="Times New Roman"/>
                <w:bCs/>
                <w:szCs w:val="26"/>
                <w:lang w:val="en-GB" w:eastAsia="en-GB"/>
              </w:rPr>
            </w:pPr>
            <w:r w:rsidRPr="00D25A43">
              <w:rPr>
                <w:rFonts w:ascii="Times New Roman" w:eastAsia="Malgun Gothic" w:hAnsi="Times New Roman"/>
                <w:lang w:val="en-GB"/>
              </w:rPr>
              <w:t>-</w:t>
            </w:r>
            <w:r w:rsidRPr="00D25A43">
              <w:rPr>
                <w:rFonts w:ascii="Times New Roman" w:eastAsia="Malgun Gothic" w:hAnsi="Times New Roman"/>
                <w:lang w:val="en-GB"/>
              </w:rPr>
              <w:tab/>
            </w:r>
            <w:proofErr w:type="gramStart"/>
            <w:r w:rsidRPr="00D25A43">
              <w:rPr>
                <w:rFonts w:ascii="Times New Roman" w:eastAsia="Malgun Gothic" w:hAnsi="Times New Roman"/>
                <w:lang w:val="en-GB"/>
              </w:rPr>
              <w:t>for</w:t>
            </w:r>
            <w:proofErr w:type="gramEnd"/>
            <w:r w:rsidRPr="00D25A43">
              <w:rPr>
                <w:rFonts w:ascii="Times New Roman" w:eastAsia="Malgun Gothic" w:hAnsi="Times New Roman"/>
                <w:lang w:val="en-GB"/>
              </w:rPr>
              <w:t xml:space="preserve"> each V2X service, a set of PC5 QoS Flow Identifier(s) (PFI(s)). Each PFI is associated with QoS parameters (i.e. PQI and optionally Range). </w:t>
            </w:r>
          </w:p>
        </w:tc>
      </w:tr>
    </w:tbl>
    <w:p w14:paraId="7EA22E75" w14:textId="77777777" w:rsidR="00296DE4" w:rsidRPr="00D25A43" w:rsidRDefault="00296DE4" w:rsidP="00772F31">
      <w:pPr>
        <w:pStyle w:val="ListParagraph"/>
        <w:widowControl w:val="0"/>
        <w:tabs>
          <w:tab w:val="left" w:pos="907"/>
        </w:tabs>
        <w:spacing w:before="240" w:after="60" w:line="240" w:lineRule="auto"/>
        <w:ind w:left="1440" w:hanging="144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Observation 1:</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In SA2, PC5 unicast link identifier is defined for every PC5 unicast link established at V2X layer to support unicast communication between two peer UEs.</w:t>
      </w:r>
    </w:p>
    <w:p w14:paraId="2EDD283B" w14:textId="77777777" w:rsidR="00296DE4" w:rsidRPr="00D25A43" w:rsidRDefault="00296DE4" w:rsidP="00296DE4">
      <w:pPr>
        <w:pStyle w:val="ListParagraph"/>
        <w:widowControl w:val="0"/>
        <w:tabs>
          <w:tab w:val="left" w:pos="907"/>
        </w:tabs>
        <w:spacing w:before="240" w:after="60" w:line="240" w:lineRule="auto"/>
        <w:outlineLvl w:val="2"/>
        <w:rPr>
          <w:rFonts w:ascii="Times New Roman" w:eastAsia="MS Mincho" w:hAnsi="Times New Roman"/>
          <w:bCs/>
          <w:szCs w:val="26"/>
          <w:lang w:val="en-GB" w:eastAsia="en-GB"/>
        </w:rPr>
      </w:pPr>
    </w:p>
    <w:p w14:paraId="755D1E4C"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Pr>
          <w:rFonts w:ascii="Times New Roman" w:eastAsia="MS Mincho" w:hAnsi="Times New Roman"/>
          <w:bCs/>
          <w:szCs w:val="26"/>
          <w:lang w:val="en-GB" w:eastAsia="en-GB"/>
        </w:rPr>
        <w:t xml:space="preserve">Illustration of an example of how the PC5 unicast links are set up is shown in the annex. </w:t>
      </w:r>
      <w:r w:rsidRPr="00D25A43">
        <w:rPr>
          <w:rFonts w:ascii="Times New Roman" w:eastAsia="MS Mincho" w:hAnsi="Times New Roman"/>
          <w:bCs/>
          <w:szCs w:val="26"/>
          <w:lang w:val="en-GB" w:eastAsia="en-GB"/>
        </w:rPr>
        <w:t xml:space="preserve">We also understand from [1] that the PC5 link ID (including the source and destination layer-2 IDs) and the PFIs with corresponding PC5 QoS parameters are passed down to the AS layer to be maintained for the unicast link. For every V2X service data packet, the link identifier and the PFI are sent to the AS layer. </w:t>
      </w:r>
    </w:p>
    <w:p w14:paraId="106032A9" w14:textId="637B5439" w:rsidR="00296DE4" w:rsidRDefault="00296DE4" w:rsidP="00296DE4">
      <w:pPr>
        <w:pStyle w:val="NormalWeb"/>
        <w:spacing w:before="0" w:beforeAutospacing="0" w:after="0" w:afterAutospacing="0"/>
        <w:rPr>
          <w:rFonts w:eastAsia="MS Mincho"/>
          <w:bCs/>
          <w:sz w:val="22"/>
          <w:szCs w:val="26"/>
          <w:lang w:val="en-GB" w:eastAsia="en-GB"/>
        </w:rPr>
      </w:pPr>
      <w:r>
        <w:rPr>
          <w:rFonts w:eastAsia="MS Mincho"/>
          <w:bCs/>
          <w:sz w:val="22"/>
          <w:szCs w:val="26"/>
          <w:lang w:val="en-GB" w:eastAsia="en-GB"/>
        </w:rPr>
        <w:t>While SA2 has introduced the PC5 unicast link identifier to be forwarded to the AS layer, the expected AS behaviour using this ID is not clear.  For example, we wonder if the link ID is to be used for packet filtering purpose or if it is to be used to determine the need of establishment of PC5-RRC to exchange UE capabilities or configuration information between the V2X UEs involved in unicast communication.</w:t>
      </w:r>
      <w:r w:rsidR="002908FE">
        <w:rPr>
          <w:rFonts w:eastAsia="MS Mincho"/>
          <w:bCs/>
          <w:sz w:val="22"/>
          <w:szCs w:val="26"/>
          <w:lang w:val="en-GB" w:eastAsia="en-GB"/>
        </w:rPr>
        <w:t xml:space="preserve"> </w:t>
      </w:r>
      <w:r>
        <w:rPr>
          <w:rFonts w:eastAsia="MS Mincho"/>
          <w:bCs/>
          <w:sz w:val="22"/>
          <w:szCs w:val="26"/>
          <w:lang w:val="en-GB" w:eastAsia="en-GB"/>
        </w:rPr>
        <w:t xml:space="preserve"> Therefore, we have the following proposal: </w:t>
      </w:r>
    </w:p>
    <w:p w14:paraId="55844A58" w14:textId="77777777" w:rsidR="00296DE4" w:rsidRDefault="00296DE4" w:rsidP="00296DE4">
      <w:pPr>
        <w:pStyle w:val="NormalWeb"/>
        <w:spacing w:before="0" w:beforeAutospacing="0" w:after="0" w:afterAutospacing="0"/>
        <w:rPr>
          <w:rFonts w:eastAsia="MS Mincho"/>
          <w:bCs/>
          <w:sz w:val="22"/>
          <w:szCs w:val="26"/>
          <w:lang w:val="en-GB" w:eastAsia="en-GB"/>
        </w:rPr>
      </w:pPr>
    </w:p>
    <w:p w14:paraId="4F2500B6" w14:textId="773EE722" w:rsidR="00296DE4" w:rsidRPr="00772F31" w:rsidRDefault="00296DE4" w:rsidP="00772F31">
      <w:pPr>
        <w:pStyle w:val="NormalWeb"/>
        <w:spacing w:before="0" w:beforeAutospacing="0" w:after="0" w:afterAutospacing="0"/>
        <w:ind w:left="1170" w:hanging="1170"/>
        <w:rPr>
          <w:rFonts w:eastAsia="MS Mincho"/>
          <w:bCs/>
          <w:i/>
          <w:sz w:val="22"/>
          <w:szCs w:val="26"/>
          <w:lang w:val="en-GB" w:eastAsia="en-GB"/>
        </w:rPr>
      </w:pPr>
      <w:r w:rsidRPr="00D25A43">
        <w:rPr>
          <w:rFonts w:eastAsia="MS Mincho"/>
          <w:b/>
          <w:bCs/>
          <w:szCs w:val="26"/>
          <w:lang w:val="en-GB" w:eastAsia="en-GB"/>
        </w:rPr>
        <w:lastRenderedPageBreak/>
        <w:t xml:space="preserve">Proposal </w:t>
      </w:r>
      <w:r>
        <w:rPr>
          <w:rFonts w:eastAsia="MS Mincho"/>
          <w:b/>
          <w:bCs/>
          <w:szCs w:val="26"/>
          <w:lang w:val="en-GB" w:eastAsia="en-GB"/>
        </w:rPr>
        <w:t>1</w:t>
      </w:r>
      <w:r w:rsidRPr="00D25A43">
        <w:rPr>
          <w:rFonts w:eastAsia="MS Mincho"/>
          <w:b/>
          <w:bCs/>
          <w:szCs w:val="26"/>
          <w:lang w:val="en-GB" w:eastAsia="en-GB"/>
        </w:rPr>
        <w:t>:</w:t>
      </w:r>
      <w:r w:rsidRPr="00D25A43">
        <w:rPr>
          <w:rFonts w:eastAsia="MS Mincho"/>
          <w:bCs/>
          <w:szCs w:val="26"/>
          <w:lang w:val="en-GB" w:eastAsia="en-GB"/>
        </w:rPr>
        <w:t xml:space="preserve"> </w:t>
      </w:r>
      <w:r w:rsidRPr="00772F31">
        <w:rPr>
          <w:rFonts w:eastAsia="MS Mincho"/>
          <w:bCs/>
          <w:i/>
          <w:sz w:val="22"/>
          <w:szCs w:val="26"/>
          <w:lang w:val="en-GB" w:eastAsia="en-GB"/>
        </w:rPr>
        <w:t xml:space="preserve">RAN2 </w:t>
      </w:r>
      <w:r w:rsidR="002908FE">
        <w:rPr>
          <w:rFonts w:eastAsia="MS Mincho"/>
          <w:bCs/>
          <w:i/>
          <w:sz w:val="22"/>
          <w:szCs w:val="26"/>
          <w:lang w:val="en-GB" w:eastAsia="en-GB"/>
        </w:rPr>
        <w:t xml:space="preserve">is proposed </w:t>
      </w:r>
      <w:r w:rsidRPr="00772F31">
        <w:rPr>
          <w:rFonts w:eastAsia="MS Mincho"/>
          <w:bCs/>
          <w:i/>
          <w:sz w:val="22"/>
          <w:szCs w:val="26"/>
          <w:lang w:val="en-GB" w:eastAsia="en-GB"/>
        </w:rPr>
        <w:t xml:space="preserve">to </w:t>
      </w:r>
      <w:r w:rsidR="002908FE">
        <w:rPr>
          <w:rFonts w:eastAsia="MS Mincho"/>
          <w:bCs/>
          <w:i/>
          <w:sz w:val="22"/>
          <w:szCs w:val="26"/>
          <w:lang w:val="en-GB" w:eastAsia="en-GB"/>
        </w:rPr>
        <w:t>check with</w:t>
      </w:r>
      <w:r w:rsidR="002908FE" w:rsidRPr="00772F31">
        <w:rPr>
          <w:rFonts w:eastAsia="MS Mincho"/>
          <w:bCs/>
          <w:i/>
          <w:sz w:val="22"/>
          <w:szCs w:val="26"/>
          <w:lang w:val="en-GB" w:eastAsia="en-GB"/>
        </w:rPr>
        <w:t xml:space="preserve"> </w:t>
      </w:r>
      <w:r w:rsidRPr="00772F31">
        <w:rPr>
          <w:rFonts w:eastAsia="MS Mincho"/>
          <w:bCs/>
          <w:i/>
          <w:sz w:val="22"/>
          <w:szCs w:val="26"/>
          <w:lang w:val="en-GB" w:eastAsia="en-GB"/>
        </w:rPr>
        <w:t xml:space="preserve">SA2 if the PC5 unicast link identifier </w:t>
      </w:r>
      <w:r w:rsidR="002908FE">
        <w:rPr>
          <w:rFonts w:eastAsia="MS Mincho"/>
          <w:bCs/>
          <w:i/>
          <w:sz w:val="22"/>
          <w:szCs w:val="26"/>
          <w:lang w:val="en-GB" w:eastAsia="en-GB"/>
        </w:rPr>
        <w:t>(</w:t>
      </w:r>
      <w:r w:rsidRPr="00772F31">
        <w:rPr>
          <w:rFonts w:eastAsia="MS Mincho"/>
          <w:bCs/>
          <w:i/>
          <w:sz w:val="22"/>
          <w:szCs w:val="26"/>
          <w:lang w:val="en-GB" w:eastAsia="en-GB"/>
        </w:rPr>
        <w:t>ma</w:t>
      </w:r>
      <w:r w:rsidR="002908FE">
        <w:rPr>
          <w:rFonts w:eastAsia="MS Mincho"/>
          <w:bCs/>
          <w:i/>
          <w:sz w:val="22"/>
          <w:szCs w:val="26"/>
          <w:lang w:val="en-GB" w:eastAsia="en-GB"/>
        </w:rPr>
        <w:t>de</w:t>
      </w:r>
      <w:r w:rsidRPr="00772F31">
        <w:rPr>
          <w:rFonts w:eastAsia="MS Mincho"/>
          <w:bCs/>
          <w:i/>
          <w:sz w:val="22"/>
          <w:szCs w:val="26"/>
          <w:lang w:val="en-GB" w:eastAsia="en-GB"/>
        </w:rPr>
        <w:t xml:space="preserve"> available to </w:t>
      </w:r>
      <w:r w:rsidR="002908FE">
        <w:rPr>
          <w:rFonts w:eastAsia="MS Mincho"/>
          <w:bCs/>
          <w:i/>
          <w:sz w:val="22"/>
          <w:szCs w:val="26"/>
          <w:lang w:val="en-GB" w:eastAsia="en-GB"/>
        </w:rPr>
        <w:t xml:space="preserve">the </w:t>
      </w:r>
      <w:r w:rsidRPr="00772F31">
        <w:rPr>
          <w:rFonts w:eastAsia="MS Mincho"/>
          <w:bCs/>
          <w:i/>
          <w:sz w:val="22"/>
          <w:szCs w:val="26"/>
          <w:lang w:val="en-GB" w:eastAsia="en-GB"/>
        </w:rPr>
        <w:t>AS layer</w:t>
      </w:r>
      <w:r w:rsidR="002908FE">
        <w:rPr>
          <w:rFonts w:eastAsia="MS Mincho"/>
          <w:bCs/>
          <w:i/>
          <w:sz w:val="22"/>
          <w:szCs w:val="26"/>
          <w:lang w:val="en-GB" w:eastAsia="en-GB"/>
        </w:rPr>
        <w:t>) can be shared between the two peer UEs.</w:t>
      </w:r>
    </w:p>
    <w:p w14:paraId="599931CA" w14:textId="08B6DFF6" w:rsidR="00296DE4" w:rsidRPr="00D25A43"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Pr>
          <w:rFonts w:ascii="Times New Roman" w:eastAsia="MS Mincho" w:hAnsi="Times New Roman"/>
          <w:bCs/>
          <w:szCs w:val="26"/>
          <w:lang w:val="en-GB" w:eastAsia="en-GB"/>
        </w:rPr>
        <w:t xml:space="preserve">In this following sub-sections, we list a couple of use cases of utilizing </w:t>
      </w:r>
      <w:r w:rsidR="002908FE">
        <w:rPr>
          <w:rFonts w:ascii="Times New Roman" w:eastAsia="MS Mincho" w:hAnsi="Times New Roman"/>
          <w:bCs/>
          <w:szCs w:val="26"/>
          <w:lang w:val="en-GB" w:eastAsia="en-GB"/>
        </w:rPr>
        <w:t xml:space="preserve">this </w:t>
      </w:r>
      <w:r>
        <w:rPr>
          <w:rFonts w:ascii="Times New Roman" w:eastAsia="MS Mincho" w:hAnsi="Times New Roman"/>
          <w:bCs/>
          <w:szCs w:val="26"/>
          <w:lang w:val="en-GB" w:eastAsia="en-GB"/>
        </w:rPr>
        <w:t>PC5 link ID in RAN2 specification.</w:t>
      </w:r>
    </w:p>
    <w:p w14:paraId="6517ECE5" w14:textId="77777777" w:rsidR="00296DE4" w:rsidRDefault="00296DE4" w:rsidP="00296DE4">
      <w:pPr>
        <w:pStyle w:val="ListParagraph"/>
        <w:widowControl w:val="0"/>
        <w:tabs>
          <w:tab w:val="left" w:pos="907"/>
        </w:tabs>
        <w:spacing w:before="240" w:after="60" w:line="240" w:lineRule="auto"/>
        <w:outlineLvl w:val="2"/>
        <w:rPr>
          <w:rFonts w:ascii="Arial" w:eastAsia="MS Mincho" w:hAnsi="Arial" w:cs="Arial"/>
          <w:bCs/>
          <w:sz w:val="26"/>
          <w:szCs w:val="26"/>
          <w:lang w:val="en-GB" w:eastAsia="en-GB"/>
        </w:rPr>
      </w:pPr>
    </w:p>
    <w:p w14:paraId="61E7F737" w14:textId="77777777" w:rsidR="00296DE4" w:rsidRDefault="00296DE4" w:rsidP="00296DE4">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SDAP entity per PC5 unicast link</w:t>
      </w:r>
    </w:p>
    <w:p w14:paraId="1E933718"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p w14:paraId="1B03D3A5"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sidRPr="00D25A43">
        <w:rPr>
          <w:rFonts w:ascii="Times New Roman" w:eastAsia="MS Mincho" w:hAnsi="Times New Roman"/>
          <w:bCs/>
          <w:szCs w:val="26"/>
          <w:lang w:val="en-GB" w:eastAsia="en-GB"/>
        </w:rPr>
        <w:t xml:space="preserve">In Uu link, the SDAP entity is established for a PDU session and corresponding SDAP configuration is provided by the network for every PDU session within which the QoS flows are mapped onto DRBs. For NR V2X, with the unicast communication newly introduced, we think that the PC5 unicast link </w:t>
      </w:r>
      <w:r>
        <w:rPr>
          <w:rFonts w:ascii="Times New Roman" w:eastAsia="MS Mincho" w:hAnsi="Times New Roman"/>
          <w:bCs/>
          <w:szCs w:val="26"/>
          <w:lang w:val="en-GB" w:eastAsia="en-GB"/>
        </w:rPr>
        <w:t xml:space="preserve">with the ID at the V2X layer </w:t>
      </w:r>
      <w:r w:rsidRPr="00D25A43">
        <w:rPr>
          <w:rFonts w:ascii="Times New Roman" w:eastAsia="MS Mincho" w:hAnsi="Times New Roman"/>
          <w:bCs/>
          <w:szCs w:val="26"/>
          <w:lang w:val="en-GB" w:eastAsia="en-GB"/>
        </w:rPr>
        <w:t xml:space="preserve">can be </w:t>
      </w:r>
      <w:r>
        <w:rPr>
          <w:rFonts w:ascii="Times New Roman" w:eastAsia="MS Mincho" w:hAnsi="Times New Roman"/>
          <w:bCs/>
          <w:szCs w:val="26"/>
          <w:lang w:val="en-GB" w:eastAsia="en-GB"/>
        </w:rPr>
        <w:t>utilized</w:t>
      </w:r>
      <w:r w:rsidRPr="00D25A43">
        <w:rPr>
          <w:rFonts w:ascii="Times New Roman" w:eastAsia="MS Mincho" w:hAnsi="Times New Roman"/>
          <w:bCs/>
          <w:szCs w:val="26"/>
          <w:lang w:val="en-GB" w:eastAsia="en-GB"/>
        </w:rPr>
        <w:t xml:space="preserve"> and </w:t>
      </w:r>
      <w:r>
        <w:rPr>
          <w:rFonts w:ascii="Times New Roman" w:eastAsia="MS Mincho" w:hAnsi="Times New Roman"/>
          <w:bCs/>
          <w:szCs w:val="26"/>
          <w:lang w:val="en-GB" w:eastAsia="en-GB"/>
        </w:rPr>
        <w:t>the corresponding</w:t>
      </w:r>
      <w:r w:rsidRPr="00D25A43">
        <w:rPr>
          <w:rFonts w:ascii="Times New Roman" w:eastAsia="MS Mincho" w:hAnsi="Times New Roman"/>
          <w:bCs/>
          <w:szCs w:val="26"/>
          <w:lang w:val="en-GB" w:eastAsia="en-GB"/>
        </w:rPr>
        <w:t xml:space="preserve"> QoS flows can be mapped onto SLRBs. </w:t>
      </w:r>
      <w:r>
        <w:rPr>
          <w:rFonts w:ascii="Times New Roman" w:eastAsia="MS Mincho" w:hAnsi="Times New Roman"/>
          <w:bCs/>
          <w:szCs w:val="26"/>
          <w:lang w:val="en-GB" w:eastAsia="en-GB"/>
        </w:rPr>
        <w:t xml:space="preserve">It has already been discussed and agreed about how the SLRB configuration including mapping of QoS flows to SLRBs is done, however, it is not discussed about when a given SDAP entity is established and at what level: per application layer ID or per service or per destination UE (or SRC-DEST layer-2 ID pair). </w:t>
      </w:r>
    </w:p>
    <w:p w14:paraId="7CDB3289" w14:textId="77777777" w:rsidR="00296DE4" w:rsidRDefault="00296DE4" w:rsidP="00296DE4">
      <w:pPr>
        <w:pStyle w:val="ListParagraph"/>
        <w:widowControl w:val="0"/>
        <w:tabs>
          <w:tab w:val="left" w:pos="907"/>
        </w:tabs>
        <w:spacing w:before="240" w:after="60" w:line="240" w:lineRule="auto"/>
        <w:outlineLvl w:val="2"/>
        <w:rPr>
          <w:rFonts w:ascii="Times New Roman" w:eastAsia="MS Mincho" w:hAnsi="Times New Roman"/>
          <w:bCs/>
          <w:szCs w:val="26"/>
          <w:lang w:val="en-GB" w:eastAsia="en-GB"/>
        </w:rPr>
      </w:pPr>
    </w:p>
    <w:p w14:paraId="002EAA8F" w14:textId="77777777" w:rsidR="00296DE4" w:rsidRPr="00D25A43"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Pr>
          <w:rFonts w:ascii="Times New Roman" w:eastAsia="MS Mincho" w:hAnsi="Times New Roman"/>
          <w:bCs/>
          <w:szCs w:val="26"/>
          <w:lang w:val="en-GB" w:eastAsia="en-GB"/>
        </w:rPr>
        <w:t xml:space="preserve">Since the application layer ID may change dynamically, we would want to rule out this option. Each application may correspond to multiple services. It may be possible to set up SDAP entity per service, however, it is not clear if the service ID is unique per UE as different applications may support similar services. Defining an SDAP entity per destination UE involves maintaining multiple PC5 unicast links per entity and we wonder about the added complexity if QoS flows across different links are multiplexed onto SLRBs. Therefore, we prefer to specify SDAP per PC5 unicast link. </w:t>
      </w:r>
    </w:p>
    <w:p w14:paraId="1951DBEF" w14:textId="77777777" w:rsidR="00296DE4" w:rsidRPr="00D25A43" w:rsidRDefault="00296DE4" w:rsidP="00296DE4">
      <w:pPr>
        <w:pStyle w:val="ListParagraph"/>
        <w:widowControl w:val="0"/>
        <w:tabs>
          <w:tab w:val="left" w:pos="907"/>
        </w:tabs>
        <w:spacing w:before="240" w:after="60" w:line="240" w:lineRule="auto"/>
        <w:outlineLvl w:val="2"/>
        <w:rPr>
          <w:rFonts w:ascii="Times New Roman" w:eastAsia="MS Mincho" w:hAnsi="Times New Roman"/>
          <w:bCs/>
          <w:szCs w:val="26"/>
          <w:lang w:val="en-GB" w:eastAsia="en-GB"/>
        </w:rPr>
      </w:pPr>
    </w:p>
    <w:p w14:paraId="746F2B33" w14:textId="77777777" w:rsidR="00296DE4" w:rsidRDefault="00296DE4" w:rsidP="00772F31">
      <w:pPr>
        <w:pStyle w:val="ListParagraph"/>
        <w:widowControl w:val="0"/>
        <w:tabs>
          <w:tab w:val="left" w:pos="907"/>
        </w:tabs>
        <w:spacing w:before="240" w:after="60" w:line="240" w:lineRule="auto"/>
        <w:ind w:left="1170" w:hanging="117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 xml:space="preserve">Proposal </w:t>
      </w:r>
      <w:r>
        <w:rPr>
          <w:rFonts w:ascii="Times New Roman" w:eastAsia="MS Mincho" w:hAnsi="Times New Roman"/>
          <w:b/>
          <w:bCs/>
          <w:szCs w:val="26"/>
          <w:lang w:val="en-GB" w:eastAsia="en-GB"/>
        </w:rPr>
        <w:t>2</w:t>
      </w:r>
      <w:r w:rsidRPr="00D25A43">
        <w:rPr>
          <w:rFonts w:ascii="Times New Roman" w:eastAsia="MS Mincho" w:hAnsi="Times New Roman"/>
          <w:b/>
          <w:bCs/>
          <w:szCs w:val="26"/>
          <w:lang w:val="en-GB" w:eastAsia="en-GB"/>
        </w:rPr>
        <w:t>:</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RAN2 to discuss whether a new SDAP entity could be established at the TX UE for every PC5 unicast link.</w:t>
      </w:r>
      <w:r w:rsidRPr="00D25A43">
        <w:rPr>
          <w:rFonts w:ascii="Times New Roman" w:eastAsia="MS Mincho" w:hAnsi="Times New Roman"/>
          <w:bCs/>
          <w:szCs w:val="26"/>
          <w:lang w:val="en-GB" w:eastAsia="en-GB"/>
        </w:rPr>
        <w:t xml:space="preserve"> </w:t>
      </w:r>
    </w:p>
    <w:p w14:paraId="67D947C1"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p w14:paraId="15A2AFAD" w14:textId="77777777" w:rsidR="00296DE4" w:rsidRDefault="00296DE4" w:rsidP="00296DE4">
      <w:pPr>
        <w:pStyle w:val="ListParagraph"/>
        <w:widowControl w:val="0"/>
        <w:numPr>
          <w:ilvl w:val="2"/>
          <w:numId w:val="1"/>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Context storage</w:t>
      </w:r>
    </w:p>
    <w:p w14:paraId="1D3A3D4B" w14:textId="77777777" w:rsidR="00296DE4" w:rsidRPr="00D25A43"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p w14:paraId="5E4E179F"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sidRPr="005731B3">
        <w:rPr>
          <w:rFonts w:ascii="Times New Roman" w:eastAsia="MS Mincho" w:hAnsi="Times New Roman"/>
          <w:bCs/>
          <w:szCs w:val="26"/>
          <w:lang w:val="en-GB" w:eastAsia="en-GB"/>
        </w:rPr>
        <w:t xml:space="preserve">During RAN2#105bis meeting, it was left FFS </w:t>
      </w:r>
      <w:r>
        <w:rPr>
          <w:rFonts w:ascii="Times New Roman" w:eastAsia="MS Mincho" w:hAnsi="Times New Roman"/>
          <w:bCs/>
          <w:szCs w:val="26"/>
          <w:lang w:val="en-GB" w:eastAsia="en-GB"/>
        </w:rPr>
        <w:t xml:space="preserve">about </w:t>
      </w:r>
      <w:r w:rsidRPr="005731B3">
        <w:rPr>
          <w:rFonts w:ascii="Times New Roman" w:eastAsia="MS Mincho" w:hAnsi="Times New Roman"/>
          <w:bCs/>
          <w:szCs w:val="26"/>
          <w:lang w:val="en-GB" w:eastAsia="en-GB"/>
        </w:rPr>
        <w:t>whether the AS configuration (i.e. SLRB configuration) can also be stored in SL UE context</w:t>
      </w:r>
      <w:r>
        <w:rPr>
          <w:rFonts w:ascii="Times New Roman" w:eastAsia="MS Mincho" w:hAnsi="Times New Roman"/>
          <w:bCs/>
          <w:szCs w:val="26"/>
          <w:lang w:val="en-GB" w:eastAsia="en-GB"/>
        </w:rPr>
        <w:t xml:space="preserve"> [2]</w:t>
      </w:r>
      <w:r w:rsidRPr="005731B3">
        <w:rPr>
          <w:rFonts w:ascii="Times New Roman" w:eastAsia="MS Mincho" w:hAnsi="Times New Roman"/>
          <w:bCs/>
          <w:szCs w:val="26"/>
          <w:lang w:val="en-GB" w:eastAsia="en-GB"/>
        </w:rPr>
        <w:t xml:space="preserve">. It was agreed that there </w:t>
      </w:r>
      <w:r>
        <w:rPr>
          <w:rFonts w:ascii="Times New Roman" w:eastAsia="MS Mincho" w:hAnsi="Times New Roman"/>
          <w:bCs/>
          <w:szCs w:val="26"/>
          <w:lang w:val="en-GB" w:eastAsia="en-GB"/>
        </w:rPr>
        <w:t>is a</w:t>
      </w:r>
      <w:r w:rsidRPr="005731B3">
        <w:rPr>
          <w:rFonts w:ascii="Times New Roman" w:eastAsia="MS Mincho" w:hAnsi="Times New Roman"/>
          <w:bCs/>
          <w:szCs w:val="26"/>
          <w:lang w:val="en-GB" w:eastAsia="en-GB"/>
        </w:rPr>
        <w:t xml:space="preserve"> </w:t>
      </w:r>
      <w:r>
        <w:rPr>
          <w:rFonts w:ascii="Times New Roman" w:eastAsia="MS Mincho" w:hAnsi="Times New Roman"/>
          <w:bCs/>
          <w:szCs w:val="26"/>
          <w:lang w:val="en-GB" w:eastAsia="en-GB"/>
        </w:rPr>
        <w:t xml:space="preserve">SL </w:t>
      </w:r>
      <w:r w:rsidRPr="005731B3">
        <w:rPr>
          <w:rFonts w:ascii="Times New Roman" w:eastAsia="MS Mincho" w:hAnsi="Times New Roman"/>
          <w:bCs/>
          <w:szCs w:val="26"/>
          <w:lang w:val="en-GB" w:eastAsia="en-GB"/>
        </w:rPr>
        <w:t xml:space="preserve">UE context with at least SL UE capability of the destination UE and therefore, the </w:t>
      </w:r>
      <w:r>
        <w:rPr>
          <w:rFonts w:ascii="Times New Roman" w:eastAsia="MS Mincho" w:hAnsi="Times New Roman"/>
          <w:bCs/>
          <w:szCs w:val="26"/>
          <w:lang w:val="en-GB" w:eastAsia="en-GB"/>
        </w:rPr>
        <w:t xml:space="preserve">SL UE </w:t>
      </w:r>
      <w:r w:rsidRPr="005731B3">
        <w:rPr>
          <w:rFonts w:ascii="Times New Roman" w:eastAsia="MS Mincho" w:hAnsi="Times New Roman"/>
          <w:bCs/>
          <w:szCs w:val="26"/>
          <w:lang w:val="en-GB" w:eastAsia="en-GB"/>
        </w:rPr>
        <w:t xml:space="preserve">context is per destination UE. </w:t>
      </w:r>
      <w:r>
        <w:rPr>
          <w:rFonts w:ascii="Times New Roman" w:eastAsia="MS Mincho" w:hAnsi="Times New Roman"/>
          <w:bCs/>
          <w:szCs w:val="26"/>
          <w:lang w:val="en-GB" w:eastAsia="en-GB"/>
        </w:rPr>
        <w:t xml:space="preserve">We think that the AS configuration corresponding to the unicast link can also be stored at least as long as the link exists to support the QoS flows and SLRBs corresponding to the unicast link. It may also be useful to store the configuration information to support delta signalling if and when introduced. </w:t>
      </w:r>
    </w:p>
    <w:p w14:paraId="74ED237F"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p w14:paraId="34EE7E9D" w14:textId="6B6EE1E5"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Pr>
          <w:rFonts w:ascii="Times New Roman" w:eastAsia="MS Mincho" w:hAnsi="Times New Roman"/>
          <w:bCs/>
          <w:szCs w:val="26"/>
          <w:lang w:val="en-GB" w:eastAsia="en-GB"/>
        </w:rPr>
        <w:t xml:space="preserve">Any updates made to the link (e.g. flow addition, removal) at the upper layer can also be updated as necessary. </w:t>
      </w:r>
      <w:r w:rsidRPr="005731B3">
        <w:rPr>
          <w:rFonts w:ascii="Times New Roman" w:eastAsia="MS Mincho" w:hAnsi="Times New Roman"/>
          <w:bCs/>
          <w:szCs w:val="26"/>
          <w:lang w:val="en-GB" w:eastAsia="en-GB"/>
        </w:rPr>
        <w:t xml:space="preserve">As per SA2, it is not clear if the PC5 unicast link is established uniquely per destination </w:t>
      </w:r>
      <w:r>
        <w:rPr>
          <w:rFonts w:ascii="Times New Roman" w:eastAsia="MS Mincho" w:hAnsi="Times New Roman"/>
          <w:bCs/>
          <w:szCs w:val="26"/>
          <w:lang w:val="en-GB" w:eastAsia="en-GB"/>
        </w:rPr>
        <w:t xml:space="preserve">UE </w:t>
      </w:r>
      <w:r w:rsidRPr="005731B3">
        <w:rPr>
          <w:rFonts w:ascii="Times New Roman" w:eastAsia="MS Mincho" w:hAnsi="Times New Roman"/>
          <w:bCs/>
          <w:szCs w:val="26"/>
          <w:lang w:val="en-GB" w:eastAsia="en-GB"/>
        </w:rPr>
        <w:t xml:space="preserve">ID or multiple links </w:t>
      </w:r>
      <w:r>
        <w:rPr>
          <w:rFonts w:ascii="Times New Roman" w:eastAsia="MS Mincho" w:hAnsi="Times New Roman"/>
          <w:bCs/>
          <w:szCs w:val="26"/>
          <w:lang w:val="en-GB" w:eastAsia="en-GB"/>
        </w:rPr>
        <w:t>can also be</w:t>
      </w:r>
      <w:r w:rsidRPr="005731B3">
        <w:rPr>
          <w:rFonts w:ascii="Times New Roman" w:eastAsia="MS Mincho" w:hAnsi="Times New Roman"/>
          <w:bCs/>
          <w:szCs w:val="26"/>
          <w:lang w:val="en-GB" w:eastAsia="en-GB"/>
        </w:rPr>
        <w:t xml:space="preserve"> established towards one destination UE</w:t>
      </w:r>
      <w:r>
        <w:rPr>
          <w:rFonts w:ascii="Times New Roman" w:eastAsia="MS Mincho" w:hAnsi="Times New Roman"/>
          <w:bCs/>
          <w:szCs w:val="26"/>
          <w:lang w:val="en-GB" w:eastAsia="en-GB"/>
        </w:rPr>
        <w:t xml:space="preserve"> as per below (the first sentence refers to layer-2 IDs in general, while the second sentence refers to source layer-2 ID):</w:t>
      </w:r>
    </w:p>
    <w:p w14:paraId="384F4855"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tbl>
      <w:tblPr>
        <w:tblStyle w:val="TableGrid"/>
        <w:tblW w:w="0" w:type="auto"/>
        <w:tblLook w:val="04A0" w:firstRow="1" w:lastRow="0" w:firstColumn="1" w:lastColumn="0" w:noHBand="0" w:noVBand="1"/>
      </w:tblPr>
      <w:tblGrid>
        <w:gridCol w:w="9350"/>
      </w:tblGrid>
      <w:tr w:rsidR="00296DE4" w14:paraId="67253792" w14:textId="77777777" w:rsidTr="00296DE4">
        <w:tc>
          <w:tcPr>
            <w:tcW w:w="9350" w:type="dxa"/>
          </w:tcPr>
          <w:p w14:paraId="668A6A84" w14:textId="217CB966" w:rsidR="00296DE4" w:rsidRPr="00296DE4" w:rsidRDefault="00296DE4" w:rsidP="00296DE4">
            <w:pPr>
              <w:pStyle w:val="ListParagraph"/>
              <w:widowControl w:val="0"/>
              <w:tabs>
                <w:tab w:val="left" w:pos="907"/>
              </w:tabs>
              <w:spacing w:before="240" w:after="60"/>
              <w:ind w:left="0"/>
              <w:outlineLvl w:val="2"/>
              <w:rPr>
                <w:rFonts w:ascii="Times New Roman" w:eastAsia="MS Mincho" w:hAnsi="Times New Roman"/>
                <w:bCs/>
                <w:sz w:val="24"/>
                <w:szCs w:val="26"/>
                <w:lang w:val="en-GB" w:eastAsia="en-GB"/>
              </w:rPr>
            </w:pPr>
            <w:r w:rsidRPr="005731B3">
              <w:rPr>
                <w:color w:val="000000"/>
                <w:lang w:val="en-GB"/>
              </w:rPr>
              <w:t xml:space="preserve">If a UE has multiple unicast links using the same Application </w:t>
            </w:r>
            <w:r w:rsidRPr="005731B3">
              <w:rPr>
                <w:color w:val="000000"/>
              </w:rPr>
              <w:t>Layer IDs</w:t>
            </w:r>
            <w:r w:rsidRPr="005731B3">
              <w:rPr>
                <w:color w:val="000000"/>
                <w:lang w:val="en-GB"/>
              </w:rPr>
              <w:t xml:space="preserve"> or Layer-2 IDs, the UE needs to perform the </w:t>
            </w:r>
            <w:r w:rsidRPr="005731B3">
              <w:rPr>
                <w:color w:val="000000"/>
              </w:rPr>
              <w:t xml:space="preserve">link identifier </w:t>
            </w:r>
            <w:r w:rsidRPr="005731B3">
              <w:rPr>
                <w:color w:val="000000"/>
                <w:lang w:val="en-GB"/>
              </w:rPr>
              <w:t>update procedure over each of the unicast link.</w:t>
            </w:r>
          </w:p>
        </w:tc>
      </w:tr>
    </w:tbl>
    <w:p w14:paraId="60E83C73" w14:textId="77777777" w:rsidR="00296DE4" w:rsidRDefault="00296DE4" w:rsidP="00296DE4">
      <w:pPr>
        <w:rPr>
          <w:lang w:val="en-GB" w:eastAsia="en-GB"/>
        </w:rPr>
      </w:pPr>
    </w:p>
    <w:tbl>
      <w:tblPr>
        <w:tblStyle w:val="TableGrid"/>
        <w:tblW w:w="0" w:type="auto"/>
        <w:tblLook w:val="04A0" w:firstRow="1" w:lastRow="0" w:firstColumn="1" w:lastColumn="0" w:noHBand="0" w:noVBand="1"/>
      </w:tblPr>
      <w:tblGrid>
        <w:gridCol w:w="9350"/>
      </w:tblGrid>
      <w:tr w:rsidR="00296DE4" w14:paraId="16FAF3D5" w14:textId="77777777" w:rsidTr="00296DE4">
        <w:tc>
          <w:tcPr>
            <w:tcW w:w="9350" w:type="dxa"/>
          </w:tcPr>
          <w:p w14:paraId="219973C4" w14:textId="3468ECC0" w:rsidR="00296DE4" w:rsidRDefault="00296DE4" w:rsidP="00296DE4">
            <w:pPr>
              <w:rPr>
                <w:lang w:val="en-GB" w:eastAsia="en-GB"/>
              </w:rPr>
            </w:pPr>
            <w:r w:rsidRPr="005731B3">
              <w:rPr>
                <w:color w:val="000000"/>
                <w:lang w:val="en-GB"/>
              </w:rPr>
              <w:t>A UE may establish multiple PC5 unicast links with a peer UE and use the same or different source Layer-2 IDs for these PC5 unicast links.</w:t>
            </w:r>
          </w:p>
        </w:tc>
      </w:tr>
    </w:tbl>
    <w:p w14:paraId="39FEC39D"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Pr>
          <w:rFonts w:ascii="Times New Roman" w:eastAsia="MS Mincho" w:hAnsi="Times New Roman"/>
          <w:bCs/>
          <w:szCs w:val="26"/>
          <w:lang w:val="en-GB" w:eastAsia="en-GB"/>
        </w:rPr>
        <w:t>It may be possible for</w:t>
      </w:r>
      <w:r w:rsidRPr="005731B3">
        <w:rPr>
          <w:rFonts w:ascii="Times New Roman" w:eastAsia="MS Mincho" w:hAnsi="Times New Roman"/>
          <w:bCs/>
          <w:szCs w:val="26"/>
          <w:lang w:val="en-GB" w:eastAsia="en-GB"/>
        </w:rPr>
        <w:t xml:space="preserve"> the SL UE context </w:t>
      </w:r>
      <w:r>
        <w:rPr>
          <w:rFonts w:ascii="Times New Roman" w:eastAsia="MS Mincho" w:hAnsi="Times New Roman"/>
          <w:bCs/>
          <w:szCs w:val="26"/>
          <w:lang w:val="en-GB" w:eastAsia="en-GB"/>
        </w:rPr>
        <w:t>to</w:t>
      </w:r>
      <w:r w:rsidRPr="005731B3">
        <w:rPr>
          <w:rFonts w:ascii="Times New Roman" w:eastAsia="MS Mincho" w:hAnsi="Times New Roman"/>
          <w:bCs/>
          <w:szCs w:val="26"/>
          <w:lang w:val="en-GB" w:eastAsia="en-GB"/>
        </w:rPr>
        <w:t xml:space="preserve"> include the SLRB configuration information of the different </w:t>
      </w:r>
      <w:r>
        <w:rPr>
          <w:rFonts w:ascii="Times New Roman" w:eastAsia="MS Mincho" w:hAnsi="Times New Roman"/>
          <w:bCs/>
          <w:szCs w:val="26"/>
          <w:lang w:val="en-GB" w:eastAsia="en-GB"/>
        </w:rPr>
        <w:t xml:space="preserve">unicast </w:t>
      </w:r>
      <w:r w:rsidRPr="005731B3">
        <w:rPr>
          <w:rFonts w:ascii="Times New Roman" w:eastAsia="MS Mincho" w:hAnsi="Times New Roman"/>
          <w:bCs/>
          <w:szCs w:val="26"/>
          <w:lang w:val="en-GB" w:eastAsia="en-GB"/>
        </w:rPr>
        <w:t xml:space="preserve">links belonging to the same destination </w:t>
      </w:r>
      <w:r>
        <w:rPr>
          <w:rFonts w:ascii="Times New Roman" w:eastAsia="MS Mincho" w:hAnsi="Times New Roman"/>
          <w:bCs/>
          <w:szCs w:val="26"/>
          <w:lang w:val="en-GB" w:eastAsia="en-GB"/>
        </w:rPr>
        <w:t>layer-2 ID as a list</w:t>
      </w:r>
      <w:r w:rsidRPr="005731B3">
        <w:rPr>
          <w:rFonts w:ascii="Times New Roman" w:eastAsia="MS Mincho" w:hAnsi="Times New Roman"/>
          <w:bCs/>
          <w:szCs w:val="26"/>
          <w:lang w:val="en-GB" w:eastAsia="en-GB"/>
        </w:rPr>
        <w:t xml:space="preserve">. </w:t>
      </w:r>
      <w:r>
        <w:rPr>
          <w:rFonts w:ascii="Times New Roman" w:eastAsia="MS Mincho" w:hAnsi="Times New Roman"/>
          <w:bCs/>
          <w:szCs w:val="26"/>
          <w:lang w:val="en-GB" w:eastAsia="en-GB"/>
        </w:rPr>
        <w:t xml:space="preserve">However, we wonder how the situation </w:t>
      </w:r>
      <w:r w:rsidRPr="007E3EC2">
        <w:rPr>
          <w:rFonts w:ascii="Times New Roman" w:eastAsia="MS Mincho" w:hAnsi="Times New Roman"/>
          <w:bCs/>
          <w:szCs w:val="26"/>
          <w:lang w:val="en-GB" w:eastAsia="en-GB"/>
        </w:rPr>
        <w:t xml:space="preserve">when </w:t>
      </w:r>
      <w:r>
        <w:rPr>
          <w:rFonts w:ascii="Times New Roman" w:eastAsia="MS Mincho" w:hAnsi="Times New Roman"/>
          <w:bCs/>
          <w:szCs w:val="26"/>
          <w:lang w:val="en-GB" w:eastAsia="en-GB"/>
        </w:rPr>
        <w:t xml:space="preserve">one specific </w:t>
      </w:r>
      <w:r w:rsidRPr="007E3EC2">
        <w:rPr>
          <w:rFonts w:ascii="Times New Roman" w:eastAsia="MS Mincho" w:hAnsi="Times New Roman"/>
          <w:bCs/>
          <w:szCs w:val="26"/>
          <w:lang w:val="en-GB" w:eastAsia="en-GB"/>
        </w:rPr>
        <w:t>link is released</w:t>
      </w:r>
      <w:r>
        <w:rPr>
          <w:rFonts w:ascii="Times New Roman" w:eastAsia="MS Mincho" w:hAnsi="Times New Roman"/>
          <w:bCs/>
          <w:szCs w:val="26"/>
          <w:lang w:val="en-GB" w:eastAsia="en-GB"/>
        </w:rPr>
        <w:t xml:space="preserve"> would be handled and whether </w:t>
      </w:r>
      <w:r w:rsidRPr="007E3EC2">
        <w:rPr>
          <w:rFonts w:ascii="Times New Roman" w:eastAsia="MS Mincho" w:hAnsi="Times New Roman"/>
          <w:bCs/>
          <w:szCs w:val="26"/>
          <w:lang w:val="en-GB" w:eastAsia="en-GB"/>
        </w:rPr>
        <w:t>t</w:t>
      </w:r>
      <w:r>
        <w:rPr>
          <w:rFonts w:ascii="Times New Roman" w:eastAsia="MS Mincho" w:hAnsi="Times New Roman"/>
          <w:bCs/>
          <w:szCs w:val="26"/>
          <w:lang w:val="en-GB" w:eastAsia="en-GB"/>
        </w:rPr>
        <w:t>here may be</w:t>
      </w:r>
      <w:r w:rsidRPr="007E3EC2">
        <w:rPr>
          <w:rFonts w:ascii="Times New Roman" w:eastAsia="MS Mincho" w:hAnsi="Times New Roman"/>
          <w:bCs/>
          <w:szCs w:val="26"/>
          <w:lang w:val="en-GB" w:eastAsia="en-GB"/>
        </w:rPr>
        <w:t xml:space="preserve"> additional </w:t>
      </w:r>
      <w:r w:rsidRPr="007E3EC2">
        <w:rPr>
          <w:rFonts w:ascii="Times New Roman" w:eastAsia="MS Mincho" w:hAnsi="Times New Roman"/>
          <w:bCs/>
          <w:szCs w:val="26"/>
          <w:lang w:val="en-GB" w:eastAsia="en-GB"/>
        </w:rPr>
        <w:lastRenderedPageBreak/>
        <w:t>specification complexity</w:t>
      </w:r>
      <w:r w:rsidRPr="007B70D2">
        <w:rPr>
          <w:rFonts w:ascii="Times New Roman" w:eastAsia="MS Mincho" w:hAnsi="Times New Roman"/>
          <w:bCs/>
          <w:szCs w:val="26"/>
          <w:lang w:val="en-GB" w:eastAsia="en-GB"/>
        </w:rPr>
        <w:t xml:space="preserve"> in deleting part of the </w:t>
      </w:r>
      <w:r>
        <w:rPr>
          <w:rFonts w:ascii="Times New Roman" w:eastAsia="MS Mincho" w:hAnsi="Times New Roman"/>
          <w:bCs/>
          <w:szCs w:val="26"/>
          <w:lang w:val="en-GB" w:eastAsia="en-GB"/>
        </w:rPr>
        <w:t xml:space="preserve">stored </w:t>
      </w:r>
      <w:r w:rsidRPr="007B70D2">
        <w:rPr>
          <w:rFonts w:ascii="Times New Roman" w:eastAsia="MS Mincho" w:hAnsi="Times New Roman"/>
          <w:bCs/>
          <w:szCs w:val="26"/>
          <w:lang w:val="en-GB" w:eastAsia="en-GB"/>
        </w:rPr>
        <w:t>context</w:t>
      </w:r>
      <w:r>
        <w:rPr>
          <w:rFonts w:ascii="Times New Roman" w:eastAsia="MS Mincho" w:hAnsi="Times New Roman"/>
          <w:bCs/>
          <w:szCs w:val="26"/>
          <w:lang w:val="en-GB" w:eastAsia="en-GB"/>
        </w:rPr>
        <w:t>.</w:t>
      </w:r>
      <w:r w:rsidRPr="007B70D2">
        <w:rPr>
          <w:rFonts w:ascii="Times New Roman" w:eastAsia="MS Mincho" w:hAnsi="Times New Roman"/>
          <w:bCs/>
          <w:szCs w:val="26"/>
          <w:lang w:val="en-GB" w:eastAsia="en-GB"/>
        </w:rPr>
        <w:t xml:space="preserve"> </w:t>
      </w:r>
      <w:r>
        <w:rPr>
          <w:rFonts w:ascii="Times New Roman" w:eastAsia="MS Mincho" w:hAnsi="Times New Roman"/>
          <w:bCs/>
          <w:szCs w:val="26"/>
          <w:lang w:val="en-GB" w:eastAsia="en-GB"/>
        </w:rPr>
        <w:t>H</w:t>
      </w:r>
      <w:r w:rsidRPr="007B70D2">
        <w:rPr>
          <w:rFonts w:ascii="Times New Roman" w:eastAsia="MS Mincho" w:hAnsi="Times New Roman"/>
          <w:bCs/>
          <w:szCs w:val="26"/>
          <w:lang w:val="en-GB" w:eastAsia="en-GB"/>
        </w:rPr>
        <w:t xml:space="preserve">ence </w:t>
      </w:r>
      <w:r>
        <w:rPr>
          <w:rFonts w:ascii="Times New Roman" w:eastAsia="MS Mincho" w:hAnsi="Times New Roman"/>
          <w:bCs/>
          <w:szCs w:val="26"/>
          <w:lang w:val="en-GB" w:eastAsia="en-GB"/>
        </w:rPr>
        <w:t xml:space="preserve">we </w:t>
      </w:r>
      <w:r w:rsidRPr="007B70D2">
        <w:rPr>
          <w:rFonts w:ascii="Times New Roman" w:eastAsia="MS Mincho" w:hAnsi="Times New Roman"/>
          <w:bCs/>
          <w:szCs w:val="26"/>
          <w:lang w:val="en-GB" w:eastAsia="en-GB"/>
        </w:rPr>
        <w:t>suggest that two pieces of SL UE context can be defined</w:t>
      </w:r>
      <w:r>
        <w:rPr>
          <w:rFonts w:ascii="Times New Roman" w:eastAsia="MS Mincho" w:hAnsi="Times New Roman"/>
          <w:bCs/>
          <w:szCs w:val="26"/>
          <w:lang w:val="en-GB" w:eastAsia="en-GB"/>
        </w:rPr>
        <w:t xml:space="preserve"> (and differentiated) as follows</w:t>
      </w:r>
      <w:r w:rsidRPr="005731B3">
        <w:rPr>
          <w:rFonts w:ascii="Times New Roman" w:eastAsia="MS Mincho" w:hAnsi="Times New Roman"/>
          <w:bCs/>
          <w:szCs w:val="26"/>
          <w:lang w:val="en-GB" w:eastAsia="en-GB"/>
        </w:rPr>
        <w:t xml:space="preserve">: </w:t>
      </w:r>
    </w:p>
    <w:p w14:paraId="7DA33985" w14:textId="77777777" w:rsidR="00296DE4" w:rsidRDefault="00296DE4" w:rsidP="00296DE4">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Cs w:val="26"/>
          <w:lang w:val="en-GB" w:eastAsia="en-GB"/>
        </w:rPr>
      </w:pPr>
      <w:r w:rsidRPr="005731B3">
        <w:rPr>
          <w:rFonts w:ascii="Times New Roman" w:eastAsia="MS Mincho" w:hAnsi="Times New Roman"/>
          <w:bCs/>
          <w:szCs w:val="26"/>
          <w:lang w:val="en-GB" w:eastAsia="en-GB"/>
        </w:rPr>
        <w:t xml:space="preserve">SL UE capability context </w:t>
      </w:r>
      <w:r>
        <w:rPr>
          <w:rFonts w:ascii="Times New Roman" w:eastAsia="MS Mincho" w:hAnsi="Times New Roman"/>
          <w:bCs/>
          <w:szCs w:val="26"/>
          <w:lang w:val="en-GB" w:eastAsia="en-GB"/>
        </w:rPr>
        <w:t xml:space="preserve">at per destination UE level </w:t>
      </w:r>
    </w:p>
    <w:p w14:paraId="79E29B33" w14:textId="77777777" w:rsidR="00296DE4" w:rsidRDefault="00296DE4" w:rsidP="00296DE4">
      <w:pPr>
        <w:pStyle w:val="ListParagraph"/>
        <w:widowControl w:val="0"/>
        <w:numPr>
          <w:ilvl w:val="0"/>
          <w:numId w:val="11"/>
        </w:numPr>
        <w:tabs>
          <w:tab w:val="left" w:pos="907"/>
        </w:tabs>
        <w:spacing w:before="240" w:after="60" w:line="240" w:lineRule="auto"/>
        <w:outlineLvl w:val="2"/>
        <w:rPr>
          <w:rFonts w:ascii="Times New Roman" w:eastAsia="MS Mincho" w:hAnsi="Times New Roman"/>
          <w:bCs/>
          <w:szCs w:val="26"/>
          <w:lang w:val="en-GB" w:eastAsia="en-GB"/>
        </w:rPr>
      </w:pPr>
      <w:r w:rsidRPr="005731B3">
        <w:rPr>
          <w:rFonts w:ascii="Times New Roman" w:eastAsia="MS Mincho" w:hAnsi="Times New Roman"/>
          <w:bCs/>
          <w:szCs w:val="26"/>
          <w:lang w:val="en-GB" w:eastAsia="en-GB"/>
        </w:rPr>
        <w:t xml:space="preserve">SL UE </w:t>
      </w:r>
      <w:r>
        <w:rPr>
          <w:rFonts w:ascii="Times New Roman" w:eastAsia="MS Mincho" w:hAnsi="Times New Roman"/>
          <w:bCs/>
          <w:szCs w:val="26"/>
          <w:lang w:val="en-GB" w:eastAsia="en-GB"/>
        </w:rPr>
        <w:t>SLRB</w:t>
      </w:r>
      <w:r w:rsidRPr="005731B3">
        <w:rPr>
          <w:rFonts w:ascii="Times New Roman" w:eastAsia="MS Mincho" w:hAnsi="Times New Roman"/>
          <w:bCs/>
          <w:szCs w:val="26"/>
          <w:lang w:val="en-GB" w:eastAsia="en-GB"/>
        </w:rPr>
        <w:t xml:space="preserve"> context</w:t>
      </w:r>
      <w:r>
        <w:rPr>
          <w:rFonts w:ascii="Times New Roman" w:eastAsia="MS Mincho" w:hAnsi="Times New Roman"/>
          <w:bCs/>
          <w:szCs w:val="26"/>
          <w:lang w:val="en-GB" w:eastAsia="en-GB"/>
        </w:rPr>
        <w:t xml:space="preserve"> at per PC5 link ID level</w:t>
      </w:r>
      <w:r w:rsidRPr="005731B3">
        <w:rPr>
          <w:rFonts w:ascii="Times New Roman" w:eastAsia="MS Mincho" w:hAnsi="Times New Roman"/>
          <w:bCs/>
          <w:szCs w:val="26"/>
          <w:lang w:val="en-GB" w:eastAsia="en-GB"/>
        </w:rPr>
        <w:t>.</w:t>
      </w:r>
    </w:p>
    <w:p w14:paraId="0568E559" w14:textId="77777777" w:rsidR="00296DE4" w:rsidRPr="005731B3"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sidRPr="005731B3">
        <w:rPr>
          <w:rFonts w:ascii="Times New Roman" w:eastAsia="MS Mincho" w:hAnsi="Times New Roman"/>
          <w:bCs/>
          <w:szCs w:val="26"/>
          <w:lang w:val="en-GB" w:eastAsia="en-GB"/>
        </w:rPr>
        <w:t xml:space="preserve"> </w:t>
      </w:r>
    </w:p>
    <w:p w14:paraId="24333783"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r w:rsidRPr="005731B3">
        <w:rPr>
          <w:rFonts w:ascii="Times New Roman" w:eastAsia="MS Mincho" w:hAnsi="Times New Roman"/>
          <w:bCs/>
          <w:szCs w:val="26"/>
          <w:lang w:val="en-GB" w:eastAsia="en-GB"/>
        </w:rPr>
        <w:t xml:space="preserve">We think that it is prudent to introduce SL UE </w:t>
      </w:r>
      <w:r>
        <w:rPr>
          <w:rFonts w:ascii="Times New Roman" w:eastAsia="MS Mincho" w:hAnsi="Times New Roman"/>
          <w:bCs/>
          <w:szCs w:val="26"/>
          <w:lang w:val="en-GB" w:eastAsia="en-GB"/>
        </w:rPr>
        <w:t>SLRB</w:t>
      </w:r>
      <w:r w:rsidRPr="005731B3">
        <w:rPr>
          <w:rFonts w:ascii="Times New Roman" w:eastAsia="MS Mincho" w:hAnsi="Times New Roman"/>
          <w:bCs/>
          <w:szCs w:val="26"/>
          <w:lang w:val="en-GB" w:eastAsia="en-GB"/>
        </w:rPr>
        <w:t xml:space="preserve"> context at PC5 unicast link ID level so that when the </w:t>
      </w:r>
      <w:r>
        <w:rPr>
          <w:rFonts w:ascii="Times New Roman" w:eastAsia="MS Mincho" w:hAnsi="Times New Roman"/>
          <w:bCs/>
          <w:szCs w:val="26"/>
          <w:lang w:val="en-GB" w:eastAsia="en-GB"/>
        </w:rPr>
        <w:t xml:space="preserve">unicast </w:t>
      </w:r>
      <w:r w:rsidRPr="005731B3">
        <w:rPr>
          <w:rFonts w:ascii="Times New Roman" w:eastAsia="MS Mincho" w:hAnsi="Times New Roman"/>
          <w:bCs/>
          <w:szCs w:val="26"/>
          <w:lang w:val="en-GB" w:eastAsia="en-GB"/>
        </w:rPr>
        <w:t>link is released</w:t>
      </w:r>
      <w:r>
        <w:rPr>
          <w:rFonts w:ascii="Times New Roman" w:eastAsia="MS Mincho" w:hAnsi="Times New Roman"/>
          <w:bCs/>
          <w:szCs w:val="26"/>
          <w:lang w:val="en-GB" w:eastAsia="en-GB"/>
        </w:rPr>
        <w:t>/disconnected</w:t>
      </w:r>
      <w:r w:rsidRPr="005731B3">
        <w:rPr>
          <w:rFonts w:ascii="Times New Roman" w:eastAsia="MS Mincho" w:hAnsi="Times New Roman"/>
          <w:bCs/>
          <w:szCs w:val="26"/>
          <w:lang w:val="en-GB" w:eastAsia="en-GB"/>
        </w:rPr>
        <w:t xml:space="preserve"> </w:t>
      </w:r>
      <w:r>
        <w:rPr>
          <w:rFonts w:ascii="Times New Roman" w:eastAsia="MS Mincho" w:hAnsi="Times New Roman"/>
          <w:bCs/>
          <w:szCs w:val="26"/>
          <w:lang w:val="en-GB" w:eastAsia="en-GB"/>
        </w:rPr>
        <w:t xml:space="preserve">at the upper </w:t>
      </w:r>
      <w:r w:rsidRPr="005731B3">
        <w:rPr>
          <w:rFonts w:ascii="Times New Roman" w:eastAsia="MS Mincho" w:hAnsi="Times New Roman"/>
          <w:bCs/>
          <w:szCs w:val="26"/>
          <w:lang w:val="en-GB" w:eastAsia="en-GB"/>
        </w:rPr>
        <w:t xml:space="preserve">layer, the </w:t>
      </w:r>
      <w:r>
        <w:rPr>
          <w:rFonts w:ascii="Times New Roman" w:eastAsia="MS Mincho" w:hAnsi="Times New Roman"/>
          <w:bCs/>
          <w:szCs w:val="26"/>
          <w:lang w:val="en-GB" w:eastAsia="en-GB"/>
        </w:rPr>
        <w:t xml:space="preserve">UE </w:t>
      </w:r>
      <w:r w:rsidRPr="005731B3">
        <w:rPr>
          <w:rFonts w:ascii="Times New Roman" w:eastAsia="MS Mincho" w:hAnsi="Times New Roman"/>
          <w:bCs/>
          <w:szCs w:val="26"/>
          <w:lang w:val="en-GB" w:eastAsia="en-GB"/>
        </w:rPr>
        <w:t xml:space="preserve">context can be deleted at the AS layer accordingly. </w:t>
      </w:r>
    </w:p>
    <w:p w14:paraId="5BE56E8F" w14:textId="77777777" w:rsidR="00296DE4" w:rsidRDefault="00296DE4" w:rsidP="00296DE4">
      <w:pPr>
        <w:pStyle w:val="ListParagraph"/>
        <w:widowControl w:val="0"/>
        <w:tabs>
          <w:tab w:val="left" w:pos="907"/>
        </w:tabs>
        <w:spacing w:before="240" w:after="60" w:line="240" w:lineRule="auto"/>
        <w:ind w:left="0"/>
        <w:outlineLvl w:val="2"/>
        <w:rPr>
          <w:rFonts w:ascii="Times New Roman" w:eastAsia="MS Mincho" w:hAnsi="Times New Roman"/>
          <w:bCs/>
          <w:szCs w:val="26"/>
          <w:lang w:val="en-GB" w:eastAsia="en-GB"/>
        </w:rPr>
      </w:pPr>
    </w:p>
    <w:p w14:paraId="0BCF5937" w14:textId="5C5CE8D9" w:rsidR="00296DE4" w:rsidRPr="00D25A43" w:rsidRDefault="00296DE4" w:rsidP="00772F31">
      <w:pPr>
        <w:pStyle w:val="ListParagraph"/>
        <w:widowControl w:val="0"/>
        <w:tabs>
          <w:tab w:val="left" w:pos="907"/>
        </w:tabs>
        <w:spacing w:before="240" w:after="60" w:line="240" w:lineRule="auto"/>
        <w:ind w:left="1170" w:hanging="117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 xml:space="preserve">Proposal </w:t>
      </w:r>
      <w:r>
        <w:rPr>
          <w:rFonts w:ascii="Times New Roman" w:eastAsia="MS Mincho" w:hAnsi="Times New Roman"/>
          <w:b/>
          <w:bCs/>
          <w:szCs w:val="26"/>
          <w:lang w:val="en-GB" w:eastAsia="en-GB"/>
        </w:rPr>
        <w:t>3</w:t>
      </w:r>
      <w:r w:rsidRPr="00D25A43">
        <w:rPr>
          <w:rFonts w:ascii="Times New Roman" w:eastAsia="MS Mincho" w:hAnsi="Times New Roman"/>
          <w:b/>
          <w:bCs/>
          <w:szCs w:val="26"/>
          <w:lang w:val="en-GB" w:eastAsia="en-GB"/>
        </w:rPr>
        <w:t>:</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 xml:space="preserve">RAN2 to discuss whether to store the SL UE SLRB context for every PC5 unicast link at the TX UE </w:t>
      </w:r>
      <w:r w:rsidR="00E0698C">
        <w:rPr>
          <w:rFonts w:ascii="Times New Roman" w:eastAsia="MS Mincho" w:hAnsi="Times New Roman"/>
          <w:bCs/>
          <w:i/>
          <w:szCs w:val="26"/>
          <w:lang w:val="en-GB" w:eastAsia="en-GB"/>
        </w:rPr>
        <w:t>(</w:t>
      </w:r>
      <w:r w:rsidRPr="00772F31">
        <w:rPr>
          <w:rFonts w:ascii="Times New Roman" w:eastAsia="MS Mincho" w:hAnsi="Times New Roman"/>
          <w:bCs/>
          <w:i/>
          <w:szCs w:val="26"/>
          <w:lang w:val="en-GB" w:eastAsia="en-GB"/>
        </w:rPr>
        <w:t>and delete the context when the unicast link is released</w:t>
      </w:r>
      <w:r w:rsidR="00E0698C">
        <w:rPr>
          <w:rFonts w:ascii="Times New Roman" w:eastAsia="MS Mincho" w:hAnsi="Times New Roman"/>
          <w:bCs/>
          <w:i/>
          <w:szCs w:val="26"/>
          <w:lang w:val="en-GB" w:eastAsia="en-GB"/>
        </w:rPr>
        <w:t>)</w:t>
      </w:r>
      <w:r w:rsidRPr="00772F31">
        <w:rPr>
          <w:rFonts w:ascii="Times New Roman" w:eastAsia="MS Mincho" w:hAnsi="Times New Roman"/>
          <w:bCs/>
          <w:i/>
          <w:szCs w:val="26"/>
          <w:lang w:val="en-GB" w:eastAsia="en-GB"/>
        </w:rPr>
        <w:t>.</w:t>
      </w:r>
    </w:p>
    <w:p w14:paraId="2C9E50B9" w14:textId="77777777" w:rsidR="00296DE4" w:rsidRPr="005731B3" w:rsidRDefault="00296DE4" w:rsidP="00296DE4">
      <w:pPr>
        <w:pStyle w:val="ListParagraph"/>
        <w:widowControl w:val="0"/>
        <w:tabs>
          <w:tab w:val="left" w:pos="907"/>
        </w:tabs>
        <w:spacing w:before="240" w:after="60" w:line="240" w:lineRule="auto"/>
        <w:outlineLvl w:val="2"/>
        <w:rPr>
          <w:rFonts w:ascii="Times New Roman" w:eastAsia="MS Mincho" w:hAnsi="Times New Roman"/>
          <w:bCs/>
          <w:szCs w:val="26"/>
          <w:lang w:val="en-GB" w:eastAsia="en-GB"/>
        </w:rPr>
      </w:pPr>
    </w:p>
    <w:p w14:paraId="508B9675" w14:textId="300C3794" w:rsidR="00296DE4" w:rsidRPr="00E0063E" w:rsidRDefault="00296DE4" w:rsidP="00296DE4">
      <w:pPr>
        <w:pStyle w:val="Tdoc"/>
        <w:ind w:left="360"/>
      </w:pPr>
      <w:r>
        <w:t>Co</w:t>
      </w:r>
      <w:r w:rsidRPr="00E0063E">
        <w:t>nclusion</w:t>
      </w:r>
    </w:p>
    <w:p w14:paraId="1617EAC3" w14:textId="77777777" w:rsidR="00296DE4" w:rsidRDefault="00296DE4" w:rsidP="00296DE4">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In this contribution, we provide our views on the usage of PC5 unicast link identifier for NR V2X sidelink and have the following observation and proposals:</w:t>
      </w:r>
    </w:p>
    <w:p w14:paraId="38744310" w14:textId="77777777" w:rsidR="00772F31" w:rsidRPr="00D25A43" w:rsidRDefault="00772F31" w:rsidP="00772F31">
      <w:pPr>
        <w:pStyle w:val="ListParagraph"/>
        <w:widowControl w:val="0"/>
        <w:tabs>
          <w:tab w:val="left" w:pos="907"/>
        </w:tabs>
        <w:spacing w:before="240" w:after="60" w:line="240" w:lineRule="auto"/>
        <w:ind w:left="1440" w:hanging="144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Observation 1:</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In SA2, PC5 unicast link identifier is defined for every PC5 unicast link established at V2X layer to support unicast communication between two peer UEs.</w:t>
      </w:r>
    </w:p>
    <w:p w14:paraId="1563ADE7" w14:textId="77777777" w:rsidR="00E0698C" w:rsidRPr="00772F31" w:rsidRDefault="00E0698C" w:rsidP="00E0698C">
      <w:pPr>
        <w:pStyle w:val="NormalWeb"/>
        <w:spacing w:before="0" w:beforeAutospacing="0" w:after="0" w:afterAutospacing="0"/>
        <w:ind w:left="1170" w:hanging="1170"/>
        <w:rPr>
          <w:rFonts w:eastAsia="MS Mincho"/>
          <w:bCs/>
          <w:i/>
          <w:sz w:val="22"/>
          <w:szCs w:val="26"/>
          <w:lang w:val="en-GB" w:eastAsia="en-GB"/>
        </w:rPr>
      </w:pPr>
      <w:r w:rsidRPr="00D25A43">
        <w:rPr>
          <w:rFonts w:eastAsia="MS Mincho"/>
          <w:b/>
          <w:bCs/>
          <w:szCs w:val="26"/>
          <w:lang w:val="en-GB" w:eastAsia="en-GB"/>
        </w:rPr>
        <w:t xml:space="preserve">Proposal </w:t>
      </w:r>
      <w:r>
        <w:rPr>
          <w:rFonts w:eastAsia="MS Mincho"/>
          <w:b/>
          <w:bCs/>
          <w:szCs w:val="26"/>
          <w:lang w:val="en-GB" w:eastAsia="en-GB"/>
        </w:rPr>
        <w:t>1</w:t>
      </w:r>
      <w:r w:rsidRPr="00D25A43">
        <w:rPr>
          <w:rFonts w:eastAsia="MS Mincho"/>
          <w:b/>
          <w:bCs/>
          <w:szCs w:val="26"/>
          <w:lang w:val="en-GB" w:eastAsia="en-GB"/>
        </w:rPr>
        <w:t>:</w:t>
      </w:r>
      <w:r w:rsidRPr="00D25A43">
        <w:rPr>
          <w:rFonts w:eastAsia="MS Mincho"/>
          <w:bCs/>
          <w:szCs w:val="26"/>
          <w:lang w:val="en-GB" w:eastAsia="en-GB"/>
        </w:rPr>
        <w:t xml:space="preserve"> </w:t>
      </w:r>
      <w:r w:rsidRPr="00772F31">
        <w:rPr>
          <w:rFonts w:eastAsia="MS Mincho"/>
          <w:bCs/>
          <w:i/>
          <w:sz w:val="22"/>
          <w:szCs w:val="26"/>
          <w:lang w:val="en-GB" w:eastAsia="en-GB"/>
        </w:rPr>
        <w:t xml:space="preserve">RAN2 </w:t>
      </w:r>
      <w:r>
        <w:rPr>
          <w:rFonts w:eastAsia="MS Mincho"/>
          <w:bCs/>
          <w:i/>
          <w:sz w:val="22"/>
          <w:szCs w:val="26"/>
          <w:lang w:val="en-GB" w:eastAsia="en-GB"/>
        </w:rPr>
        <w:t xml:space="preserve">is proposed </w:t>
      </w:r>
      <w:r w:rsidRPr="00772F31">
        <w:rPr>
          <w:rFonts w:eastAsia="MS Mincho"/>
          <w:bCs/>
          <w:i/>
          <w:sz w:val="22"/>
          <w:szCs w:val="26"/>
          <w:lang w:val="en-GB" w:eastAsia="en-GB"/>
        </w:rPr>
        <w:t xml:space="preserve">to </w:t>
      </w:r>
      <w:r>
        <w:rPr>
          <w:rFonts w:eastAsia="MS Mincho"/>
          <w:bCs/>
          <w:i/>
          <w:sz w:val="22"/>
          <w:szCs w:val="26"/>
          <w:lang w:val="en-GB" w:eastAsia="en-GB"/>
        </w:rPr>
        <w:t>check with</w:t>
      </w:r>
      <w:r w:rsidRPr="00772F31">
        <w:rPr>
          <w:rFonts w:eastAsia="MS Mincho"/>
          <w:bCs/>
          <w:i/>
          <w:sz w:val="22"/>
          <w:szCs w:val="26"/>
          <w:lang w:val="en-GB" w:eastAsia="en-GB"/>
        </w:rPr>
        <w:t xml:space="preserve"> SA2 if the PC5 unicast link identifier </w:t>
      </w:r>
      <w:r>
        <w:rPr>
          <w:rFonts w:eastAsia="MS Mincho"/>
          <w:bCs/>
          <w:i/>
          <w:sz w:val="22"/>
          <w:szCs w:val="26"/>
          <w:lang w:val="en-GB" w:eastAsia="en-GB"/>
        </w:rPr>
        <w:t>(</w:t>
      </w:r>
      <w:r w:rsidRPr="00772F31">
        <w:rPr>
          <w:rFonts w:eastAsia="MS Mincho"/>
          <w:bCs/>
          <w:i/>
          <w:sz w:val="22"/>
          <w:szCs w:val="26"/>
          <w:lang w:val="en-GB" w:eastAsia="en-GB"/>
        </w:rPr>
        <w:t>ma</w:t>
      </w:r>
      <w:r>
        <w:rPr>
          <w:rFonts w:eastAsia="MS Mincho"/>
          <w:bCs/>
          <w:i/>
          <w:sz w:val="22"/>
          <w:szCs w:val="26"/>
          <w:lang w:val="en-GB" w:eastAsia="en-GB"/>
        </w:rPr>
        <w:t>de</w:t>
      </w:r>
      <w:r w:rsidRPr="00772F31">
        <w:rPr>
          <w:rFonts w:eastAsia="MS Mincho"/>
          <w:bCs/>
          <w:i/>
          <w:sz w:val="22"/>
          <w:szCs w:val="26"/>
          <w:lang w:val="en-GB" w:eastAsia="en-GB"/>
        </w:rPr>
        <w:t xml:space="preserve"> available to </w:t>
      </w:r>
      <w:r>
        <w:rPr>
          <w:rFonts w:eastAsia="MS Mincho"/>
          <w:bCs/>
          <w:i/>
          <w:sz w:val="22"/>
          <w:szCs w:val="26"/>
          <w:lang w:val="en-GB" w:eastAsia="en-GB"/>
        </w:rPr>
        <w:t xml:space="preserve">the </w:t>
      </w:r>
      <w:r w:rsidRPr="00772F31">
        <w:rPr>
          <w:rFonts w:eastAsia="MS Mincho"/>
          <w:bCs/>
          <w:i/>
          <w:sz w:val="22"/>
          <w:szCs w:val="26"/>
          <w:lang w:val="en-GB" w:eastAsia="en-GB"/>
        </w:rPr>
        <w:t>AS layer</w:t>
      </w:r>
      <w:r>
        <w:rPr>
          <w:rFonts w:eastAsia="MS Mincho"/>
          <w:bCs/>
          <w:i/>
          <w:sz w:val="22"/>
          <w:szCs w:val="26"/>
          <w:lang w:val="en-GB" w:eastAsia="en-GB"/>
        </w:rPr>
        <w:t>) can be shared between the two peer UEs.</w:t>
      </w:r>
    </w:p>
    <w:p w14:paraId="583C7CAD" w14:textId="77777777" w:rsidR="00772F31" w:rsidRDefault="00772F31" w:rsidP="00772F31">
      <w:pPr>
        <w:pStyle w:val="ListParagraph"/>
        <w:widowControl w:val="0"/>
        <w:tabs>
          <w:tab w:val="left" w:pos="907"/>
        </w:tabs>
        <w:spacing w:before="240" w:after="60" w:line="240" w:lineRule="auto"/>
        <w:ind w:left="1170" w:hanging="117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 xml:space="preserve">Proposal </w:t>
      </w:r>
      <w:r>
        <w:rPr>
          <w:rFonts w:ascii="Times New Roman" w:eastAsia="MS Mincho" w:hAnsi="Times New Roman"/>
          <w:b/>
          <w:bCs/>
          <w:szCs w:val="26"/>
          <w:lang w:val="en-GB" w:eastAsia="en-GB"/>
        </w:rPr>
        <w:t>2</w:t>
      </w:r>
      <w:r w:rsidRPr="00D25A43">
        <w:rPr>
          <w:rFonts w:ascii="Times New Roman" w:eastAsia="MS Mincho" w:hAnsi="Times New Roman"/>
          <w:b/>
          <w:bCs/>
          <w:szCs w:val="26"/>
          <w:lang w:val="en-GB" w:eastAsia="en-GB"/>
        </w:rPr>
        <w:t>:</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RAN2 to discuss whether a new SDAP entity could be established at the TX UE for every PC5 unicast link.</w:t>
      </w:r>
      <w:r w:rsidRPr="00D25A43">
        <w:rPr>
          <w:rFonts w:ascii="Times New Roman" w:eastAsia="MS Mincho" w:hAnsi="Times New Roman"/>
          <w:bCs/>
          <w:szCs w:val="26"/>
          <w:lang w:val="en-GB" w:eastAsia="en-GB"/>
        </w:rPr>
        <w:t xml:space="preserve"> </w:t>
      </w:r>
    </w:p>
    <w:p w14:paraId="34F24332" w14:textId="77777777" w:rsidR="00772F31" w:rsidRDefault="00772F31" w:rsidP="00772F31">
      <w:pPr>
        <w:pStyle w:val="ListParagraph"/>
        <w:widowControl w:val="0"/>
        <w:tabs>
          <w:tab w:val="left" w:pos="907"/>
        </w:tabs>
        <w:spacing w:before="240" w:after="60" w:line="240" w:lineRule="auto"/>
        <w:ind w:left="1170" w:hanging="1170"/>
        <w:outlineLvl w:val="2"/>
        <w:rPr>
          <w:rFonts w:ascii="Times New Roman" w:eastAsia="MS Mincho" w:hAnsi="Times New Roman"/>
          <w:bCs/>
          <w:szCs w:val="26"/>
          <w:lang w:val="en-GB" w:eastAsia="en-GB"/>
        </w:rPr>
      </w:pPr>
    </w:p>
    <w:p w14:paraId="6146C2E8" w14:textId="77777777" w:rsidR="00E0698C" w:rsidRPr="00D25A43" w:rsidRDefault="00E0698C" w:rsidP="00E0698C">
      <w:pPr>
        <w:pStyle w:val="ListParagraph"/>
        <w:widowControl w:val="0"/>
        <w:tabs>
          <w:tab w:val="left" w:pos="907"/>
        </w:tabs>
        <w:spacing w:before="240" w:after="60" w:line="240" w:lineRule="auto"/>
        <w:ind w:left="1170" w:hanging="1170"/>
        <w:outlineLvl w:val="2"/>
        <w:rPr>
          <w:rFonts w:ascii="Times New Roman" w:eastAsia="MS Mincho" w:hAnsi="Times New Roman"/>
          <w:bCs/>
          <w:szCs w:val="26"/>
          <w:lang w:val="en-GB" w:eastAsia="en-GB"/>
        </w:rPr>
      </w:pPr>
      <w:r w:rsidRPr="00D25A43">
        <w:rPr>
          <w:rFonts w:ascii="Times New Roman" w:eastAsia="MS Mincho" w:hAnsi="Times New Roman"/>
          <w:b/>
          <w:bCs/>
          <w:szCs w:val="26"/>
          <w:lang w:val="en-GB" w:eastAsia="en-GB"/>
        </w:rPr>
        <w:t xml:space="preserve">Proposal </w:t>
      </w:r>
      <w:r>
        <w:rPr>
          <w:rFonts w:ascii="Times New Roman" w:eastAsia="MS Mincho" w:hAnsi="Times New Roman"/>
          <w:b/>
          <w:bCs/>
          <w:szCs w:val="26"/>
          <w:lang w:val="en-GB" w:eastAsia="en-GB"/>
        </w:rPr>
        <w:t>3</w:t>
      </w:r>
      <w:r w:rsidRPr="00D25A43">
        <w:rPr>
          <w:rFonts w:ascii="Times New Roman" w:eastAsia="MS Mincho" w:hAnsi="Times New Roman"/>
          <w:b/>
          <w:bCs/>
          <w:szCs w:val="26"/>
          <w:lang w:val="en-GB" w:eastAsia="en-GB"/>
        </w:rPr>
        <w:t>:</w:t>
      </w:r>
      <w:r w:rsidRPr="00D25A43">
        <w:rPr>
          <w:rFonts w:ascii="Times New Roman" w:eastAsia="MS Mincho" w:hAnsi="Times New Roman"/>
          <w:bCs/>
          <w:szCs w:val="26"/>
          <w:lang w:val="en-GB" w:eastAsia="en-GB"/>
        </w:rPr>
        <w:t xml:space="preserve"> </w:t>
      </w:r>
      <w:r w:rsidRPr="00772F31">
        <w:rPr>
          <w:rFonts w:ascii="Times New Roman" w:eastAsia="MS Mincho" w:hAnsi="Times New Roman"/>
          <w:bCs/>
          <w:i/>
          <w:szCs w:val="26"/>
          <w:lang w:val="en-GB" w:eastAsia="en-GB"/>
        </w:rPr>
        <w:t xml:space="preserve">RAN2 to discuss whether to store the SL UE SLRB context for every PC5 unicast link at the TX UE </w:t>
      </w:r>
      <w:r>
        <w:rPr>
          <w:rFonts w:ascii="Times New Roman" w:eastAsia="MS Mincho" w:hAnsi="Times New Roman"/>
          <w:bCs/>
          <w:i/>
          <w:szCs w:val="26"/>
          <w:lang w:val="en-GB" w:eastAsia="en-GB"/>
        </w:rPr>
        <w:t>(</w:t>
      </w:r>
      <w:r w:rsidRPr="00772F31">
        <w:rPr>
          <w:rFonts w:ascii="Times New Roman" w:eastAsia="MS Mincho" w:hAnsi="Times New Roman"/>
          <w:bCs/>
          <w:i/>
          <w:szCs w:val="26"/>
          <w:lang w:val="en-GB" w:eastAsia="en-GB"/>
        </w:rPr>
        <w:t>and delete the context when the unicast link is released</w:t>
      </w:r>
      <w:r>
        <w:rPr>
          <w:rFonts w:ascii="Times New Roman" w:eastAsia="MS Mincho" w:hAnsi="Times New Roman"/>
          <w:bCs/>
          <w:i/>
          <w:szCs w:val="26"/>
          <w:lang w:val="en-GB" w:eastAsia="en-GB"/>
        </w:rPr>
        <w:t>)</w:t>
      </w:r>
      <w:r w:rsidRPr="00772F31">
        <w:rPr>
          <w:rFonts w:ascii="Times New Roman" w:eastAsia="MS Mincho" w:hAnsi="Times New Roman"/>
          <w:bCs/>
          <w:i/>
          <w:szCs w:val="26"/>
          <w:lang w:val="en-GB" w:eastAsia="en-GB"/>
        </w:rPr>
        <w:t>.</w:t>
      </w:r>
    </w:p>
    <w:p w14:paraId="0DA3A0F0" w14:textId="2F5F150C" w:rsidR="00296DE4" w:rsidRPr="00EE55CE" w:rsidRDefault="00E0698C" w:rsidP="00296DE4">
      <w:pPr>
        <w:ind w:left="1440" w:hanging="1440"/>
        <w:rPr>
          <w:lang w:val="en-GB" w:eastAsia="en-GB"/>
        </w:rPr>
      </w:pPr>
      <w:r w:rsidRPr="00D25A43" w:rsidDel="00E0698C">
        <w:rPr>
          <w:rFonts w:ascii="Times New Roman" w:eastAsia="MS Mincho" w:hAnsi="Times New Roman"/>
          <w:b/>
          <w:bCs/>
          <w:szCs w:val="26"/>
          <w:lang w:val="en-GB" w:eastAsia="en-GB"/>
        </w:rPr>
        <w:t xml:space="preserve"> </w:t>
      </w:r>
    </w:p>
    <w:p w14:paraId="5961E1AA" w14:textId="77777777" w:rsidR="00296DE4" w:rsidRPr="00C94AE1" w:rsidRDefault="00296DE4" w:rsidP="00296DE4">
      <w:pPr>
        <w:pStyle w:val="Tdoc"/>
        <w:ind w:left="360"/>
        <w:rPr>
          <w:i/>
          <w:lang w:val="en-GB"/>
        </w:rPr>
      </w:pPr>
      <w:r>
        <w:rPr>
          <w:lang w:val="en-GB"/>
        </w:rPr>
        <w:t>References</w:t>
      </w:r>
    </w:p>
    <w:p w14:paraId="1B1B25BB" w14:textId="77777777" w:rsidR="00296DE4" w:rsidRDefault="00296DE4" w:rsidP="00296DE4">
      <w:pPr>
        <w:spacing w:after="0" w:line="360" w:lineRule="auto"/>
        <w:ind w:left="270" w:hanging="270"/>
        <w:rPr>
          <w:rFonts w:ascii="Times New Roman" w:hAnsi="Times New Roman"/>
          <w:sz w:val="20"/>
          <w:lang w:val="en-GB"/>
        </w:rPr>
      </w:pPr>
      <w:r w:rsidRPr="00C94AE1">
        <w:rPr>
          <w:sz w:val="20"/>
          <w:szCs w:val="20"/>
          <w:lang w:val="en-GB"/>
        </w:rPr>
        <w:t xml:space="preserve">[1] </w:t>
      </w:r>
      <w:r>
        <w:rPr>
          <w:rFonts w:ascii="Times New Roman" w:hAnsi="Times New Roman"/>
          <w:sz w:val="20"/>
          <w:lang w:val="en-GB"/>
        </w:rPr>
        <w:t>TS 23.287, Architecture enhancements for 5GS to support V2X services, Release 16.</w:t>
      </w:r>
    </w:p>
    <w:p w14:paraId="7B832AC8" w14:textId="77777777" w:rsidR="00296DE4" w:rsidRDefault="00296DE4" w:rsidP="00296DE4">
      <w:pPr>
        <w:spacing w:after="0" w:line="360" w:lineRule="auto"/>
        <w:ind w:left="270" w:hanging="270"/>
        <w:rPr>
          <w:rFonts w:ascii="Times New Roman" w:hAnsi="Times New Roman"/>
          <w:sz w:val="20"/>
          <w:lang w:val="en-GB"/>
        </w:rPr>
      </w:pPr>
      <w:r w:rsidRPr="00C94AE1">
        <w:rPr>
          <w:rFonts w:ascii="Times New Roman" w:hAnsi="Times New Roman"/>
          <w:sz w:val="20"/>
          <w:lang w:val="en-GB"/>
        </w:rPr>
        <w:t xml:space="preserve">[2] </w:t>
      </w:r>
      <w:r>
        <w:rPr>
          <w:rFonts w:ascii="Times New Roman" w:hAnsi="Times New Roman"/>
          <w:sz w:val="20"/>
          <w:lang w:val="en-GB"/>
        </w:rPr>
        <w:t>RAN2#105bis, NR V2X: Chairman notes.</w:t>
      </w:r>
    </w:p>
    <w:p w14:paraId="720D2F2B" w14:textId="77777777" w:rsidR="00296DE4" w:rsidRDefault="00296DE4" w:rsidP="00296DE4">
      <w:pPr>
        <w:spacing w:after="0" w:line="360" w:lineRule="auto"/>
        <w:ind w:left="270" w:hanging="270"/>
        <w:rPr>
          <w:rFonts w:ascii="Times New Roman" w:hAnsi="Times New Roman"/>
          <w:sz w:val="20"/>
          <w:lang w:val="en-GB"/>
        </w:rPr>
      </w:pPr>
      <w:r>
        <w:rPr>
          <w:rFonts w:ascii="Times New Roman" w:hAnsi="Times New Roman"/>
          <w:sz w:val="20"/>
          <w:lang w:val="en-GB"/>
        </w:rPr>
        <w:t xml:space="preserve"> </w:t>
      </w:r>
    </w:p>
    <w:p w14:paraId="7ED76FD7" w14:textId="77777777" w:rsidR="00296DE4" w:rsidRPr="00C94AE1" w:rsidRDefault="00296DE4" w:rsidP="00296DE4">
      <w:pPr>
        <w:pStyle w:val="Tdoc"/>
        <w:ind w:left="360"/>
        <w:rPr>
          <w:i/>
          <w:lang w:val="en-GB"/>
        </w:rPr>
      </w:pPr>
      <w:r>
        <w:rPr>
          <w:lang w:val="en-GB"/>
        </w:rPr>
        <w:lastRenderedPageBreak/>
        <w:t>Annex</w:t>
      </w:r>
    </w:p>
    <w:p w14:paraId="29EA889D" w14:textId="77777777" w:rsidR="00296DE4" w:rsidRPr="00DD19A7" w:rsidRDefault="00296DE4" w:rsidP="00296DE4">
      <w:pPr>
        <w:pStyle w:val="TH"/>
        <w:rPr>
          <w:rFonts w:ascii="Times New Roman" w:hAnsi="Times New Roman"/>
        </w:rPr>
      </w:pPr>
    </w:p>
    <w:p w14:paraId="2587AC1B" w14:textId="77777777" w:rsidR="00296DE4" w:rsidRDefault="00296DE4" w:rsidP="00296DE4">
      <w:pPr>
        <w:pStyle w:val="TH"/>
        <w:rPr>
          <w:rFonts w:eastAsia="Malgun Gothic"/>
        </w:rPr>
      </w:pPr>
      <w:r>
        <w:rPr>
          <w:rFonts w:eastAsia="Malgun Gothic"/>
        </w:rPr>
        <w:object w:dxaOrig="7180" w:dyaOrig="3950" w14:anchorId="56E90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97.2pt" o:ole="">
            <v:imagedata r:id="rId9" o:title=""/>
          </v:shape>
          <o:OLEObject Type="Embed" ProgID="Visio.Drawing.11" ShapeID="_x0000_i1025" DrawAspect="Content" ObjectID="_1627398627" r:id="rId10"/>
        </w:object>
      </w:r>
    </w:p>
    <w:p w14:paraId="60E23CB5" w14:textId="77777777" w:rsidR="00296DE4" w:rsidRDefault="00296DE4" w:rsidP="00296DE4">
      <w:pPr>
        <w:pStyle w:val="TF"/>
        <w:rPr>
          <w:lang w:val="en-US"/>
        </w:rPr>
      </w:pPr>
      <w:r>
        <w:t>Figure 5.2.1.4-1: Example of PC5 Unicast Links [1]</w:t>
      </w:r>
    </w:p>
    <w:p w14:paraId="623FCEBB" w14:textId="77777777" w:rsidR="00296DE4" w:rsidRDefault="00296DE4" w:rsidP="00296DE4">
      <w:pPr>
        <w:pStyle w:val="TF"/>
        <w:rPr>
          <w:lang w:val="en-US"/>
        </w:rPr>
      </w:pPr>
    </w:p>
    <w:p w14:paraId="44EADA1D" w14:textId="77777777" w:rsidR="00296DE4" w:rsidRDefault="00296DE4" w:rsidP="00296DE4">
      <w:pPr>
        <w:spacing w:after="0" w:line="360" w:lineRule="auto"/>
        <w:ind w:left="270" w:hanging="270"/>
        <w:rPr>
          <w:lang w:val="en-GB"/>
        </w:rPr>
      </w:pPr>
    </w:p>
    <w:p w14:paraId="361F2D31" w14:textId="04178EC9" w:rsidR="0053752C" w:rsidRPr="00296DE4" w:rsidRDefault="0053752C" w:rsidP="00296DE4"/>
    <w:sectPr w:rsidR="0053752C" w:rsidRPr="00296D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3E6727E9"/>
    <w:multiLevelType w:val="hybridMultilevel"/>
    <w:tmpl w:val="9A8ED9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AE71CC"/>
    <w:multiLevelType w:val="hybridMultilevel"/>
    <w:tmpl w:val="288A9FA8"/>
    <w:lvl w:ilvl="0" w:tplc="16CCD1A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977D36"/>
    <w:multiLevelType w:val="hybridMultilevel"/>
    <w:tmpl w:val="D68C3F82"/>
    <w:lvl w:ilvl="0" w:tplc="47561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A9F65CC"/>
    <w:multiLevelType w:val="hybridMultilevel"/>
    <w:tmpl w:val="752A5BF0"/>
    <w:lvl w:ilvl="0" w:tplc="B7C6C49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0"/>
  </w:num>
  <w:num w:numId="3">
    <w:abstractNumId w:val="1"/>
  </w:num>
  <w:num w:numId="4">
    <w:abstractNumId w:val="9"/>
  </w:num>
  <w:num w:numId="5">
    <w:abstractNumId w:val="4"/>
  </w:num>
  <w:num w:numId="6">
    <w:abstractNumId w:val="5"/>
  </w:num>
  <w:num w:numId="7">
    <w:abstractNumId w:val="7"/>
  </w:num>
  <w:num w:numId="8">
    <w:abstractNumId w:val="6"/>
  </w:num>
  <w:num w:numId="9">
    <w:abstractNumId w:val="3"/>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2AF6"/>
    <w:rsid w:val="000015DE"/>
    <w:rsid w:val="000045E4"/>
    <w:rsid w:val="00011776"/>
    <w:rsid w:val="00013A0F"/>
    <w:rsid w:val="00017A0C"/>
    <w:rsid w:val="0002665A"/>
    <w:rsid w:val="00030B8B"/>
    <w:rsid w:val="000473E4"/>
    <w:rsid w:val="00056124"/>
    <w:rsid w:val="0005714A"/>
    <w:rsid w:val="00060964"/>
    <w:rsid w:val="00063AF5"/>
    <w:rsid w:val="00074102"/>
    <w:rsid w:val="00082102"/>
    <w:rsid w:val="00086836"/>
    <w:rsid w:val="00087009"/>
    <w:rsid w:val="00093B47"/>
    <w:rsid w:val="00095F9C"/>
    <w:rsid w:val="000975F2"/>
    <w:rsid w:val="000C4CA0"/>
    <w:rsid w:val="000D11BF"/>
    <w:rsid w:val="000D19E3"/>
    <w:rsid w:val="000E5698"/>
    <w:rsid w:val="00100057"/>
    <w:rsid w:val="00110513"/>
    <w:rsid w:val="001124DF"/>
    <w:rsid w:val="0011799C"/>
    <w:rsid w:val="00120C83"/>
    <w:rsid w:val="00127112"/>
    <w:rsid w:val="001308CE"/>
    <w:rsid w:val="00135FAC"/>
    <w:rsid w:val="0014364B"/>
    <w:rsid w:val="001460B4"/>
    <w:rsid w:val="00146F88"/>
    <w:rsid w:val="001615D7"/>
    <w:rsid w:val="00161D99"/>
    <w:rsid w:val="0016206D"/>
    <w:rsid w:val="0016557A"/>
    <w:rsid w:val="00172400"/>
    <w:rsid w:val="00192817"/>
    <w:rsid w:val="0019789E"/>
    <w:rsid w:val="001A6254"/>
    <w:rsid w:val="001B4D0D"/>
    <w:rsid w:val="001B6973"/>
    <w:rsid w:val="001B7DA0"/>
    <w:rsid w:val="001D1369"/>
    <w:rsid w:val="001D55FA"/>
    <w:rsid w:val="001D659E"/>
    <w:rsid w:val="00211951"/>
    <w:rsid w:val="00212B10"/>
    <w:rsid w:val="00220B15"/>
    <w:rsid w:val="0024385C"/>
    <w:rsid w:val="00265064"/>
    <w:rsid w:val="00277301"/>
    <w:rsid w:val="00283C20"/>
    <w:rsid w:val="002908FE"/>
    <w:rsid w:val="00296DE4"/>
    <w:rsid w:val="002A50DF"/>
    <w:rsid w:val="002A5171"/>
    <w:rsid w:val="002B0B70"/>
    <w:rsid w:val="002D25E1"/>
    <w:rsid w:val="002E158F"/>
    <w:rsid w:val="002F0DB7"/>
    <w:rsid w:val="002F2F95"/>
    <w:rsid w:val="002F7DC7"/>
    <w:rsid w:val="003057EE"/>
    <w:rsid w:val="00305977"/>
    <w:rsid w:val="00310495"/>
    <w:rsid w:val="003215EB"/>
    <w:rsid w:val="003222BD"/>
    <w:rsid w:val="00325674"/>
    <w:rsid w:val="0032697C"/>
    <w:rsid w:val="0032797F"/>
    <w:rsid w:val="0033220C"/>
    <w:rsid w:val="00335DCF"/>
    <w:rsid w:val="003375AF"/>
    <w:rsid w:val="003376F7"/>
    <w:rsid w:val="00350239"/>
    <w:rsid w:val="003521F6"/>
    <w:rsid w:val="0036006C"/>
    <w:rsid w:val="0036390F"/>
    <w:rsid w:val="003647A3"/>
    <w:rsid w:val="00365161"/>
    <w:rsid w:val="00377937"/>
    <w:rsid w:val="00384CEA"/>
    <w:rsid w:val="003907A6"/>
    <w:rsid w:val="003936DE"/>
    <w:rsid w:val="00394114"/>
    <w:rsid w:val="003A6D92"/>
    <w:rsid w:val="003B024A"/>
    <w:rsid w:val="003B117E"/>
    <w:rsid w:val="003C066A"/>
    <w:rsid w:val="003C0DA3"/>
    <w:rsid w:val="003C38B9"/>
    <w:rsid w:val="003F0813"/>
    <w:rsid w:val="00400034"/>
    <w:rsid w:val="00402685"/>
    <w:rsid w:val="00403DAC"/>
    <w:rsid w:val="004072C8"/>
    <w:rsid w:val="0041766D"/>
    <w:rsid w:val="00420143"/>
    <w:rsid w:val="0042180D"/>
    <w:rsid w:val="00427786"/>
    <w:rsid w:val="004277E0"/>
    <w:rsid w:val="00442FDB"/>
    <w:rsid w:val="004476DA"/>
    <w:rsid w:val="00451E5E"/>
    <w:rsid w:val="004538A0"/>
    <w:rsid w:val="00455595"/>
    <w:rsid w:val="0045743E"/>
    <w:rsid w:val="00463BB6"/>
    <w:rsid w:val="0046677A"/>
    <w:rsid w:val="00471561"/>
    <w:rsid w:val="004A13A4"/>
    <w:rsid w:val="004A2730"/>
    <w:rsid w:val="004A5292"/>
    <w:rsid w:val="004C1544"/>
    <w:rsid w:val="004E583A"/>
    <w:rsid w:val="004F1D7E"/>
    <w:rsid w:val="005141E5"/>
    <w:rsid w:val="0053752C"/>
    <w:rsid w:val="0054408E"/>
    <w:rsid w:val="00561B40"/>
    <w:rsid w:val="005632C8"/>
    <w:rsid w:val="00566923"/>
    <w:rsid w:val="00567D97"/>
    <w:rsid w:val="0057091D"/>
    <w:rsid w:val="00570C42"/>
    <w:rsid w:val="005731B3"/>
    <w:rsid w:val="00573EE5"/>
    <w:rsid w:val="00574EDC"/>
    <w:rsid w:val="0058299F"/>
    <w:rsid w:val="005858CF"/>
    <w:rsid w:val="00587661"/>
    <w:rsid w:val="00592473"/>
    <w:rsid w:val="005B3D65"/>
    <w:rsid w:val="005C4FAD"/>
    <w:rsid w:val="005C79C6"/>
    <w:rsid w:val="005D105D"/>
    <w:rsid w:val="005E3FE9"/>
    <w:rsid w:val="005E60A3"/>
    <w:rsid w:val="005F1308"/>
    <w:rsid w:val="005F43D1"/>
    <w:rsid w:val="00616110"/>
    <w:rsid w:val="00637E42"/>
    <w:rsid w:val="0064190D"/>
    <w:rsid w:val="00644A68"/>
    <w:rsid w:val="00646BD7"/>
    <w:rsid w:val="006567C3"/>
    <w:rsid w:val="00662407"/>
    <w:rsid w:val="0066240F"/>
    <w:rsid w:val="00671F73"/>
    <w:rsid w:val="0067498A"/>
    <w:rsid w:val="00683F39"/>
    <w:rsid w:val="00691344"/>
    <w:rsid w:val="0069339A"/>
    <w:rsid w:val="0069792F"/>
    <w:rsid w:val="006B0E90"/>
    <w:rsid w:val="006B2983"/>
    <w:rsid w:val="006B6AA2"/>
    <w:rsid w:val="006B77B8"/>
    <w:rsid w:val="006B7F5D"/>
    <w:rsid w:val="006C3951"/>
    <w:rsid w:val="006C5059"/>
    <w:rsid w:val="006E27F5"/>
    <w:rsid w:val="006E6AA7"/>
    <w:rsid w:val="00712AD2"/>
    <w:rsid w:val="007158F6"/>
    <w:rsid w:val="00717D4F"/>
    <w:rsid w:val="00720766"/>
    <w:rsid w:val="00725F13"/>
    <w:rsid w:val="00737197"/>
    <w:rsid w:val="0074026F"/>
    <w:rsid w:val="00741ADB"/>
    <w:rsid w:val="00742A3D"/>
    <w:rsid w:val="00767AB9"/>
    <w:rsid w:val="00771393"/>
    <w:rsid w:val="00771933"/>
    <w:rsid w:val="00771B64"/>
    <w:rsid w:val="00772F31"/>
    <w:rsid w:val="00782229"/>
    <w:rsid w:val="007B70D2"/>
    <w:rsid w:val="007C1C44"/>
    <w:rsid w:val="007C5C69"/>
    <w:rsid w:val="007C7FF0"/>
    <w:rsid w:val="007D42C5"/>
    <w:rsid w:val="007D51FD"/>
    <w:rsid w:val="007E7BC8"/>
    <w:rsid w:val="007F41CA"/>
    <w:rsid w:val="007F5A3E"/>
    <w:rsid w:val="007F76FE"/>
    <w:rsid w:val="0080469D"/>
    <w:rsid w:val="00811C5A"/>
    <w:rsid w:val="008122AB"/>
    <w:rsid w:val="00814FA0"/>
    <w:rsid w:val="00815F0E"/>
    <w:rsid w:val="008331BC"/>
    <w:rsid w:val="0083795C"/>
    <w:rsid w:val="00843DAB"/>
    <w:rsid w:val="00844241"/>
    <w:rsid w:val="00853AC5"/>
    <w:rsid w:val="008622C6"/>
    <w:rsid w:val="00866D0D"/>
    <w:rsid w:val="00880CF9"/>
    <w:rsid w:val="0088685C"/>
    <w:rsid w:val="00891BD9"/>
    <w:rsid w:val="00894973"/>
    <w:rsid w:val="00895176"/>
    <w:rsid w:val="008A2AF6"/>
    <w:rsid w:val="008B3479"/>
    <w:rsid w:val="008B3DF9"/>
    <w:rsid w:val="008C11D5"/>
    <w:rsid w:val="008C465A"/>
    <w:rsid w:val="008C4A7A"/>
    <w:rsid w:val="008D7315"/>
    <w:rsid w:val="008E38C5"/>
    <w:rsid w:val="008E4FFF"/>
    <w:rsid w:val="008F0CB4"/>
    <w:rsid w:val="008F124E"/>
    <w:rsid w:val="008F2C47"/>
    <w:rsid w:val="008F3286"/>
    <w:rsid w:val="008F52D8"/>
    <w:rsid w:val="0090027F"/>
    <w:rsid w:val="00914701"/>
    <w:rsid w:val="009176A7"/>
    <w:rsid w:val="00924E21"/>
    <w:rsid w:val="00925008"/>
    <w:rsid w:val="0093008C"/>
    <w:rsid w:val="00961607"/>
    <w:rsid w:val="0096288E"/>
    <w:rsid w:val="00965F35"/>
    <w:rsid w:val="009673DB"/>
    <w:rsid w:val="009868B9"/>
    <w:rsid w:val="00994821"/>
    <w:rsid w:val="009A1F0F"/>
    <w:rsid w:val="009A2F6E"/>
    <w:rsid w:val="009A3F3C"/>
    <w:rsid w:val="009B5B85"/>
    <w:rsid w:val="009C290C"/>
    <w:rsid w:val="009E069A"/>
    <w:rsid w:val="009E22ED"/>
    <w:rsid w:val="009E4095"/>
    <w:rsid w:val="009F2438"/>
    <w:rsid w:val="00A26100"/>
    <w:rsid w:val="00A37E0A"/>
    <w:rsid w:val="00A51CCF"/>
    <w:rsid w:val="00A555C2"/>
    <w:rsid w:val="00A634D5"/>
    <w:rsid w:val="00A85E03"/>
    <w:rsid w:val="00A91DEF"/>
    <w:rsid w:val="00A922BD"/>
    <w:rsid w:val="00A968BA"/>
    <w:rsid w:val="00AA2ADE"/>
    <w:rsid w:val="00AA3068"/>
    <w:rsid w:val="00AB76AB"/>
    <w:rsid w:val="00AC4739"/>
    <w:rsid w:val="00AC6D05"/>
    <w:rsid w:val="00AD05B1"/>
    <w:rsid w:val="00AD34A7"/>
    <w:rsid w:val="00AD3559"/>
    <w:rsid w:val="00AD563A"/>
    <w:rsid w:val="00AE3074"/>
    <w:rsid w:val="00AF0FB1"/>
    <w:rsid w:val="00B02547"/>
    <w:rsid w:val="00B13CBA"/>
    <w:rsid w:val="00B27D92"/>
    <w:rsid w:val="00B31796"/>
    <w:rsid w:val="00B32B83"/>
    <w:rsid w:val="00B35BBE"/>
    <w:rsid w:val="00B53A38"/>
    <w:rsid w:val="00B53C4A"/>
    <w:rsid w:val="00B610D7"/>
    <w:rsid w:val="00B74D34"/>
    <w:rsid w:val="00B803C7"/>
    <w:rsid w:val="00B8201E"/>
    <w:rsid w:val="00B954CC"/>
    <w:rsid w:val="00BA7181"/>
    <w:rsid w:val="00BB1937"/>
    <w:rsid w:val="00BB7E3C"/>
    <w:rsid w:val="00BC2641"/>
    <w:rsid w:val="00BD2E89"/>
    <w:rsid w:val="00C01273"/>
    <w:rsid w:val="00C014F1"/>
    <w:rsid w:val="00C10A5C"/>
    <w:rsid w:val="00C10F82"/>
    <w:rsid w:val="00C12654"/>
    <w:rsid w:val="00C12A84"/>
    <w:rsid w:val="00C13407"/>
    <w:rsid w:val="00C2650F"/>
    <w:rsid w:val="00C3654B"/>
    <w:rsid w:val="00C41598"/>
    <w:rsid w:val="00C52291"/>
    <w:rsid w:val="00C65786"/>
    <w:rsid w:val="00C6790D"/>
    <w:rsid w:val="00C76438"/>
    <w:rsid w:val="00C874E0"/>
    <w:rsid w:val="00C9441A"/>
    <w:rsid w:val="00C94AE1"/>
    <w:rsid w:val="00CA15D6"/>
    <w:rsid w:val="00CA7ACB"/>
    <w:rsid w:val="00CB5009"/>
    <w:rsid w:val="00CD649B"/>
    <w:rsid w:val="00CE42E7"/>
    <w:rsid w:val="00CF301F"/>
    <w:rsid w:val="00CF5149"/>
    <w:rsid w:val="00CF54CC"/>
    <w:rsid w:val="00CF5657"/>
    <w:rsid w:val="00CF627E"/>
    <w:rsid w:val="00D077ED"/>
    <w:rsid w:val="00D1730B"/>
    <w:rsid w:val="00D178DB"/>
    <w:rsid w:val="00D245EB"/>
    <w:rsid w:val="00D25A43"/>
    <w:rsid w:val="00D2769A"/>
    <w:rsid w:val="00D34562"/>
    <w:rsid w:val="00D456F5"/>
    <w:rsid w:val="00D45E5D"/>
    <w:rsid w:val="00D47B19"/>
    <w:rsid w:val="00D52F79"/>
    <w:rsid w:val="00D55F75"/>
    <w:rsid w:val="00D56D4C"/>
    <w:rsid w:val="00D66466"/>
    <w:rsid w:val="00D72FA6"/>
    <w:rsid w:val="00D74643"/>
    <w:rsid w:val="00D77E5F"/>
    <w:rsid w:val="00D91982"/>
    <w:rsid w:val="00D91BDD"/>
    <w:rsid w:val="00D92EB6"/>
    <w:rsid w:val="00DA1928"/>
    <w:rsid w:val="00DA2651"/>
    <w:rsid w:val="00DA708B"/>
    <w:rsid w:val="00DC083C"/>
    <w:rsid w:val="00DC41F0"/>
    <w:rsid w:val="00DD27EE"/>
    <w:rsid w:val="00DE29BB"/>
    <w:rsid w:val="00DF1818"/>
    <w:rsid w:val="00DF1CF8"/>
    <w:rsid w:val="00DF34A7"/>
    <w:rsid w:val="00DF5A46"/>
    <w:rsid w:val="00E004DC"/>
    <w:rsid w:val="00E04040"/>
    <w:rsid w:val="00E04AA2"/>
    <w:rsid w:val="00E0698C"/>
    <w:rsid w:val="00E13039"/>
    <w:rsid w:val="00E215E6"/>
    <w:rsid w:val="00E24FF1"/>
    <w:rsid w:val="00E30ABB"/>
    <w:rsid w:val="00E3288E"/>
    <w:rsid w:val="00E34326"/>
    <w:rsid w:val="00E47371"/>
    <w:rsid w:val="00E51C4E"/>
    <w:rsid w:val="00E54EC3"/>
    <w:rsid w:val="00E65CD8"/>
    <w:rsid w:val="00E70E13"/>
    <w:rsid w:val="00E9408D"/>
    <w:rsid w:val="00E97BE1"/>
    <w:rsid w:val="00EA2AD0"/>
    <w:rsid w:val="00EB3166"/>
    <w:rsid w:val="00EB7568"/>
    <w:rsid w:val="00EC07CF"/>
    <w:rsid w:val="00EC1E1D"/>
    <w:rsid w:val="00ED1688"/>
    <w:rsid w:val="00EE4864"/>
    <w:rsid w:val="00EE55CE"/>
    <w:rsid w:val="00EE789B"/>
    <w:rsid w:val="00F0589B"/>
    <w:rsid w:val="00F125AD"/>
    <w:rsid w:val="00F12929"/>
    <w:rsid w:val="00F14A09"/>
    <w:rsid w:val="00F1744E"/>
    <w:rsid w:val="00F20EE0"/>
    <w:rsid w:val="00F339AD"/>
    <w:rsid w:val="00F362D8"/>
    <w:rsid w:val="00F36A82"/>
    <w:rsid w:val="00F50D97"/>
    <w:rsid w:val="00F575B8"/>
    <w:rsid w:val="00F611C5"/>
    <w:rsid w:val="00F62994"/>
    <w:rsid w:val="00F74C5A"/>
    <w:rsid w:val="00F817B1"/>
    <w:rsid w:val="00F87D53"/>
    <w:rsid w:val="00F9392B"/>
    <w:rsid w:val="00F93E0C"/>
    <w:rsid w:val="00FA16D8"/>
    <w:rsid w:val="00FA6316"/>
    <w:rsid w:val="00FB52EC"/>
    <w:rsid w:val="00FC01FE"/>
    <w:rsid w:val="00FE1F02"/>
    <w:rsid w:val="00FE2A5B"/>
    <w:rsid w:val="00FF3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A7DEB7"/>
  <w15:chartTrackingRefBased/>
  <w15:docId w15:val="{04A40A75-3AD9-4434-A887-717F7EEC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BB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iPriority w:val="9"/>
    <w:semiHidden/>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qFormat/>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qFormat/>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semiHidden/>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semiHidden/>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uiPriority w:val="9"/>
    <w:semiHidden/>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styleId="NormalWeb">
    <w:name w:val="Normal (Web)"/>
    <w:basedOn w:val="Normal"/>
    <w:uiPriority w:val="99"/>
    <w:semiHidden/>
    <w:unhideWhenUsed/>
    <w:rsid w:val="0069339A"/>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212B10"/>
    <w:pPr>
      <w:spacing w:after="0" w:line="240" w:lineRule="auto"/>
    </w:pPr>
    <w:rPr>
      <w:rFonts w:ascii="Calibri" w:eastAsia="SimSun" w:hAnsi="Calibri" w:cs="Times New Roman"/>
    </w:rPr>
  </w:style>
  <w:style w:type="paragraph" w:customStyle="1" w:styleId="TF">
    <w:name w:val="TF"/>
    <w:aliases w:val="left"/>
    <w:basedOn w:val="TH"/>
    <w:link w:val="TFChar"/>
    <w:rsid w:val="0053752C"/>
    <w:pPr>
      <w:keepNext w:val="0"/>
      <w:spacing w:before="0" w:after="240"/>
    </w:pPr>
    <w:rPr>
      <w:rFonts w:eastAsia="Malgun Gothic"/>
    </w:rPr>
  </w:style>
  <w:style w:type="character" w:customStyle="1" w:styleId="TFChar">
    <w:name w:val="TF Char"/>
    <w:link w:val="TF"/>
    <w:rsid w:val="0053752C"/>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10832">
      <w:bodyDiv w:val="1"/>
      <w:marLeft w:val="0"/>
      <w:marRight w:val="0"/>
      <w:marTop w:val="0"/>
      <w:marBottom w:val="0"/>
      <w:divBdr>
        <w:top w:val="none" w:sz="0" w:space="0" w:color="auto"/>
        <w:left w:val="none" w:sz="0" w:space="0" w:color="auto"/>
        <w:bottom w:val="none" w:sz="0" w:space="0" w:color="auto"/>
        <w:right w:val="none" w:sz="0" w:space="0" w:color="auto"/>
      </w:divBdr>
    </w:div>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05198869">
      <w:bodyDiv w:val="1"/>
      <w:marLeft w:val="0"/>
      <w:marRight w:val="0"/>
      <w:marTop w:val="0"/>
      <w:marBottom w:val="0"/>
      <w:divBdr>
        <w:top w:val="none" w:sz="0" w:space="0" w:color="auto"/>
        <w:left w:val="none" w:sz="0" w:space="0" w:color="auto"/>
        <w:bottom w:val="none" w:sz="0" w:space="0" w:color="auto"/>
        <w:right w:val="none" w:sz="0" w:space="0" w:color="auto"/>
      </w:divBdr>
    </w:div>
    <w:div w:id="142739041">
      <w:bodyDiv w:val="1"/>
      <w:marLeft w:val="0"/>
      <w:marRight w:val="0"/>
      <w:marTop w:val="0"/>
      <w:marBottom w:val="0"/>
      <w:divBdr>
        <w:top w:val="none" w:sz="0" w:space="0" w:color="auto"/>
        <w:left w:val="none" w:sz="0" w:space="0" w:color="auto"/>
        <w:bottom w:val="none" w:sz="0" w:space="0" w:color="auto"/>
        <w:right w:val="none" w:sz="0" w:space="0" w:color="auto"/>
      </w:divBdr>
    </w:div>
    <w:div w:id="292105340">
      <w:bodyDiv w:val="1"/>
      <w:marLeft w:val="0"/>
      <w:marRight w:val="0"/>
      <w:marTop w:val="0"/>
      <w:marBottom w:val="0"/>
      <w:divBdr>
        <w:top w:val="none" w:sz="0" w:space="0" w:color="auto"/>
        <w:left w:val="none" w:sz="0" w:space="0" w:color="auto"/>
        <w:bottom w:val="none" w:sz="0" w:space="0" w:color="auto"/>
        <w:right w:val="none" w:sz="0" w:space="0" w:color="auto"/>
      </w:divBdr>
    </w:div>
    <w:div w:id="371468712">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459031814">
      <w:bodyDiv w:val="1"/>
      <w:marLeft w:val="0"/>
      <w:marRight w:val="0"/>
      <w:marTop w:val="0"/>
      <w:marBottom w:val="0"/>
      <w:divBdr>
        <w:top w:val="none" w:sz="0" w:space="0" w:color="auto"/>
        <w:left w:val="none" w:sz="0" w:space="0" w:color="auto"/>
        <w:bottom w:val="none" w:sz="0" w:space="0" w:color="auto"/>
        <w:right w:val="none" w:sz="0" w:space="0" w:color="auto"/>
      </w:divBdr>
    </w:div>
    <w:div w:id="482427122">
      <w:bodyDiv w:val="1"/>
      <w:marLeft w:val="0"/>
      <w:marRight w:val="0"/>
      <w:marTop w:val="0"/>
      <w:marBottom w:val="0"/>
      <w:divBdr>
        <w:top w:val="none" w:sz="0" w:space="0" w:color="auto"/>
        <w:left w:val="none" w:sz="0" w:space="0" w:color="auto"/>
        <w:bottom w:val="none" w:sz="0" w:space="0" w:color="auto"/>
        <w:right w:val="none" w:sz="0" w:space="0" w:color="auto"/>
      </w:divBdr>
    </w:div>
    <w:div w:id="492918784">
      <w:bodyDiv w:val="1"/>
      <w:marLeft w:val="0"/>
      <w:marRight w:val="0"/>
      <w:marTop w:val="0"/>
      <w:marBottom w:val="0"/>
      <w:divBdr>
        <w:top w:val="none" w:sz="0" w:space="0" w:color="auto"/>
        <w:left w:val="none" w:sz="0" w:space="0" w:color="auto"/>
        <w:bottom w:val="none" w:sz="0" w:space="0" w:color="auto"/>
        <w:right w:val="none" w:sz="0" w:space="0" w:color="auto"/>
      </w:divBdr>
    </w:div>
    <w:div w:id="555507000">
      <w:bodyDiv w:val="1"/>
      <w:marLeft w:val="0"/>
      <w:marRight w:val="0"/>
      <w:marTop w:val="0"/>
      <w:marBottom w:val="0"/>
      <w:divBdr>
        <w:top w:val="none" w:sz="0" w:space="0" w:color="auto"/>
        <w:left w:val="none" w:sz="0" w:space="0" w:color="auto"/>
        <w:bottom w:val="none" w:sz="0" w:space="0" w:color="auto"/>
        <w:right w:val="none" w:sz="0" w:space="0" w:color="auto"/>
      </w:divBdr>
    </w:div>
    <w:div w:id="614559396">
      <w:bodyDiv w:val="1"/>
      <w:marLeft w:val="0"/>
      <w:marRight w:val="0"/>
      <w:marTop w:val="0"/>
      <w:marBottom w:val="0"/>
      <w:divBdr>
        <w:top w:val="none" w:sz="0" w:space="0" w:color="auto"/>
        <w:left w:val="none" w:sz="0" w:space="0" w:color="auto"/>
        <w:bottom w:val="none" w:sz="0" w:space="0" w:color="auto"/>
        <w:right w:val="none" w:sz="0" w:space="0" w:color="auto"/>
      </w:divBdr>
    </w:div>
    <w:div w:id="701705876">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12438527">
      <w:bodyDiv w:val="1"/>
      <w:marLeft w:val="0"/>
      <w:marRight w:val="0"/>
      <w:marTop w:val="0"/>
      <w:marBottom w:val="0"/>
      <w:divBdr>
        <w:top w:val="none" w:sz="0" w:space="0" w:color="auto"/>
        <w:left w:val="none" w:sz="0" w:space="0" w:color="auto"/>
        <w:bottom w:val="none" w:sz="0" w:space="0" w:color="auto"/>
        <w:right w:val="none" w:sz="0" w:space="0" w:color="auto"/>
      </w:divBdr>
    </w:div>
    <w:div w:id="1201357052">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29741246">
      <w:bodyDiv w:val="1"/>
      <w:marLeft w:val="0"/>
      <w:marRight w:val="0"/>
      <w:marTop w:val="0"/>
      <w:marBottom w:val="0"/>
      <w:divBdr>
        <w:top w:val="none" w:sz="0" w:space="0" w:color="auto"/>
        <w:left w:val="none" w:sz="0" w:space="0" w:color="auto"/>
        <w:bottom w:val="none" w:sz="0" w:space="0" w:color="auto"/>
        <w:right w:val="none" w:sz="0" w:space="0" w:color="auto"/>
      </w:divBdr>
    </w:div>
    <w:div w:id="1474718304">
      <w:bodyDiv w:val="1"/>
      <w:marLeft w:val="0"/>
      <w:marRight w:val="0"/>
      <w:marTop w:val="0"/>
      <w:marBottom w:val="0"/>
      <w:divBdr>
        <w:top w:val="none" w:sz="0" w:space="0" w:color="auto"/>
        <w:left w:val="none" w:sz="0" w:space="0" w:color="auto"/>
        <w:bottom w:val="none" w:sz="0" w:space="0" w:color="auto"/>
        <w:right w:val="none" w:sz="0" w:space="0" w:color="auto"/>
      </w:divBdr>
    </w:div>
    <w:div w:id="1550603395">
      <w:bodyDiv w:val="1"/>
      <w:marLeft w:val="0"/>
      <w:marRight w:val="0"/>
      <w:marTop w:val="0"/>
      <w:marBottom w:val="0"/>
      <w:divBdr>
        <w:top w:val="none" w:sz="0" w:space="0" w:color="auto"/>
        <w:left w:val="none" w:sz="0" w:space="0" w:color="auto"/>
        <w:bottom w:val="none" w:sz="0" w:space="0" w:color="auto"/>
        <w:right w:val="none" w:sz="0" w:space="0" w:color="auto"/>
      </w:divBdr>
    </w:div>
    <w:div w:id="1573003829">
      <w:bodyDiv w:val="1"/>
      <w:marLeft w:val="0"/>
      <w:marRight w:val="0"/>
      <w:marTop w:val="0"/>
      <w:marBottom w:val="0"/>
      <w:divBdr>
        <w:top w:val="none" w:sz="0" w:space="0" w:color="auto"/>
        <w:left w:val="none" w:sz="0" w:space="0" w:color="auto"/>
        <w:bottom w:val="none" w:sz="0" w:space="0" w:color="auto"/>
        <w:right w:val="none" w:sz="0" w:space="0" w:color="auto"/>
      </w:divBdr>
    </w:div>
    <w:div w:id="1783724356">
      <w:bodyDiv w:val="1"/>
      <w:marLeft w:val="0"/>
      <w:marRight w:val="0"/>
      <w:marTop w:val="0"/>
      <w:marBottom w:val="0"/>
      <w:divBdr>
        <w:top w:val="none" w:sz="0" w:space="0" w:color="auto"/>
        <w:left w:val="none" w:sz="0" w:space="0" w:color="auto"/>
        <w:bottom w:val="none" w:sz="0" w:space="0" w:color="auto"/>
        <w:right w:val="none" w:sz="0" w:space="0" w:color="auto"/>
      </w:divBdr>
    </w:div>
    <w:div w:id="192290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871D7886-EDDA-4CB3-8612-9E93ABAFB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4E52A76-CB70-4A04-8418-D6012BF231AA}">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4.xml><?xml version="1.0" encoding="utf-8"?>
<ds:datastoreItem xmlns:ds="http://schemas.openxmlformats.org/officeDocument/2006/customXml" ds:itemID="{D9CB0E6F-3C61-44B4-8DCC-5A00C5461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4</Pages>
  <Words>1263</Words>
  <Characters>5976</Characters>
  <Application>Microsoft Office Word</Application>
  <DocSecurity>0</DocSecurity>
  <Lines>119</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Intel-AA</cp:lastModifiedBy>
  <cp:revision>54</cp:revision>
  <dcterms:created xsi:type="dcterms:W3CDTF">2019-08-05T19:20:00Z</dcterms:created>
  <dcterms:modified xsi:type="dcterms:W3CDTF">2019-08-16T01:24:00Z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baff4cc6-7331-424d-8aa7-dc49fb73bef3</vt:lpwstr>
  </property>
  <property fmtid="{D5CDD505-2E9C-101B-9397-08002B2CF9AE}" pid="3" name="CTP_TimeStamp">
    <vt:lpwstr>2019-08-16 01:24:25Z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