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0818885F" w:rsidR="007E1DEE" w:rsidRPr="00943E97" w:rsidRDefault="007E1DEE" w:rsidP="007E1DEE">
      <w:pPr>
        <w:pStyle w:val="Header"/>
        <w:tabs>
          <w:tab w:val="left" w:pos="6521"/>
        </w:tabs>
        <w:jc w:val="both"/>
        <w:rPr>
          <w:color w:val="auto"/>
          <w:sz w:val="24"/>
        </w:rPr>
      </w:pPr>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FC4ED"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22DE0">
        <w:rPr>
          <w:color w:val="auto"/>
          <w:sz w:val="24"/>
          <w:lang w:eastAsia="en-GB"/>
        </w:rPr>
        <w:t>3GPP TSG-RAN WG2 meeting #10</w:t>
      </w:r>
      <w:r w:rsidR="00B177B2">
        <w:rPr>
          <w:color w:val="auto"/>
          <w:sz w:val="24"/>
          <w:lang w:eastAsia="en-GB"/>
        </w:rPr>
        <w:t>7</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22DE0">
        <w:rPr>
          <w:i/>
          <w:color w:val="auto"/>
          <w:sz w:val="24"/>
          <w:lang w:eastAsia="zh-CN"/>
        </w:rPr>
        <w:t>90</w:t>
      </w:r>
      <w:r w:rsidR="00AB33C0">
        <w:rPr>
          <w:i/>
          <w:color w:val="auto"/>
          <w:sz w:val="24"/>
          <w:lang w:eastAsia="zh-CN"/>
        </w:rPr>
        <w:t>9569</w:t>
      </w:r>
    </w:p>
    <w:p w14:paraId="2AE6D983" w14:textId="5E4FB99C" w:rsidR="007E1DEE" w:rsidRPr="00C036E6" w:rsidRDefault="00B177B2" w:rsidP="007E1DEE">
      <w:pPr>
        <w:pStyle w:val="Header"/>
        <w:tabs>
          <w:tab w:val="left" w:pos="6521"/>
        </w:tabs>
        <w:jc w:val="both"/>
        <w:rPr>
          <w:color w:val="auto"/>
          <w:sz w:val="24"/>
          <w:lang w:eastAsia="zh-CN"/>
        </w:rPr>
      </w:pPr>
      <w:r>
        <w:rPr>
          <w:color w:val="auto"/>
          <w:sz w:val="24"/>
          <w:lang w:eastAsia="zh-CN"/>
        </w:rPr>
        <w:t>Prague</w:t>
      </w:r>
      <w:r w:rsidR="00FD3CA6">
        <w:rPr>
          <w:color w:val="auto"/>
          <w:sz w:val="24"/>
        </w:rPr>
        <w:t>,</w:t>
      </w:r>
      <w:r w:rsidR="00B22DE0">
        <w:rPr>
          <w:color w:val="auto"/>
          <w:sz w:val="24"/>
        </w:rPr>
        <w:t xml:space="preserve"> </w:t>
      </w:r>
      <w:r>
        <w:rPr>
          <w:color w:val="auto"/>
          <w:sz w:val="24"/>
        </w:rPr>
        <w:t>Czech, 26 – 30 August</w:t>
      </w:r>
      <w:r w:rsidR="007A3C8B">
        <w:rPr>
          <w:rFonts w:hint="eastAsia"/>
          <w:color w:val="auto"/>
          <w:sz w:val="24"/>
        </w:rPr>
        <w:t>, 201</w:t>
      </w:r>
      <w:r w:rsidR="009C418B">
        <w:rPr>
          <w:rFonts w:hint="eastAsia"/>
          <w:color w:val="auto"/>
          <w:sz w:val="24"/>
          <w:lang w:eastAsia="zh-CN"/>
        </w:rPr>
        <w:t>9</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3117AE82"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676B77">
        <w:rPr>
          <w:rFonts w:ascii="Arial" w:hAnsi="Arial"/>
          <w:b/>
          <w:sz w:val="24"/>
          <w:lang w:val="en-US" w:eastAsia="zh-CN"/>
        </w:rPr>
        <w:t>11.2.2.1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0A26E238"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r>
      <w:r w:rsidR="006528DB">
        <w:rPr>
          <w:rFonts w:ascii="Arial" w:hAnsi="Arial"/>
          <w:b/>
          <w:sz w:val="24"/>
          <w:lang w:val="en-US"/>
        </w:rPr>
        <w:t>Enabling the UE to camp on non-best cell</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6AC9FE47" w14:textId="5FAEBFD5" w:rsidR="009C418B" w:rsidRDefault="00B177B2" w:rsidP="00B177B2">
      <w:r>
        <w:t>In the last meeting, the following is agreed in RAN2 to enable camping on non-best cell:</w:t>
      </w:r>
    </w:p>
    <w:p w14:paraId="0D7275B7" w14:textId="77777777" w:rsidR="00DF6E56" w:rsidRPr="00722024" w:rsidRDefault="00CB6247" w:rsidP="00722024">
      <w:pPr>
        <w:numPr>
          <w:ilvl w:val="0"/>
          <w:numId w:val="14"/>
        </w:numPr>
        <w:rPr>
          <w:rFonts w:eastAsia="MS Mincho" w:cstheme="minorHAnsi"/>
          <w:sz w:val="20"/>
          <w:szCs w:val="24"/>
          <w:lang w:eastAsia="en-GB"/>
        </w:rPr>
      </w:pPr>
      <w:r w:rsidRPr="00722024">
        <w:rPr>
          <w:rFonts w:eastAsia="MS Mincho" w:cstheme="minorHAnsi"/>
          <w:sz w:val="20"/>
          <w:szCs w:val="24"/>
          <w:lang w:eastAsia="en-GB"/>
        </w:rPr>
        <w:t xml:space="preserve">If highest ranked or best cell is not suitable in an unlicensed frequency due to the fact that PLMN IDs is not the RPLMN (or EPLMN), only the highest ranked or best cell is considered not candidate for cell reselection for 300s or longer. Other cells in the frequency of the highest ranked or best cell should still be considered for cell reselection. FFS whether we have another limit in addition to Suitability criterion. </w:t>
      </w:r>
    </w:p>
    <w:p w14:paraId="7B1AB855" w14:textId="77777777" w:rsidR="00DF6E56" w:rsidRPr="00722024" w:rsidRDefault="00CB6247" w:rsidP="00722024">
      <w:pPr>
        <w:numPr>
          <w:ilvl w:val="0"/>
          <w:numId w:val="14"/>
        </w:numPr>
        <w:rPr>
          <w:rFonts w:eastAsia="MS Mincho" w:cstheme="minorHAnsi"/>
          <w:sz w:val="20"/>
          <w:szCs w:val="24"/>
          <w:lang w:eastAsia="en-GB"/>
        </w:rPr>
      </w:pPr>
      <w:r w:rsidRPr="00722024">
        <w:rPr>
          <w:rFonts w:eastAsia="MS Mincho" w:cstheme="minorHAnsi"/>
          <w:sz w:val="20"/>
          <w:szCs w:val="24"/>
          <w:lang w:eastAsia="en-GB"/>
        </w:rPr>
        <w:t>To apply the cell barring and IntraFreqReselection in the MIB, the UE also has to acquire the SIB1 to check the PLMN IDs.</w:t>
      </w:r>
    </w:p>
    <w:p w14:paraId="4B1E8053" w14:textId="77777777" w:rsidR="00DF6E56" w:rsidRPr="00722024" w:rsidRDefault="00CB6247" w:rsidP="00722024">
      <w:pPr>
        <w:numPr>
          <w:ilvl w:val="0"/>
          <w:numId w:val="14"/>
        </w:numPr>
        <w:rPr>
          <w:rFonts w:eastAsia="MS Mincho" w:cstheme="minorHAnsi"/>
          <w:sz w:val="20"/>
          <w:szCs w:val="24"/>
          <w:lang w:eastAsia="en-GB"/>
        </w:rPr>
      </w:pPr>
      <w:r w:rsidRPr="00722024">
        <w:rPr>
          <w:rFonts w:eastAsia="MS Mincho" w:cstheme="minorHAnsi"/>
          <w:sz w:val="20"/>
          <w:szCs w:val="24"/>
          <w:lang w:eastAsia="en-GB"/>
        </w:rPr>
        <w:t>FFS if the UE should only act on the cell barring and intraFreqReselection in the MIB only if the registered PLMN or selected PLMN matches one of the PLMN IDs in SIB1. Otherwise, the UE should follow Proposal#1 Approach#2</w:t>
      </w:r>
    </w:p>
    <w:p w14:paraId="77BB9815" w14:textId="2617C542" w:rsidR="00054453" w:rsidRDefault="003252AC" w:rsidP="00E766E7">
      <w:r>
        <w:t xml:space="preserve">In this contribution, we </w:t>
      </w:r>
      <w:r w:rsidR="00CE5D1C">
        <w:t xml:space="preserve">further </w:t>
      </w:r>
      <w:r>
        <w:t>discuss the</w:t>
      </w:r>
      <w:r w:rsidR="007D7C06">
        <w:t xml:space="preserve"> FFS</w:t>
      </w:r>
      <w:r w:rsidR="00CE5D1C">
        <w:t xml:space="preserve"> and also the network assistance</w:t>
      </w:r>
      <w:r>
        <w:t xml:space="preserve"> opti</w:t>
      </w:r>
      <w:r w:rsidR="00CE5D1C">
        <w:t>ons to reduce the UE reselecting to cells that do not belong or equivalent to the registered PLMN</w:t>
      </w:r>
      <w:r w:rsidR="004E172D">
        <w:t xml:space="preserve">. </w:t>
      </w:r>
      <w:r w:rsidR="00E766E7">
        <w:t xml:space="preserve"> </w:t>
      </w:r>
    </w:p>
    <w:p w14:paraId="2AE6D98D" w14:textId="77777777" w:rsidR="003E1A61" w:rsidRDefault="003E1A61" w:rsidP="00F13226">
      <w:pPr>
        <w:pStyle w:val="Heading1"/>
      </w:pPr>
      <w:r>
        <w:t>Discussion</w:t>
      </w:r>
    </w:p>
    <w:p w14:paraId="22529259" w14:textId="77777777" w:rsidR="00CE5D1C" w:rsidRPr="00B22DE0" w:rsidRDefault="00CE5D1C" w:rsidP="006261F5">
      <w:pPr>
        <w:pStyle w:val="Heading2"/>
      </w:pPr>
      <w:r w:rsidRPr="00B22DE0">
        <w:t>Cell barring and IntraFreqReselection in MIB</w:t>
      </w:r>
    </w:p>
    <w:p w14:paraId="54C53440" w14:textId="36DA6500" w:rsidR="00CE5D1C" w:rsidRPr="00B22DE0" w:rsidRDefault="00CE5D1C" w:rsidP="00CE5D1C">
      <w:r w:rsidRPr="00B22DE0">
        <w:t>In NR, UE applies the cell barring and IntraFreqReselection once UE acquires the MIB. However, there may be more than 1 PLMN (non-EPLMN) operating in the same NR-u carrier. In order not apply the cell barring incorrectly</w:t>
      </w:r>
      <w:r w:rsidR="008520FA">
        <w:t xml:space="preserve"> from a cell not belonging or equivalent t</w:t>
      </w:r>
      <w:r w:rsidR="008267DC">
        <w:t>o the registered PLMN of the UE</w:t>
      </w:r>
      <w:r w:rsidRPr="00B22DE0">
        <w:t>, the UE also has to acquire SIB1 before applying the cell barring in the MIB.</w:t>
      </w:r>
      <w:r>
        <w:t xml:space="preserve">  Hence RAN2 agreed that:</w:t>
      </w:r>
    </w:p>
    <w:p w14:paraId="62983481" w14:textId="77777777" w:rsidR="00CE5D1C" w:rsidRPr="00722024" w:rsidRDefault="00CE5D1C" w:rsidP="00CE5D1C">
      <w:pPr>
        <w:numPr>
          <w:ilvl w:val="0"/>
          <w:numId w:val="14"/>
        </w:numPr>
        <w:rPr>
          <w:rFonts w:eastAsia="MS Mincho" w:cstheme="minorHAnsi"/>
          <w:sz w:val="20"/>
          <w:szCs w:val="24"/>
          <w:lang w:eastAsia="en-GB"/>
        </w:rPr>
      </w:pPr>
      <w:r w:rsidRPr="00722024">
        <w:rPr>
          <w:rFonts w:eastAsia="MS Mincho" w:cstheme="minorHAnsi"/>
          <w:sz w:val="20"/>
          <w:szCs w:val="24"/>
          <w:lang w:eastAsia="en-GB"/>
        </w:rPr>
        <w:t>To apply the cell barring and IntraFreqReselection in the MIB, the UE also has to acquire the SIB1 to check the PLMN IDs.</w:t>
      </w:r>
    </w:p>
    <w:p w14:paraId="3BBB080F" w14:textId="05C34AA0" w:rsidR="00CE5D1C" w:rsidRPr="00B22DE0" w:rsidRDefault="008520FA" w:rsidP="00CE5D1C">
      <w:r>
        <w:t>T</w:t>
      </w:r>
      <w:r w:rsidR="00CE5D1C" w:rsidRPr="00B22DE0">
        <w:t>he UE should apply</w:t>
      </w:r>
      <w:r>
        <w:t xml:space="preserve"> the cell barring</w:t>
      </w:r>
      <w:r w:rsidR="00DE50F1">
        <w:t xml:space="preserve"> in the MIB</w:t>
      </w:r>
      <w:r w:rsidR="00CE5D1C" w:rsidRPr="00B22DE0">
        <w:t xml:space="preserve"> as in NR</w:t>
      </w:r>
      <w:r>
        <w:t xml:space="preserve"> i</w:t>
      </w:r>
      <w:r w:rsidRPr="00B22DE0">
        <w:t>f the registered PLMN or selected PLMN matches one of the PLMN IDs in SIB1</w:t>
      </w:r>
      <w:r w:rsidR="00CE5D1C" w:rsidRPr="00B22DE0">
        <w:t>.</w:t>
      </w:r>
    </w:p>
    <w:p w14:paraId="1130FE72" w14:textId="7F816916" w:rsidR="00CE5D1C" w:rsidRDefault="00CE5D1C" w:rsidP="00CE5D1C">
      <w:r w:rsidRPr="00B22DE0">
        <w:t>If the registered PLMN or selected PLMN does not match one of the PLMN IDs</w:t>
      </w:r>
      <w:r w:rsidR="00C50064">
        <w:t xml:space="preserve"> broadcast</w:t>
      </w:r>
      <w:r w:rsidRPr="00B22DE0">
        <w:t xml:space="preserve"> in SIB1, the UE should apply as in </w:t>
      </w:r>
      <w:r w:rsidR="008520FA">
        <w:t>the RAN2 agreement below:</w:t>
      </w:r>
    </w:p>
    <w:p w14:paraId="624513C7" w14:textId="76338068" w:rsidR="008520FA" w:rsidRPr="00B22DE0" w:rsidRDefault="008520FA" w:rsidP="008520FA">
      <w:pPr>
        <w:ind w:left="720"/>
      </w:pPr>
      <w:r w:rsidRPr="00722024">
        <w:rPr>
          <w:rFonts w:eastAsia="MS Mincho" w:cstheme="minorHAnsi"/>
          <w:sz w:val="20"/>
          <w:szCs w:val="24"/>
          <w:lang w:eastAsia="en-GB"/>
        </w:rPr>
        <w:t>If highest ranked or best cell is not suitable in an unlicensed frequency due to the fact that PLMN IDs is not the RPLMN (or EPLMN), only the highest ranked or best cell is considered not candidate for cell reselection for 300s or longer. Other cells in the frequency of the highest ranked or best cell should still be considered for cell reselection.</w:t>
      </w:r>
    </w:p>
    <w:p w14:paraId="1F9E0A79" w14:textId="34DC5BD1" w:rsidR="00CE5D1C" w:rsidRDefault="008520FA" w:rsidP="00CE5D1C">
      <w:r>
        <w:rPr>
          <w:b/>
        </w:rPr>
        <w:lastRenderedPageBreak/>
        <w:t>Proposal#1</w:t>
      </w:r>
      <w:r w:rsidR="00CE5D1C" w:rsidRPr="00B22DE0">
        <w:rPr>
          <w:b/>
        </w:rPr>
        <w:t>:</w:t>
      </w:r>
      <w:r w:rsidR="00CE5D1C" w:rsidRPr="00B22DE0">
        <w:t xml:space="preserve"> </w:t>
      </w:r>
      <w:r>
        <w:t>T</w:t>
      </w:r>
      <w:r w:rsidRPr="00B22DE0">
        <w:t xml:space="preserve">he UE should </w:t>
      </w:r>
      <w:r w:rsidR="00DE50F1">
        <w:t xml:space="preserve">only </w:t>
      </w:r>
      <w:r w:rsidRPr="00B22DE0">
        <w:t>apply</w:t>
      </w:r>
      <w:r>
        <w:t xml:space="preserve"> the cell barring</w:t>
      </w:r>
      <w:r w:rsidR="00DE50F1">
        <w:t xml:space="preserve"> in the MIB</w:t>
      </w:r>
      <w:r w:rsidRPr="00B22DE0">
        <w:t xml:space="preserve"> as in NR</w:t>
      </w:r>
      <w:r>
        <w:t xml:space="preserve"> i</w:t>
      </w:r>
      <w:r w:rsidR="00CF6FFE">
        <w:t xml:space="preserve">f the registered </w:t>
      </w:r>
      <w:r w:rsidRPr="00B22DE0">
        <w:t xml:space="preserve">or selected PLMN matches one of the PLMN IDs </w:t>
      </w:r>
      <w:r w:rsidR="00DE50F1">
        <w:t xml:space="preserve">broadcast </w:t>
      </w:r>
      <w:r w:rsidRPr="00B22DE0">
        <w:t>in SIB1.</w:t>
      </w:r>
    </w:p>
    <w:p w14:paraId="152E0A6C" w14:textId="4B5C21E6" w:rsidR="00CE5D1C" w:rsidRDefault="00DE50F1" w:rsidP="00E766E7">
      <w:pPr>
        <w:pStyle w:val="Heading2"/>
      </w:pPr>
      <w:r>
        <w:t xml:space="preserve">Assisting and </w:t>
      </w:r>
      <w:r w:rsidR="00C50064">
        <w:t>Enabling</w:t>
      </w:r>
      <w:r>
        <w:t xml:space="preserve"> UE camping on non-best cell</w:t>
      </w:r>
      <w:r w:rsidR="00C50064">
        <w:t xml:space="preserve"> </w:t>
      </w:r>
    </w:p>
    <w:p w14:paraId="701E93BA" w14:textId="147C540F" w:rsidR="00015FF2" w:rsidRPr="00B22DE0" w:rsidRDefault="00E3442D" w:rsidP="00015FF2">
      <w:r w:rsidRPr="00B22DE0">
        <w:t>In an unlicensed carrier, it is quite likely that more than 1 operator may be operating in the carrier. As a result, the UE is quite likely to detect and measure neighbour NR-u cells that do not belong to its registered PLMN (or E-PLMN)</w:t>
      </w:r>
      <w:r w:rsidR="00C813CC" w:rsidRPr="00B22DE0">
        <w:t xml:space="preserve"> during idle mode</w:t>
      </w:r>
      <w:r w:rsidRPr="00B22DE0">
        <w:t>. The network can build up the necessary neighbour cell relationship via network listening and existing ANR procedure and can thus provide a list of neighbour cells for the UE to measure.</w:t>
      </w:r>
      <w:r w:rsidR="00166F9D">
        <w:t xml:space="preserve"> Furthermore, the operator that deploys its unlicensed cell will also know the potential of the cell’s neighbours during the installation.</w:t>
      </w:r>
      <w:r w:rsidRPr="00B22DE0">
        <w:t xml:space="preserve"> Based on this, one </w:t>
      </w:r>
      <w:r w:rsidR="00C813CC" w:rsidRPr="00B22DE0">
        <w:t>approach</w:t>
      </w:r>
      <w:r w:rsidRPr="00B22DE0">
        <w:t xml:space="preserve"> of </w:t>
      </w:r>
      <w:r w:rsidR="00C813CC" w:rsidRPr="00B22DE0">
        <w:t>reducing the possibility of</w:t>
      </w:r>
      <w:r w:rsidRPr="00B22DE0">
        <w:t xml:space="preserve"> </w:t>
      </w:r>
      <w:r w:rsidR="00DE50F1">
        <w:t>UE reselecting to a cell not belonging or equivalent to its registered PLMN is to broadcast</w:t>
      </w:r>
      <w:r w:rsidRPr="00B22DE0">
        <w:t xml:space="preserve"> white</w:t>
      </w:r>
      <w:r w:rsidR="00624E71">
        <w:t>/black</w:t>
      </w:r>
      <w:r w:rsidRPr="00B22DE0">
        <w:t xml:space="preserve"> listing of cells</w:t>
      </w:r>
      <w:r w:rsidR="00166F9D">
        <w:t xml:space="preserve"> (gathered during ANR, network listening as well as operators knowing the neighbour relationship during deployment)</w:t>
      </w:r>
      <w:r w:rsidRPr="00B22DE0">
        <w:t xml:space="preserve"> for each unlicensed carrier</w:t>
      </w:r>
      <w:r w:rsidR="00DE50F1">
        <w:t xml:space="preserve"> in the serving cell</w:t>
      </w:r>
      <w:r w:rsidRPr="00B22DE0">
        <w:t>.</w:t>
      </w:r>
    </w:p>
    <w:p w14:paraId="711F2A36" w14:textId="3516E1A9" w:rsidR="00E3442D" w:rsidRPr="00B22DE0" w:rsidRDefault="00E3442D" w:rsidP="00015FF2">
      <w:r w:rsidRPr="00B22DE0">
        <w:rPr>
          <w:b/>
        </w:rPr>
        <w:t>Approach#1:</w:t>
      </w:r>
      <w:r w:rsidRPr="00B22DE0">
        <w:t xml:space="preserve"> Network provides white</w:t>
      </w:r>
      <w:r w:rsidR="00624E71">
        <w:t>/black</w:t>
      </w:r>
      <w:r w:rsidRPr="00B22DE0">
        <w:t xml:space="preserve"> listing of cells for each unlicensed carrier</w:t>
      </w:r>
      <w:r w:rsidR="00C813CC" w:rsidRPr="00B22DE0">
        <w:t xml:space="preserve"> in the SIB</w:t>
      </w:r>
      <w:r w:rsidR="00DE50F1">
        <w:t xml:space="preserve"> of the serving cell</w:t>
      </w:r>
      <w:r w:rsidR="004B1C8B" w:rsidRPr="00B22DE0">
        <w:t>. UE uses only the white listing of cells</w:t>
      </w:r>
      <w:r w:rsidR="00DE50F1">
        <w:t xml:space="preserve"> of each unlicensed carrier</w:t>
      </w:r>
      <w:r w:rsidR="004B1C8B" w:rsidRPr="00B22DE0">
        <w:t xml:space="preserve"> for cell reselection.</w:t>
      </w:r>
    </w:p>
    <w:p w14:paraId="60E34C45" w14:textId="034EEFE2" w:rsidR="00D13F2E" w:rsidRPr="00B22DE0" w:rsidRDefault="004B1C8B" w:rsidP="00015FF2">
      <w:r w:rsidRPr="00B22DE0">
        <w:t xml:space="preserve">One other way is that the UE </w:t>
      </w:r>
      <w:r w:rsidR="00115C95" w:rsidRPr="00B22DE0">
        <w:t xml:space="preserve">acquires the cell access related information (i.e. PLMN ID) of a </w:t>
      </w:r>
      <w:r w:rsidRPr="00B22DE0">
        <w:t>cell</w:t>
      </w:r>
      <w:r w:rsidR="00115C95" w:rsidRPr="00B22DE0">
        <w:t xml:space="preserve"> from SIB1</w:t>
      </w:r>
      <w:r w:rsidRPr="00B22DE0">
        <w:t xml:space="preserve"> before deciding whether</w:t>
      </w:r>
      <w:r w:rsidR="00DE50F1">
        <w:t xml:space="preserve"> to</w:t>
      </w:r>
      <w:r w:rsidRPr="00B22DE0">
        <w:t xml:space="preserve"> </w:t>
      </w:r>
      <w:r w:rsidR="00DE50F1">
        <w:t>consider</w:t>
      </w:r>
      <w:r w:rsidR="00115C95" w:rsidRPr="00B22DE0">
        <w:t xml:space="preserve"> it as a candidate cell for cell reselection. </w:t>
      </w:r>
      <w:r w:rsidR="00D13F2E" w:rsidRPr="00B22DE0">
        <w:t xml:space="preserve">With this, UE will never cell reselect to a non-registered/equivalent PLMN cell. </w:t>
      </w:r>
    </w:p>
    <w:p w14:paraId="472F02A5" w14:textId="136DE58C" w:rsidR="00D13F2E" w:rsidRPr="00B22DE0" w:rsidRDefault="00DE50F1" w:rsidP="00015FF2">
      <w:r>
        <w:rPr>
          <w:b/>
        </w:rPr>
        <w:t>Approach#2</w:t>
      </w:r>
      <w:r w:rsidR="00D13F2E" w:rsidRPr="00B22DE0">
        <w:rPr>
          <w:b/>
        </w:rPr>
        <w:t>:</w:t>
      </w:r>
      <w:r w:rsidR="00D13F2E" w:rsidRPr="00B22DE0">
        <w:t xml:space="preserve"> UE acquires the cell access related information (i.e. PLMN ID) of a cell from SIB1 before deciding whether</w:t>
      </w:r>
      <w:r w:rsidR="00C813CC" w:rsidRPr="00B22DE0">
        <w:t xml:space="preserve"> to consider</w:t>
      </w:r>
      <w:r w:rsidR="00D13F2E" w:rsidRPr="00B22DE0">
        <w:t xml:space="preserve"> it as a candidate cell for cell reselection</w:t>
      </w:r>
    </w:p>
    <w:p w14:paraId="4A5B8B59" w14:textId="7EBF3B4B" w:rsidR="004B1C8B" w:rsidRPr="00B22DE0" w:rsidRDefault="00D13F2E" w:rsidP="00015FF2">
      <w:r w:rsidRPr="00B22DE0">
        <w:t>For</w:t>
      </w:r>
      <w:r w:rsidRPr="00A71506">
        <w:t xml:space="preserve"> Approach#</w:t>
      </w:r>
      <w:r w:rsidR="00A71506" w:rsidRPr="00A71506">
        <w:t>2</w:t>
      </w:r>
      <w:r w:rsidRPr="00B22DE0">
        <w:t xml:space="preserve">: </w:t>
      </w:r>
      <w:r w:rsidR="00115C95" w:rsidRPr="00B22DE0">
        <w:t>This means that UE may have to acquire, in the worst case, the cell access related information of all the candidate cells (i.e. when the cell belonging to the registered PLMN or equivalent is the least highest ranked or best cells).  This will increase the UE measurement burden as it has to acquire SIB1 of neighbouring cells.  Also SIB1 i</w:t>
      </w:r>
      <w:r w:rsidRPr="00B22DE0">
        <w:t>s likely to transmit</w:t>
      </w:r>
      <w:r w:rsidR="00115C95" w:rsidRPr="00B22DE0">
        <w:t xml:space="preserve"> less frequent than the DRS and this </w:t>
      </w:r>
      <w:r w:rsidRPr="00B22DE0">
        <w:t xml:space="preserve">will result in delay. </w:t>
      </w:r>
      <w:r w:rsidR="00C813CC" w:rsidRPr="00B22DE0">
        <w:t>Worst of all</w:t>
      </w:r>
      <w:r w:rsidRPr="00B22DE0">
        <w:t>, it will increase UE power consumption.</w:t>
      </w:r>
      <w:r w:rsidR="00115C95" w:rsidRPr="00B22DE0">
        <w:t xml:space="preserve"> </w:t>
      </w:r>
    </w:p>
    <w:p w14:paraId="6F7D85E8" w14:textId="77777777" w:rsidR="006261F5" w:rsidRDefault="004B1C8B" w:rsidP="00015FF2">
      <w:r w:rsidRPr="00B22DE0">
        <w:t>From the UE poin</w:t>
      </w:r>
      <w:r w:rsidR="00DE50F1">
        <w:t>t of view, Approach#1 is</w:t>
      </w:r>
      <w:r w:rsidRPr="00B22DE0">
        <w:t xml:space="preserve"> </w:t>
      </w:r>
      <w:r w:rsidR="00D13F2E" w:rsidRPr="00B22DE0">
        <w:t xml:space="preserve">the least impacting </w:t>
      </w:r>
      <w:r w:rsidR="00DE50F1">
        <w:t xml:space="preserve">to the UE implementation </w:t>
      </w:r>
      <w:r w:rsidR="00D13F2E" w:rsidRPr="00B22DE0">
        <w:t>as well as the least in terms</w:t>
      </w:r>
      <w:r w:rsidR="00C813CC" w:rsidRPr="00B22DE0">
        <w:t xml:space="preserve"> of UE power consumption.  It</w:t>
      </w:r>
      <w:r w:rsidR="00D13F2E" w:rsidRPr="00B22DE0">
        <w:t xml:space="preserve"> probably also impact the specification the least</w:t>
      </w:r>
      <w:r w:rsidR="00DE50F1">
        <w:t>, particular on RAN4 performance requirement</w:t>
      </w:r>
      <w:r w:rsidR="00D13F2E" w:rsidRPr="00B22DE0">
        <w:t>.</w:t>
      </w:r>
      <w:r w:rsidR="00624E71">
        <w:t xml:space="preserve"> </w:t>
      </w:r>
    </w:p>
    <w:p w14:paraId="4F4FCA54" w14:textId="415DE899" w:rsidR="00D13F2E" w:rsidRDefault="006261F5" w:rsidP="00015FF2">
      <w:r>
        <w:t>Between white listing and black listing, a</w:t>
      </w:r>
      <w:r w:rsidR="00624E71">
        <w:t xml:space="preserve"> high levels pros and cons of </w:t>
      </w:r>
      <w:r>
        <w:t>each is summarized below</w:t>
      </w:r>
      <w:r w:rsidR="00624E71">
        <w:t>:</w:t>
      </w:r>
    </w:p>
    <w:tbl>
      <w:tblPr>
        <w:tblStyle w:val="TableGrid"/>
        <w:tblW w:w="0" w:type="auto"/>
        <w:tblLook w:val="04A0" w:firstRow="1" w:lastRow="0" w:firstColumn="1" w:lastColumn="0" w:noHBand="0" w:noVBand="1"/>
      </w:tblPr>
      <w:tblGrid>
        <w:gridCol w:w="3005"/>
        <w:gridCol w:w="3005"/>
        <w:gridCol w:w="3006"/>
      </w:tblGrid>
      <w:tr w:rsidR="00624E71" w14:paraId="06FD81B4" w14:textId="77777777" w:rsidTr="00624E71">
        <w:tc>
          <w:tcPr>
            <w:tcW w:w="3005" w:type="dxa"/>
          </w:tcPr>
          <w:p w14:paraId="34C417C8" w14:textId="77777777" w:rsidR="00624E71" w:rsidRDefault="00624E71" w:rsidP="00015FF2"/>
        </w:tc>
        <w:tc>
          <w:tcPr>
            <w:tcW w:w="3005" w:type="dxa"/>
          </w:tcPr>
          <w:p w14:paraId="61D11152" w14:textId="10F1BAB6" w:rsidR="00624E71" w:rsidRDefault="00624E71" w:rsidP="00015FF2">
            <w:r>
              <w:t>Pros</w:t>
            </w:r>
          </w:p>
        </w:tc>
        <w:tc>
          <w:tcPr>
            <w:tcW w:w="3006" w:type="dxa"/>
          </w:tcPr>
          <w:p w14:paraId="2C926370" w14:textId="2494A0E0" w:rsidR="00624E71" w:rsidRDefault="00624E71" w:rsidP="00015FF2">
            <w:r>
              <w:t>Cons</w:t>
            </w:r>
          </w:p>
        </w:tc>
      </w:tr>
      <w:tr w:rsidR="00624E71" w14:paraId="3EB86F93" w14:textId="77777777" w:rsidTr="00624E71">
        <w:tc>
          <w:tcPr>
            <w:tcW w:w="3005" w:type="dxa"/>
          </w:tcPr>
          <w:p w14:paraId="46658AD7" w14:textId="6AC1D841" w:rsidR="00624E71" w:rsidRDefault="00624E71" w:rsidP="00015FF2">
            <w:r>
              <w:t>Whitelisting</w:t>
            </w:r>
          </w:p>
        </w:tc>
        <w:tc>
          <w:tcPr>
            <w:tcW w:w="3005" w:type="dxa"/>
          </w:tcPr>
          <w:p w14:paraId="4C7435F3" w14:textId="77777777" w:rsidR="00624E71" w:rsidRPr="00624E71" w:rsidRDefault="00624E71" w:rsidP="00624E71">
            <w:pPr>
              <w:pStyle w:val="ListParagraph"/>
              <w:numPr>
                <w:ilvl w:val="0"/>
                <w:numId w:val="15"/>
              </w:numPr>
              <w:contextualSpacing w:val="0"/>
              <w:jc w:val="both"/>
              <w:rPr>
                <w:lang w:val="en-US"/>
              </w:rPr>
            </w:pPr>
            <w:r w:rsidRPr="00624E71">
              <w:rPr>
                <w:lang w:val="en-US"/>
              </w:rPr>
              <w:t>UE does not have to measure other cells other than in the whitelist – save UE power and measurement effort</w:t>
            </w:r>
          </w:p>
          <w:p w14:paraId="214691B5" w14:textId="77777777" w:rsidR="00624E71" w:rsidRPr="00624E71" w:rsidRDefault="00624E71" w:rsidP="00624E71">
            <w:pPr>
              <w:pStyle w:val="ListParagraph"/>
              <w:numPr>
                <w:ilvl w:val="0"/>
                <w:numId w:val="15"/>
              </w:numPr>
              <w:contextualSpacing w:val="0"/>
              <w:jc w:val="both"/>
              <w:rPr>
                <w:lang w:val="en-US"/>
              </w:rPr>
            </w:pPr>
            <w:r w:rsidRPr="00624E71">
              <w:rPr>
                <w:lang w:val="en-US"/>
              </w:rPr>
              <w:t>UE does not have to read Sib1 after measurement or after camping to find out whether a cell is not suitable.</w:t>
            </w:r>
          </w:p>
          <w:p w14:paraId="2B508BD8" w14:textId="77777777" w:rsidR="00624E71" w:rsidRDefault="00624E71" w:rsidP="00624E71">
            <w:pPr>
              <w:pStyle w:val="ListParagraph"/>
              <w:numPr>
                <w:ilvl w:val="0"/>
                <w:numId w:val="15"/>
              </w:numPr>
              <w:contextualSpacing w:val="0"/>
              <w:jc w:val="both"/>
              <w:rPr>
                <w:color w:val="1F497D"/>
                <w:lang w:val="en-US"/>
              </w:rPr>
            </w:pPr>
            <w:r w:rsidRPr="00624E71">
              <w:rPr>
                <w:lang w:val="en-US"/>
              </w:rPr>
              <w:t xml:space="preserve">Network should know the whitelisting cells </w:t>
            </w:r>
            <w:r w:rsidRPr="00624E71">
              <w:rPr>
                <w:lang w:val="en-US"/>
              </w:rPr>
              <w:lastRenderedPageBreak/>
              <w:t>either via deployment, ANR and network listening. Easy to populate the list</w:t>
            </w:r>
          </w:p>
          <w:p w14:paraId="408C39A4" w14:textId="77777777" w:rsidR="00624E71" w:rsidRDefault="00624E71" w:rsidP="00015FF2"/>
        </w:tc>
        <w:tc>
          <w:tcPr>
            <w:tcW w:w="3006" w:type="dxa"/>
          </w:tcPr>
          <w:p w14:paraId="5E8C12C1" w14:textId="51970B46" w:rsidR="00624E71" w:rsidRDefault="00624E71" w:rsidP="00624E71">
            <w:pPr>
              <w:pStyle w:val="ListParagraph"/>
              <w:numPr>
                <w:ilvl w:val="0"/>
                <w:numId w:val="15"/>
              </w:numPr>
            </w:pPr>
            <w:r>
              <w:lastRenderedPageBreak/>
              <w:t>New mechanism for intra and inter frequency measurement (previous inter-frequency neighbour cell list, UE still needs to measure detected neighbour cells)</w:t>
            </w:r>
          </w:p>
        </w:tc>
      </w:tr>
      <w:tr w:rsidR="00624E71" w14:paraId="429BC69E" w14:textId="77777777" w:rsidTr="00624E71">
        <w:tc>
          <w:tcPr>
            <w:tcW w:w="3005" w:type="dxa"/>
          </w:tcPr>
          <w:p w14:paraId="449D1EBD" w14:textId="64649B6E" w:rsidR="00624E71" w:rsidRDefault="00624E71" w:rsidP="00015FF2">
            <w:r>
              <w:t>Blacklisting</w:t>
            </w:r>
          </w:p>
        </w:tc>
        <w:tc>
          <w:tcPr>
            <w:tcW w:w="3005" w:type="dxa"/>
          </w:tcPr>
          <w:p w14:paraId="77D590AC" w14:textId="77777777" w:rsidR="00624E71" w:rsidRPr="00624E71" w:rsidRDefault="00624E71" w:rsidP="00624E71">
            <w:pPr>
              <w:pStyle w:val="ListParagraph"/>
              <w:numPr>
                <w:ilvl w:val="0"/>
                <w:numId w:val="15"/>
              </w:numPr>
              <w:contextualSpacing w:val="0"/>
              <w:jc w:val="both"/>
              <w:rPr>
                <w:lang w:val="en-US"/>
              </w:rPr>
            </w:pPr>
            <w:r w:rsidRPr="00624E71">
              <w:rPr>
                <w:lang w:val="en-US"/>
              </w:rPr>
              <w:t>Existing mechanism already available in the NR.</w:t>
            </w:r>
          </w:p>
          <w:p w14:paraId="5AB1054F" w14:textId="065CE0DD" w:rsidR="00624E71" w:rsidRPr="00624E71" w:rsidRDefault="00624E71" w:rsidP="00015FF2">
            <w:pPr>
              <w:pStyle w:val="ListParagraph"/>
              <w:numPr>
                <w:ilvl w:val="0"/>
                <w:numId w:val="15"/>
              </w:numPr>
              <w:contextualSpacing w:val="0"/>
              <w:jc w:val="both"/>
              <w:rPr>
                <w:color w:val="1F497D"/>
                <w:lang w:val="en-US"/>
              </w:rPr>
            </w:pPr>
            <w:r w:rsidRPr="00624E71">
              <w:rPr>
                <w:lang w:val="en-US"/>
              </w:rPr>
              <w:t>UE does not have to read Sib1 after measurement or after camping to find out the cell is not suitable.</w:t>
            </w:r>
          </w:p>
        </w:tc>
        <w:tc>
          <w:tcPr>
            <w:tcW w:w="3006" w:type="dxa"/>
          </w:tcPr>
          <w:p w14:paraId="521F7F13" w14:textId="41B71BD5" w:rsidR="00624E71" w:rsidRPr="00624E71" w:rsidRDefault="00624E71" w:rsidP="00624E71">
            <w:pPr>
              <w:pStyle w:val="ListParagraph"/>
              <w:numPr>
                <w:ilvl w:val="0"/>
                <w:numId w:val="15"/>
              </w:numPr>
              <w:contextualSpacing w:val="0"/>
              <w:jc w:val="both"/>
              <w:rPr>
                <w:lang w:val="en-US"/>
              </w:rPr>
            </w:pPr>
            <w:r w:rsidRPr="00624E71">
              <w:rPr>
                <w:lang w:val="en-US"/>
              </w:rPr>
              <w:t>UE still need to measure those blacklisted cells (as it is more a filtering method) – does not save UE power and measurement effort</w:t>
            </w:r>
          </w:p>
          <w:p w14:paraId="1D5AEF38" w14:textId="77777777" w:rsidR="00624E71" w:rsidRDefault="00624E71" w:rsidP="00624E71">
            <w:pPr>
              <w:pStyle w:val="ListParagraph"/>
              <w:numPr>
                <w:ilvl w:val="0"/>
                <w:numId w:val="15"/>
              </w:numPr>
              <w:contextualSpacing w:val="0"/>
              <w:jc w:val="both"/>
              <w:rPr>
                <w:color w:val="1F497D"/>
                <w:lang w:val="en-US"/>
              </w:rPr>
            </w:pPr>
            <w:r w:rsidRPr="00624E71">
              <w:rPr>
                <w:lang w:val="en-US"/>
              </w:rPr>
              <w:t>Network may not know the blacklisting cells via deployment as there is no coordination with other PLMNs.  It needs to depend on ANR and network listening</w:t>
            </w:r>
          </w:p>
          <w:p w14:paraId="5425A0EF" w14:textId="77777777" w:rsidR="00624E71" w:rsidRDefault="00624E71" w:rsidP="00015FF2"/>
        </w:tc>
      </w:tr>
    </w:tbl>
    <w:p w14:paraId="6560A702" w14:textId="77777777" w:rsidR="00624E71" w:rsidRDefault="00624E71" w:rsidP="00015FF2"/>
    <w:p w14:paraId="05AF33A7" w14:textId="77777777" w:rsidR="008267DC" w:rsidRDefault="006261F5" w:rsidP="00DE50F1">
      <w:r>
        <w:t xml:space="preserve">If unlicensed spectrum were shared by many operators, the burden of unnecessary measurement efforts and power consumption would be significant. Therefore, whitelisting approach is preferred although it is a new mechanism. However, standardization effort should be minimal because it just don’t allow UE to detect other cells not in the white list. </w:t>
      </w:r>
    </w:p>
    <w:p w14:paraId="20B369A1" w14:textId="2D5D3874" w:rsidR="00DE50F1" w:rsidRPr="00B22DE0" w:rsidRDefault="00DE50F1" w:rsidP="00DE50F1">
      <w:r>
        <w:rPr>
          <w:b/>
        </w:rPr>
        <w:t>Proposal#2</w:t>
      </w:r>
      <w:r w:rsidR="00D13F2E" w:rsidRPr="00B22DE0">
        <w:rPr>
          <w:b/>
        </w:rPr>
        <w:t>:</w:t>
      </w:r>
      <w:r w:rsidR="00D13F2E" w:rsidRPr="00B22DE0">
        <w:t xml:space="preserve"> </w:t>
      </w:r>
      <w:r w:rsidRPr="00B22DE0">
        <w:t>Network provides white listing of cells for each unlicensed carrier in the SIB</w:t>
      </w:r>
      <w:r>
        <w:t xml:space="preserve"> of the serving cell</w:t>
      </w:r>
      <w:r w:rsidRPr="00B22DE0">
        <w:t>. UE uses only the white listing of cells</w:t>
      </w:r>
      <w:r>
        <w:t xml:space="preserve"> of each unlicensed carrier</w:t>
      </w:r>
      <w:r w:rsidRPr="00B22DE0">
        <w:t xml:space="preserve"> for cell reselection.</w:t>
      </w:r>
    </w:p>
    <w:p w14:paraId="2AE6D99F" w14:textId="77777777" w:rsidR="00FB082B" w:rsidRPr="00B22DE0" w:rsidRDefault="00FB082B" w:rsidP="006D66EA">
      <w:pPr>
        <w:pStyle w:val="Heading1"/>
      </w:pPr>
      <w:r w:rsidRPr="00B22DE0">
        <w:t>Conclusion and proposals</w:t>
      </w:r>
    </w:p>
    <w:p w14:paraId="3E672B3F" w14:textId="0EEB60E2" w:rsidR="00C31434" w:rsidRPr="00B22DE0" w:rsidRDefault="00C31434" w:rsidP="00FB082B">
      <w:r w:rsidRPr="00B22DE0">
        <w:t xml:space="preserve">In this contribution, the following </w:t>
      </w:r>
      <w:r w:rsidR="004334D9" w:rsidRPr="00B22DE0">
        <w:t>observations and proposals are discussed:</w:t>
      </w:r>
    </w:p>
    <w:p w14:paraId="6C4613DA" w14:textId="39D4AB67" w:rsidR="00DE50F1" w:rsidRDefault="00DE50F1" w:rsidP="00DE50F1">
      <w:r>
        <w:rPr>
          <w:b/>
        </w:rPr>
        <w:t>Proposal#1</w:t>
      </w:r>
      <w:r w:rsidRPr="00B22DE0">
        <w:rPr>
          <w:b/>
        </w:rPr>
        <w:t>:</w:t>
      </w:r>
      <w:r w:rsidRPr="00B22DE0">
        <w:t xml:space="preserve"> </w:t>
      </w:r>
      <w:r>
        <w:t>T</w:t>
      </w:r>
      <w:r w:rsidRPr="00B22DE0">
        <w:t xml:space="preserve">he UE should </w:t>
      </w:r>
      <w:r>
        <w:t xml:space="preserve">only </w:t>
      </w:r>
      <w:r w:rsidRPr="00B22DE0">
        <w:t>apply</w:t>
      </w:r>
      <w:r>
        <w:t xml:space="preserve"> the cell barring in the MIB</w:t>
      </w:r>
      <w:r w:rsidRPr="00B22DE0">
        <w:t xml:space="preserve"> as in NR</w:t>
      </w:r>
      <w:r>
        <w:t xml:space="preserve"> i</w:t>
      </w:r>
      <w:r w:rsidR="009C3393">
        <w:t>f the registered</w:t>
      </w:r>
      <w:r w:rsidRPr="00B22DE0">
        <w:t xml:space="preserve"> or selected PLMN matches one of the PLMN IDs </w:t>
      </w:r>
      <w:r>
        <w:t xml:space="preserve">broadcast </w:t>
      </w:r>
      <w:r w:rsidRPr="00B22DE0">
        <w:t>in SIB1.</w:t>
      </w:r>
    </w:p>
    <w:p w14:paraId="75CD182F" w14:textId="77777777" w:rsidR="00DE50F1" w:rsidRPr="00B22DE0" w:rsidRDefault="00DE50F1" w:rsidP="00DE50F1">
      <w:r>
        <w:rPr>
          <w:b/>
        </w:rPr>
        <w:t>Proposal#2</w:t>
      </w:r>
      <w:r w:rsidRPr="00B22DE0">
        <w:rPr>
          <w:b/>
        </w:rPr>
        <w:t>:</w:t>
      </w:r>
      <w:r w:rsidRPr="00B22DE0">
        <w:t xml:space="preserve"> Network provides white listing of cells for each unlicensed carrier in the SIB</w:t>
      </w:r>
      <w:r>
        <w:t xml:space="preserve"> of the serving cell</w:t>
      </w:r>
      <w:r w:rsidRPr="00B22DE0">
        <w:t>. UE uses only the white listing of cells</w:t>
      </w:r>
      <w:r>
        <w:t xml:space="preserve"> of each unlicensed carrier</w:t>
      </w:r>
      <w:r w:rsidRPr="00B22DE0">
        <w:t xml:space="preserve"> for cell reselection.</w:t>
      </w:r>
    </w:p>
    <w:p w14:paraId="2799D7E3" w14:textId="37C0AD82" w:rsidR="00EF648F" w:rsidRPr="001C38EC" w:rsidRDefault="00EF648F" w:rsidP="00DE50F1">
      <w:bookmarkStart w:id="2" w:name="_GoBack"/>
      <w:bookmarkEnd w:id="2"/>
    </w:p>
    <w:sectPr w:rsidR="00EF648F"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BF5F9" w14:textId="77777777" w:rsidR="009E70F9" w:rsidRDefault="009E70F9" w:rsidP="00DF7110">
      <w:pPr>
        <w:spacing w:after="0" w:line="240" w:lineRule="auto"/>
      </w:pPr>
      <w:r>
        <w:separator/>
      </w:r>
    </w:p>
  </w:endnote>
  <w:endnote w:type="continuationSeparator" w:id="0">
    <w:p w14:paraId="4967FB99" w14:textId="77777777" w:rsidR="009E70F9" w:rsidRDefault="009E70F9"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9E506" w14:textId="77777777" w:rsidR="009E70F9" w:rsidRDefault="009E70F9" w:rsidP="00DF7110">
      <w:pPr>
        <w:spacing w:after="0" w:line="240" w:lineRule="auto"/>
      </w:pPr>
      <w:r>
        <w:separator/>
      </w:r>
    </w:p>
  </w:footnote>
  <w:footnote w:type="continuationSeparator" w:id="0">
    <w:p w14:paraId="48AC6300" w14:textId="77777777" w:rsidR="009E70F9" w:rsidRDefault="009E70F9"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4DD3D16"/>
    <w:multiLevelType w:val="hybridMultilevel"/>
    <w:tmpl w:val="5F2A32D4"/>
    <w:lvl w:ilvl="0" w:tplc="558C45FE">
      <w:start w:val="1"/>
      <w:numFmt w:val="bullet"/>
      <w:lvlText w:val=""/>
      <w:lvlJc w:val="left"/>
      <w:pPr>
        <w:tabs>
          <w:tab w:val="num" w:pos="720"/>
        </w:tabs>
        <w:ind w:left="720" w:hanging="360"/>
      </w:pPr>
      <w:rPr>
        <w:rFonts w:ascii="Wingdings" w:hAnsi="Wingdings" w:hint="default"/>
      </w:rPr>
    </w:lvl>
    <w:lvl w:ilvl="1" w:tplc="7D883A18">
      <w:start w:val="1"/>
      <w:numFmt w:val="bullet"/>
      <w:lvlText w:val=""/>
      <w:lvlJc w:val="left"/>
      <w:pPr>
        <w:tabs>
          <w:tab w:val="num" w:pos="1440"/>
        </w:tabs>
        <w:ind w:left="1440" w:hanging="360"/>
      </w:pPr>
      <w:rPr>
        <w:rFonts w:ascii="Wingdings" w:hAnsi="Wingdings" w:hint="default"/>
      </w:rPr>
    </w:lvl>
    <w:lvl w:ilvl="2" w:tplc="1EAC1ECE" w:tentative="1">
      <w:start w:val="1"/>
      <w:numFmt w:val="bullet"/>
      <w:lvlText w:val=""/>
      <w:lvlJc w:val="left"/>
      <w:pPr>
        <w:tabs>
          <w:tab w:val="num" w:pos="2160"/>
        </w:tabs>
        <w:ind w:left="2160" w:hanging="360"/>
      </w:pPr>
      <w:rPr>
        <w:rFonts w:ascii="Wingdings" w:hAnsi="Wingdings" w:hint="default"/>
      </w:rPr>
    </w:lvl>
    <w:lvl w:ilvl="3" w:tplc="25626E92" w:tentative="1">
      <w:start w:val="1"/>
      <w:numFmt w:val="bullet"/>
      <w:lvlText w:val=""/>
      <w:lvlJc w:val="left"/>
      <w:pPr>
        <w:tabs>
          <w:tab w:val="num" w:pos="2880"/>
        </w:tabs>
        <w:ind w:left="2880" w:hanging="360"/>
      </w:pPr>
      <w:rPr>
        <w:rFonts w:ascii="Wingdings" w:hAnsi="Wingdings" w:hint="default"/>
      </w:rPr>
    </w:lvl>
    <w:lvl w:ilvl="4" w:tplc="32FE814C" w:tentative="1">
      <w:start w:val="1"/>
      <w:numFmt w:val="bullet"/>
      <w:lvlText w:val=""/>
      <w:lvlJc w:val="left"/>
      <w:pPr>
        <w:tabs>
          <w:tab w:val="num" w:pos="3600"/>
        </w:tabs>
        <w:ind w:left="3600" w:hanging="360"/>
      </w:pPr>
      <w:rPr>
        <w:rFonts w:ascii="Wingdings" w:hAnsi="Wingdings" w:hint="default"/>
      </w:rPr>
    </w:lvl>
    <w:lvl w:ilvl="5" w:tplc="D946D660" w:tentative="1">
      <w:start w:val="1"/>
      <w:numFmt w:val="bullet"/>
      <w:lvlText w:val=""/>
      <w:lvlJc w:val="left"/>
      <w:pPr>
        <w:tabs>
          <w:tab w:val="num" w:pos="4320"/>
        </w:tabs>
        <w:ind w:left="4320" w:hanging="360"/>
      </w:pPr>
      <w:rPr>
        <w:rFonts w:ascii="Wingdings" w:hAnsi="Wingdings" w:hint="default"/>
      </w:rPr>
    </w:lvl>
    <w:lvl w:ilvl="6" w:tplc="A03808EA" w:tentative="1">
      <w:start w:val="1"/>
      <w:numFmt w:val="bullet"/>
      <w:lvlText w:val=""/>
      <w:lvlJc w:val="left"/>
      <w:pPr>
        <w:tabs>
          <w:tab w:val="num" w:pos="5040"/>
        </w:tabs>
        <w:ind w:left="5040" w:hanging="360"/>
      </w:pPr>
      <w:rPr>
        <w:rFonts w:ascii="Wingdings" w:hAnsi="Wingdings" w:hint="default"/>
      </w:rPr>
    </w:lvl>
    <w:lvl w:ilvl="7" w:tplc="60589B16" w:tentative="1">
      <w:start w:val="1"/>
      <w:numFmt w:val="bullet"/>
      <w:lvlText w:val=""/>
      <w:lvlJc w:val="left"/>
      <w:pPr>
        <w:tabs>
          <w:tab w:val="num" w:pos="5760"/>
        </w:tabs>
        <w:ind w:left="5760" w:hanging="360"/>
      </w:pPr>
      <w:rPr>
        <w:rFonts w:ascii="Wingdings" w:hAnsi="Wingdings" w:hint="default"/>
      </w:rPr>
    </w:lvl>
    <w:lvl w:ilvl="8" w:tplc="4C0E29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6E751EA"/>
    <w:multiLevelType w:val="hybridMultilevel"/>
    <w:tmpl w:val="65DC37DE"/>
    <w:lvl w:ilvl="0" w:tplc="C9ECEB58">
      <w:start w:val="1"/>
      <w:numFmt w:val="bullet"/>
      <w:lvlText w:val="–"/>
      <w:lvlJc w:val="left"/>
      <w:pPr>
        <w:tabs>
          <w:tab w:val="num" w:pos="720"/>
        </w:tabs>
        <w:ind w:left="720" w:hanging="360"/>
      </w:pPr>
      <w:rPr>
        <w:rFonts w:ascii="Arial" w:hAnsi="Arial" w:hint="default"/>
      </w:rPr>
    </w:lvl>
    <w:lvl w:ilvl="1" w:tplc="2F2E834A">
      <w:start w:val="1"/>
      <w:numFmt w:val="bullet"/>
      <w:lvlText w:val="–"/>
      <w:lvlJc w:val="left"/>
      <w:pPr>
        <w:tabs>
          <w:tab w:val="num" w:pos="1440"/>
        </w:tabs>
        <w:ind w:left="1440" w:hanging="360"/>
      </w:pPr>
      <w:rPr>
        <w:rFonts w:ascii="Arial" w:hAnsi="Arial" w:hint="default"/>
      </w:rPr>
    </w:lvl>
    <w:lvl w:ilvl="2" w:tplc="54E667F8">
      <w:start w:val="1"/>
      <w:numFmt w:val="bullet"/>
      <w:lvlText w:val="–"/>
      <w:lvlJc w:val="left"/>
      <w:pPr>
        <w:tabs>
          <w:tab w:val="num" w:pos="2160"/>
        </w:tabs>
        <w:ind w:left="2160" w:hanging="360"/>
      </w:pPr>
      <w:rPr>
        <w:rFonts w:ascii="Arial" w:hAnsi="Arial" w:hint="default"/>
      </w:rPr>
    </w:lvl>
    <w:lvl w:ilvl="3" w:tplc="14845C72">
      <w:start w:val="1"/>
      <w:numFmt w:val="bullet"/>
      <w:lvlText w:val="–"/>
      <w:lvlJc w:val="left"/>
      <w:pPr>
        <w:tabs>
          <w:tab w:val="num" w:pos="2880"/>
        </w:tabs>
        <w:ind w:left="2880" w:hanging="360"/>
      </w:pPr>
      <w:rPr>
        <w:rFonts w:ascii="Arial" w:hAnsi="Arial" w:hint="default"/>
      </w:rPr>
    </w:lvl>
    <w:lvl w:ilvl="4" w:tplc="EB8858BE" w:tentative="1">
      <w:start w:val="1"/>
      <w:numFmt w:val="bullet"/>
      <w:lvlText w:val="–"/>
      <w:lvlJc w:val="left"/>
      <w:pPr>
        <w:tabs>
          <w:tab w:val="num" w:pos="3600"/>
        </w:tabs>
        <w:ind w:left="3600" w:hanging="360"/>
      </w:pPr>
      <w:rPr>
        <w:rFonts w:ascii="Arial" w:hAnsi="Arial" w:hint="default"/>
      </w:rPr>
    </w:lvl>
    <w:lvl w:ilvl="5" w:tplc="D53E277A" w:tentative="1">
      <w:start w:val="1"/>
      <w:numFmt w:val="bullet"/>
      <w:lvlText w:val="–"/>
      <w:lvlJc w:val="left"/>
      <w:pPr>
        <w:tabs>
          <w:tab w:val="num" w:pos="4320"/>
        </w:tabs>
        <w:ind w:left="4320" w:hanging="360"/>
      </w:pPr>
      <w:rPr>
        <w:rFonts w:ascii="Arial" w:hAnsi="Arial" w:hint="default"/>
      </w:rPr>
    </w:lvl>
    <w:lvl w:ilvl="6" w:tplc="F572DE8A" w:tentative="1">
      <w:start w:val="1"/>
      <w:numFmt w:val="bullet"/>
      <w:lvlText w:val="–"/>
      <w:lvlJc w:val="left"/>
      <w:pPr>
        <w:tabs>
          <w:tab w:val="num" w:pos="5040"/>
        </w:tabs>
        <w:ind w:left="5040" w:hanging="360"/>
      </w:pPr>
      <w:rPr>
        <w:rFonts w:ascii="Arial" w:hAnsi="Arial" w:hint="default"/>
      </w:rPr>
    </w:lvl>
    <w:lvl w:ilvl="7" w:tplc="D09ED938" w:tentative="1">
      <w:start w:val="1"/>
      <w:numFmt w:val="bullet"/>
      <w:lvlText w:val="–"/>
      <w:lvlJc w:val="left"/>
      <w:pPr>
        <w:tabs>
          <w:tab w:val="num" w:pos="5760"/>
        </w:tabs>
        <w:ind w:left="5760" w:hanging="360"/>
      </w:pPr>
      <w:rPr>
        <w:rFonts w:ascii="Arial" w:hAnsi="Arial" w:hint="default"/>
      </w:rPr>
    </w:lvl>
    <w:lvl w:ilvl="8" w:tplc="FC109A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29912D0"/>
    <w:multiLevelType w:val="hybridMultilevel"/>
    <w:tmpl w:val="F1304922"/>
    <w:lvl w:ilvl="0" w:tplc="FB8E03AA">
      <w:start w:val="1"/>
      <w:numFmt w:val="bullet"/>
      <w:lvlText w:val=""/>
      <w:lvlJc w:val="left"/>
      <w:pPr>
        <w:tabs>
          <w:tab w:val="num" w:pos="720"/>
        </w:tabs>
        <w:ind w:left="720" w:hanging="360"/>
      </w:pPr>
      <w:rPr>
        <w:rFonts w:ascii="Wingdings" w:hAnsi="Wingdings" w:hint="default"/>
      </w:rPr>
    </w:lvl>
    <w:lvl w:ilvl="1" w:tplc="D03C38A2">
      <w:start w:val="1"/>
      <w:numFmt w:val="bullet"/>
      <w:lvlText w:val=""/>
      <w:lvlJc w:val="left"/>
      <w:pPr>
        <w:tabs>
          <w:tab w:val="num" w:pos="1440"/>
        </w:tabs>
        <w:ind w:left="1440" w:hanging="360"/>
      </w:pPr>
      <w:rPr>
        <w:rFonts w:ascii="Wingdings" w:hAnsi="Wingdings" w:hint="default"/>
      </w:rPr>
    </w:lvl>
    <w:lvl w:ilvl="2" w:tplc="EB62B7DA" w:tentative="1">
      <w:start w:val="1"/>
      <w:numFmt w:val="bullet"/>
      <w:lvlText w:val=""/>
      <w:lvlJc w:val="left"/>
      <w:pPr>
        <w:tabs>
          <w:tab w:val="num" w:pos="2160"/>
        </w:tabs>
        <w:ind w:left="2160" w:hanging="360"/>
      </w:pPr>
      <w:rPr>
        <w:rFonts w:ascii="Wingdings" w:hAnsi="Wingdings" w:hint="default"/>
      </w:rPr>
    </w:lvl>
    <w:lvl w:ilvl="3" w:tplc="D458DAA8" w:tentative="1">
      <w:start w:val="1"/>
      <w:numFmt w:val="bullet"/>
      <w:lvlText w:val=""/>
      <w:lvlJc w:val="left"/>
      <w:pPr>
        <w:tabs>
          <w:tab w:val="num" w:pos="2880"/>
        </w:tabs>
        <w:ind w:left="2880" w:hanging="360"/>
      </w:pPr>
      <w:rPr>
        <w:rFonts w:ascii="Wingdings" w:hAnsi="Wingdings" w:hint="default"/>
      </w:rPr>
    </w:lvl>
    <w:lvl w:ilvl="4" w:tplc="DCF0A3AE" w:tentative="1">
      <w:start w:val="1"/>
      <w:numFmt w:val="bullet"/>
      <w:lvlText w:val=""/>
      <w:lvlJc w:val="left"/>
      <w:pPr>
        <w:tabs>
          <w:tab w:val="num" w:pos="3600"/>
        </w:tabs>
        <w:ind w:left="3600" w:hanging="360"/>
      </w:pPr>
      <w:rPr>
        <w:rFonts w:ascii="Wingdings" w:hAnsi="Wingdings" w:hint="default"/>
      </w:rPr>
    </w:lvl>
    <w:lvl w:ilvl="5" w:tplc="D6C4AA8C" w:tentative="1">
      <w:start w:val="1"/>
      <w:numFmt w:val="bullet"/>
      <w:lvlText w:val=""/>
      <w:lvlJc w:val="left"/>
      <w:pPr>
        <w:tabs>
          <w:tab w:val="num" w:pos="4320"/>
        </w:tabs>
        <w:ind w:left="4320" w:hanging="360"/>
      </w:pPr>
      <w:rPr>
        <w:rFonts w:ascii="Wingdings" w:hAnsi="Wingdings" w:hint="default"/>
      </w:rPr>
    </w:lvl>
    <w:lvl w:ilvl="6" w:tplc="42726CA6" w:tentative="1">
      <w:start w:val="1"/>
      <w:numFmt w:val="bullet"/>
      <w:lvlText w:val=""/>
      <w:lvlJc w:val="left"/>
      <w:pPr>
        <w:tabs>
          <w:tab w:val="num" w:pos="5040"/>
        </w:tabs>
        <w:ind w:left="5040" w:hanging="360"/>
      </w:pPr>
      <w:rPr>
        <w:rFonts w:ascii="Wingdings" w:hAnsi="Wingdings" w:hint="default"/>
      </w:rPr>
    </w:lvl>
    <w:lvl w:ilvl="7" w:tplc="75664846" w:tentative="1">
      <w:start w:val="1"/>
      <w:numFmt w:val="bullet"/>
      <w:lvlText w:val=""/>
      <w:lvlJc w:val="left"/>
      <w:pPr>
        <w:tabs>
          <w:tab w:val="num" w:pos="5760"/>
        </w:tabs>
        <w:ind w:left="5760" w:hanging="360"/>
      </w:pPr>
      <w:rPr>
        <w:rFonts w:ascii="Wingdings" w:hAnsi="Wingdings" w:hint="default"/>
      </w:rPr>
    </w:lvl>
    <w:lvl w:ilvl="8" w:tplc="28D2636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233DB"/>
    <w:multiLevelType w:val="hybridMultilevel"/>
    <w:tmpl w:val="6BAC2294"/>
    <w:lvl w:ilvl="0" w:tplc="060083EC">
      <w:start w:val="1"/>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abstractNum w:abstractNumId="14" w15:restartNumberingAfterBreak="0">
    <w:nsid w:val="72C24412"/>
    <w:multiLevelType w:val="hybridMultilevel"/>
    <w:tmpl w:val="F8DCB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0"/>
  </w:num>
  <w:num w:numId="3">
    <w:abstractNumId w:val="7"/>
  </w:num>
  <w:num w:numId="4">
    <w:abstractNumId w:val="11"/>
  </w:num>
  <w:num w:numId="5">
    <w:abstractNumId w:val="2"/>
  </w:num>
  <w:num w:numId="6">
    <w:abstractNumId w:val="10"/>
  </w:num>
  <w:num w:numId="7">
    <w:abstractNumId w:val="13"/>
  </w:num>
  <w:num w:numId="8">
    <w:abstractNumId w:val="12"/>
  </w:num>
  <w:num w:numId="9">
    <w:abstractNumId w:val="8"/>
  </w:num>
  <w:num w:numId="10">
    <w:abstractNumId w:val="4"/>
  </w:num>
  <w:num w:numId="11">
    <w:abstractNumId w:val="1"/>
  </w:num>
  <w:num w:numId="12">
    <w:abstractNumId w:val="6"/>
  </w:num>
  <w:num w:numId="13">
    <w:abstractNumId w:val="14"/>
  </w:num>
  <w:num w:numId="14">
    <w:abstractNumId w:val="3"/>
  </w:num>
  <w:num w:numId="1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5FF2"/>
    <w:rsid w:val="0001633D"/>
    <w:rsid w:val="00016643"/>
    <w:rsid w:val="00017ADD"/>
    <w:rsid w:val="000209BD"/>
    <w:rsid w:val="00022227"/>
    <w:rsid w:val="00022A9D"/>
    <w:rsid w:val="00023487"/>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93A"/>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29F9"/>
    <w:rsid w:val="000A31A1"/>
    <w:rsid w:val="000A3EEA"/>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3F"/>
    <w:rsid w:val="001112EA"/>
    <w:rsid w:val="00111D1C"/>
    <w:rsid w:val="00112997"/>
    <w:rsid w:val="0011415B"/>
    <w:rsid w:val="00114899"/>
    <w:rsid w:val="00115C95"/>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9B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66F9D"/>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AFB"/>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5030"/>
    <w:rsid w:val="001F6AB1"/>
    <w:rsid w:val="001F7146"/>
    <w:rsid w:val="002005EF"/>
    <w:rsid w:val="00200640"/>
    <w:rsid w:val="002009CC"/>
    <w:rsid w:val="00201512"/>
    <w:rsid w:val="00202030"/>
    <w:rsid w:val="002037E4"/>
    <w:rsid w:val="002047AB"/>
    <w:rsid w:val="00204990"/>
    <w:rsid w:val="00205846"/>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7F6"/>
    <w:rsid w:val="00234DCA"/>
    <w:rsid w:val="0023547A"/>
    <w:rsid w:val="00235E14"/>
    <w:rsid w:val="00235E7A"/>
    <w:rsid w:val="00235EA1"/>
    <w:rsid w:val="002368E4"/>
    <w:rsid w:val="00236C80"/>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3F0C"/>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2CF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4B0"/>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61E1"/>
    <w:rsid w:val="0031731E"/>
    <w:rsid w:val="003210EC"/>
    <w:rsid w:val="0032134E"/>
    <w:rsid w:val="00322459"/>
    <w:rsid w:val="0032260A"/>
    <w:rsid w:val="003252AC"/>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AEE"/>
    <w:rsid w:val="00342EBF"/>
    <w:rsid w:val="003436E2"/>
    <w:rsid w:val="00343827"/>
    <w:rsid w:val="003447D9"/>
    <w:rsid w:val="0034522E"/>
    <w:rsid w:val="00345247"/>
    <w:rsid w:val="003469E0"/>
    <w:rsid w:val="003505E8"/>
    <w:rsid w:val="00351002"/>
    <w:rsid w:val="0035297C"/>
    <w:rsid w:val="0035422F"/>
    <w:rsid w:val="00355320"/>
    <w:rsid w:val="00356420"/>
    <w:rsid w:val="0035643F"/>
    <w:rsid w:val="00356941"/>
    <w:rsid w:val="003601E5"/>
    <w:rsid w:val="003618AB"/>
    <w:rsid w:val="00363883"/>
    <w:rsid w:val="00363B5B"/>
    <w:rsid w:val="00365A08"/>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557E"/>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A7C28"/>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2F3E"/>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64D"/>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4D9"/>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706"/>
    <w:rsid w:val="00455F90"/>
    <w:rsid w:val="00456DC3"/>
    <w:rsid w:val="00457030"/>
    <w:rsid w:val="0045782C"/>
    <w:rsid w:val="00457BE0"/>
    <w:rsid w:val="00460010"/>
    <w:rsid w:val="00460455"/>
    <w:rsid w:val="0046122B"/>
    <w:rsid w:val="00462A11"/>
    <w:rsid w:val="0046375A"/>
    <w:rsid w:val="00463F2B"/>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1C8B"/>
    <w:rsid w:val="004B2ADE"/>
    <w:rsid w:val="004B2E4A"/>
    <w:rsid w:val="004B332C"/>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3499"/>
    <w:rsid w:val="004D4C21"/>
    <w:rsid w:val="004D4D96"/>
    <w:rsid w:val="004D53C7"/>
    <w:rsid w:val="004D5C65"/>
    <w:rsid w:val="004D5D0D"/>
    <w:rsid w:val="004D6DA2"/>
    <w:rsid w:val="004D7AA0"/>
    <w:rsid w:val="004E0226"/>
    <w:rsid w:val="004E0812"/>
    <w:rsid w:val="004E0EF9"/>
    <w:rsid w:val="004E172D"/>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33A"/>
    <w:rsid w:val="004F76B0"/>
    <w:rsid w:val="00500883"/>
    <w:rsid w:val="00500929"/>
    <w:rsid w:val="00501855"/>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EAB"/>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1E82"/>
    <w:rsid w:val="005E20C1"/>
    <w:rsid w:val="005E252A"/>
    <w:rsid w:val="005E33FE"/>
    <w:rsid w:val="005E54A8"/>
    <w:rsid w:val="005E5F42"/>
    <w:rsid w:val="005E6874"/>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6596"/>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4E71"/>
    <w:rsid w:val="00625265"/>
    <w:rsid w:val="006259AD"/>
    <w:rsid w:val="006261F5"/>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0656"/>
    <w:rsid w:val="00651ABA"/>
    <w:rsid w:val="0065261C"/>
    <w:rsid w:val="0065268C"/>
    <w:rsid w:val="006528DB"/>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8CD"/>
    <w:rsid w:val="00674C8F"/>
    <w:rsid w:val="0067661D"/>
    <w:rsid w:val="00676B00"/>
    <w:rsid w:val="00676B77"/>
    <w:rsid w:val="00677232"/>
    <w:rsid w:val="0068052E"/>
    <w:rsid w:val="00680E72"/>
    <w:rsid w:val="00681090"/>
    <w:rsid w:val="006816C2"/>
    <w:rsid w:val="0068301E"/>
    <w:rsid w:val="0068326F"/>
    <w:rsid w:val="006845AF"/>
    <w:rsid w:val="006849B8"/>
    <w:rsid w:val="00685E1A"/>
    <w:rsid w:val="00685E26"/>
    <w:rsid w:val="006870D8"/>
    <w:rsid w:val="00687FDD"/>
    <w:rsid w:val="00690350"/>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5EAF"/>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387"/>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024"/>
    <w:rsid w:val="00722243"/>
    <w:rsid w:val="007224DA"/>
    <w:rsid w:val="007225E0"/>
    <w:rsid w:val="00722E48"/>
    <w:rsid w:val="00724710"/>
    <w:rsid w:val="00725B35"/>
    <w:rsid w:val="007268B0"/>
    <w:rsid w:val="00727606"/>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13D9"/>
    <w:rsid w:val="007716F1"/>
    <w:rsid w:val="00771F63"/>
    <w:rsid w:val="00772CA5"/>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6FF3"/>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5E95"/>
    <w:rsid w:val="007D600D"/>
    <w:rsid w:val="007D6379"/>
    <w:rsid w:val="007D66E6"/>
    <w:rsid w:val="007D7C06"/>
    <w:rsid w:val="007E06C4"/>
    <w:rsid w:val="007E0832"/>
    <w:rsid w:val="007E123E"/>
    <w:rsid w:val="007E142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3A9D"/>
    <w:rsid w:val="008267DC"/>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0FA"/>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158F"/>
    <w:rsid w:val="00894F02"/>
    <w:rsid w:val="008955D5"/>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8EB"/>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0409"/>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3F"/>
    <w:rsid w:val="009276ED"/>
    <w:rsid w:val="00927D31"/>
    <w:rsid w:val="00927D6F"/>
    <w:rsid w:val="0093217B"/>
    <w:rsid w:val="00932808"/>
    <w:rsid w:val="00932B19"/>
    <w:rsid w:val="00932FC8"/>
    <w:rsid w:val="00933D4E"/>
    <w:rsid w:val="009344A9"/>
    <w:rsid w:val="0093470C"/>
    <w:rsid w:val="009350E8"/>
    <w:rsid w:val="00935C54"/>
    <w:rsid w:val="00936B22"/>
    <w:rsid w:val="009409C0"/>
    <w:rsid w:val="00940F8C"/>
    <w:rsid w:val="009416DA"/>
    <w:rsid w:val="00943A7C"/>
    <w:rsid w:val="00943D65"/>
    <w:rsid w:val="00943EBC"/>
    <w:rsid w:val="009454F0"/>
    <w:rsid w:val="00945621"/>
    <w:rsid w:val="009456F0"/>
    <w:rsid w:val="00947168"/>
    <w:rsid w:val="009472A7"/>
    <w:rsid w:val="00947690"/>
    <w:rsid w:val="009502FE"/>
    <w:rsid w:val="009505CF"/>
    <w:rsid w:val="00950BBC"/>
    <w:rsid w:val="009513D7"/>
    <w:rsid w:val="009514B4"/>
    <w:rsid w:val="009516E1"/>
    <w:rsid w:val="009518EA"/>
    <w:rsid w:val="00952876"/>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2EE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0BE"/>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9E7"/>
    <w:rsid w:val="009C309F"/>
    <w:rsid w:val="009C30C1"/>
    <w:rsid w:val="009C3393"/>
    <w:rsid w:val="009C376B"/>
    <w:rsid w:val="009C418B"/>
    <w:rsid w:val="009C57F4"/>
    <w:rsid w:val="009C5833"/>
    <w:rsid w:val="009C5B48"/>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0F9"/>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3FF3"/>
    <w:rsid w:val="00A04501"/>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27"/>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47DBA"/>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1506"/>
    <w:rsid w:val="00A7216C"/>
    <w:rsid w:val="00A7272D"/>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B86"/>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33C0"/>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C7F2F"/>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22D6"/>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2F98"/>
    <w:rsid w:val="00B13BF3"/>
    <w:rsid w:val="00B15D2A"/>
    <w:rsid w:val="00B1695D"/>
    <w:rsid w:val="00B17719"/>
    <w:rsid w:val="00B177B2"/>
    <w:rsid w:val="00B205B6"/>
    <w:rsid w:val="00B20D44"/>
    <w:rsid w:val="00B2173C"/>
    <w:rsid w:val="00B21752"/>
    <w:rsid w:val="00B22DE0"/>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39D2"/>
    <w:rsid w:val="00B44C5F"/>
    <w:rsid w:val="00B44EB9"/>
    <w:rsid w:val="00B467A6"/>
    <w:rsid w:val="00B46B65"/>
    <w:rsid w:val="00B46FA2"/>
    <w:rsid w:val="00B47893"/>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AD2"/>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064"/>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3F9A"/>
    <w:rsid w:val="00C640E7"/>
    <w:rsid w:val="00C64220"/>
    <w:rsid w:val="00C64CF7"/>
    <w:rsid w:val="00C651F6"/>
    <w:rsid w:val="00C65451"/>
    <w:rsid w:val="00C66368"/>
    <w:rsid w:val="00C678F8"/>
    <w:rsid w:val="00C7028B"/>
    <w:rsid w:val="00C704B9"/>
    <w:rsid w:val="00C70823"/>
    <w:rsid w:val="00C7092D"/>
    <w:rsid w:val="00C70CB2"/>
    <w:rsid w:val="00C70FA5"/>
    <w:rsid w:val="00C7184D"/>
    <w:rsid w:val="00C71B90"/>
    <w:rsid w:val="00C71DF4"/>
    <w:rsid w:val="00C75385"/>
    <w:rsid w:val="00C75E65"/>
    <w:rsid w:val="00C76796"/>
    <w:rsid w:val="00C7767C"/>
    <w:rsid w:val="00C80C93"/>
    <w:rsid w:val="00C811FA"/>
    <w:rsid w:val="00C813CC"/>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6247"/>
    <w:rsid w:val="00CB62B1"/>
    <w:rsid w:val="00CC03CC"/>
    <w:rsid w:val="00CC0A60"/>
    <w:rsid w:val="00CC0ABD"/>
    <w:rsid w:val="00CC0F42"/>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5D1C"/>
    <w:rsid w:val="00CE7003"/>
    <w:rsid w:val="00CE7F87"/>
    <w:rsid w:val="00CF0BEB"/>
    <w:rsid w:val="00CF30CF"/>
    <w:rsid w:val="00CF58FC"/>
    <w:rsid w:val="00CF68DC"/>
    <w:rsid w:val="00CF6FFE"/>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47C"/>
    <w:rsid w:val="00D13626"/>
    <w:rsid w:val="00D13F2E"/>
    <w:rsid w:val="00D14410"/>
    <w:rsid w:val="00D1475C"/>
    <w:rsid w:val="00D14CA6"/>
    <w:rsid w:val="00D14CFF"/>
    <w:rsid w:val="00D14FF9"/>
    <w:rsid w:val="00D157B1"/>
    <w:rsid w:val="00D169DA"/>
    <w:rsid w:val="00D17481"/>
    <w:rsid w:val="00D176A6"/>
    <w:rsid w:val="00D176F2"/>
    <w:rsid w:val="00D17883"/>
    <w:rsid w:val="00D20E67"/>
    <w:rsid w:val="00D21F5A"/>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845"/>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0F8F"/>
    <w:rsid w:val="00DE1776"/>
    <w:rsid w:val="00DE1ABB"/>
    <w:rsid w:val="00DE3012"/>
    <w:rsid w:val="00DE313F"/>
    <w:rsid w:val="00DE323E"/>
    <w:rsid w:val="00DE33A2"/>
    <w:rsid w:val="00DE354C"/>
    <w:rsid w:val="00DE36C2"/>
    <w:rsid w:val="00DE3CA8"/>
    <w:rsid w:val="00DE4110"/>
    <w:rsid w:val="00DE4C01"/>
    <w:rsid w:val="00DE4D71"/>
    <w:rsid w:val="00DE50F1"/>
    <w:rsid w:val="00DE566B"/>
    <w:rsid w:val="00DE61B2"/>
    <w:rsid w:val="00DE632C"/>
    <w:rsid w:val="00DE63C4"/>
    <w:rsid w:val="00DE68E9"/>
    <w:rsid w:val="00DF067C"/>
    <w:rsid w:val="00DF0F81"/>
    <w:rsid w:val="00DF2535"/>
    <w:rsid w:val="00DF3031"/>
    <w:rsid w:val="00DF3816"/>
    <w:rsid w:val="00DF5EB4"/>
    <w:rsid w:val="00DF62F4"/>
    <w:rsid w:val="00DF6E56"/>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5C5F"/>
    <w:rsid w:val="00E066AA"/>
    <w:rsid w:val="00E066EA"/>
    <w:rsid w:val="00E0769A"/>
    <w:rsid w:val="00E07ECF"/>
    <w:rsid w:val="00E10347"/>
    <w:rsid w:val="00E11331"/>
    <w:rsid w:val="00E115BD"/>
    <w:rsid w:val="00E12D12"/>
    <w:rsid w:val="00E14D06"/>
    <w:rsid w:val="00E151D6"/>
    <w:rsid w:val="00E167CE"/>
    <w:rsid w:val="00E16FDD"/>
    <w:rsid w:val="00E21E40"/>
    <w:rsid w:val="00E2319F"/>
    <w:rsid w:val="00E24D86"/>
    <w:rsid w:val="00E267C9"/>
    <w:rsid w:val="00E26C08"/>
    <w:rsid w:val="00E26D49"/>
    <w:rsid w:val="00E30AE3"/>
    <w:rsid w:val="00E30DAC"/>
    <w:rsid w:val="00E318D1"/>
    <w:rsid w:val="00E3194D"/>
    <w:rsid w:val="00E31F56"/>
    <w:rsid w:val="00E322F4"/>
    <w:rsid w:val="00E32719"/>
    <w:rsid w:val="00E32D15"/>
    <w:rsid w:val="00E3442D"/>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66E7"/>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4D8A"/>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B7D31"/>
    <w:rsid w:val="00EB7F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C9D"/>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1F97"/>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1"/>
    <w:rsid w:val="00FA3819"/>
    <w:rsid w:val="00FA436A"/>
    <w:rsid w:val="00FA45B8"/>
    <w:rsid w:val="00FA5E05"/>
    <w:rsid w:val="00FA5EC3"/>
    <w:rsid w:val="00FA6478"/>
    <w:rsid w:val="00FB03C8"/>
    <w:rsid w:val="00FB082B"/>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080"/>
    <w:rsid w:val="00FD318A"/>
    <w:rsid w:val="00FD3CA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TF">
    <w:name w:val="TF"/>
    <w:basedOn w:val="TH"/>
    <w:link w:val="TFChar"/>
    <w:rsid w:val="002C2CF7"/>
    <w:pPr>
      <w:keepNext w:val="0"/>
      <w:spacing w:before="0" w:after="240"/>
    </w:pPr>
    <w:rPr>
      <w:rFonts w:eastAsia="SimSun"/>
      <w:lang w:eastAsia="x-none"/>
    </w:rPr>
  </w:style>
  <w:style w:type="character" w:customStyle="1" w:styleId="TFChar">
    <w:name w:val="TF Char"/>
    <w:link w:val="TF"/>
    <w:rsid w:val="002C2CF7"/>
    <w:rPr>
      <w:rFonts w:ascii="Arial" w:hAnsi="Arial" w:cs="Times New Roman"/>
      <w:b/>
      <w:sz w:val="20"/>
      <w:szCs w:val="20"/>
      <w:lang w:eastAsia="x-none"/>
    </w:rPr>
  </w:style>
  <w:style w:type="character" w:customStyle="1" w:styleId="B1Char">
    <w:name w:val="B1 Char"/>
    <w:locked/>
    <w:rsid w:val="00365A08"/>
    <w:rPr>
      <w:lang w:eastAsia="x-none"/>
    </w:rPr>
  </w:style>
  <w:style w:type="table" w:styleId="TableGrid">
    <w:name w:val="Table Grid"/>
    <w:basedOn w:val="TableNormal"/>
    <w:uiPriority w:val="39"/>
    <w:rsid w:val="00624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51738163">
      <w:bodyDiv w:val="1"/>
      <w:marLeft w:val="0"/>
      <w:marRight w:val="0"/>
      <w:marTop w:val="0"/>
      <w:marBottom w:val="0"/>
      <w:divBdr>
        <w:top w:val="none" w:sz="0" w:space="0" w:color="auto"/>
        <w:left w:val="none" w:sz="0" w:space="0" w:color="auto"/>
        <w:bottom w:val="none" w:sz="0" w:space="0" w:color="auto"/>
        <w:right w:val="none" w:sz="0" w:space="0" w:color="auto"/>
      </w:divBdr>
      <w:divsChild>
        <w:div w:id="1803376653">
          <w:marLeft w:val="360"/>
          <w:marRight w:val="0"/>
          <w:marTop w:val="240"/>
          <w:marBottom w:val="0"/>
          <w:divBdr>
            <w:top w:val="none" w:sz="0" w:space="0" w:color="auto"/>
            <w:left w:val="none" w:sz="0" w:space="0" w:color="auto"/>
            <w:bottom w:val="none" w:sz="0" w:space="0" w:color="auto"/>
            <w:right w:val="none" w:sz="0" w:space="0" w:color="auto"/>
          </w:divBdr>
        </w:div>
      </w:divsChild>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13748229">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3309239">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47843807">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5026450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88763014">
      <w:bodyDiv w:val="1"/>
      <w:marLeft w:val="0"/>
      <w:marRight w:val="0"/>
      <w:marTop w:val="0"/>
      <w:marBottom w:val="0"/>
      <w:divBdr>
        <w:top w:val="none" w:sz="0" w:space="0" w:color="auto"/>
        <w:left w:val="none" w:sz="0" w:space="0" w:color="auto"/>
        <w:bottom w:val="none" w:sz="0" w:space="0" w:color="auto"/>
        <w:right w:val="none" w:sz="0" w:space="0" w:color="auto"/>
      </w:divBdr>
    </w:div>
    <w:div w:id="1239485091">
      <w:bodyDiv w:val="1"/>
      <w:marLeft w:val="0"/>
      <w:marRight w:val="0"/>
      <w:marTop w:val="0"/>
      <w:marBottom w:val="0"/>
      <w:divBdr>
        <w:top w:val="none" w:sz="0" w:space="0" w:color="auto"/>
        <w:left w:val="none" w:sz="0" w:space="0" w:color="auto"/>
        <w:bottom w:val="none" w:sz="0" w:space="0" w:color="auto"/>
        <w:right w:val="none" w:sz="0" w:space="0" w:color="auto"/>
      </w:divBdr>
      <w:divsChild>
        <w:div w:id="1397631885">
          <w:marLeft w:val="1526"/>
          <w:marRight w:val="0"/>
          <w:marTop w:val="53"/>
          <w:marBottom w:val="0"/>
          <w:divBdr>
            <w:top w:val="none" w:sz="0" w:space="0" w:color="auto"/>
            <w:left w:val="none" w:sz="0" w:space="0" w:color="auto"/>
            <w:bottom w:val="none" w:sz="0" w:space="0" w:color="auto"/>
            <w:right w:val="none" w:sz="0" w:space="0" w:color="auto"/>
          </w:divBdr>
        </w:div>
        <w:div w:id="1822117393">
          <w:marLeft w:val="1526"/>
          <w:marRight w:val="0"/>
          <w:marTop w:val="53"/>
          <w:marBottom w:val="0"/>
          <w:divBdr>
            <w:top w:val="none" w:sz="0" w:space="0" w:color="auto"/>
            <w:left w:val="none" w:sz="0" w:space="0" w:color="auto"/>
            <w:bottom w:val="none" w:sz="0" w:space="0" w:color="auto"/>
            <w:right w:val="none" w:sz="0" w:space="0" w:color="auto"/>
          </w:divBdr>
        </w:div>
        <w:div w:id="275256190">
          <w:marLeft w:val="1526"/>
          <w:marRight w:val="0"/>
          <w:marTop w:val="53"/>
          <w:marBottom w:val="0"/>
          <w:divBdr>
            <w:top w:val="none" w:sz="0" w:space="0" w:color="auto"/>
            <w:left w:val="none" w:sz="0" w:space="0" w:color="auto"/>
            <w:bottom w:val="none" w:sz="0" w:space="0" w:color="auto"/>
            <w:right w:val="none" w:sz="0" w:space="0" w:color="auto"/>
          </w:divBdr>
        </w:div>
      </w:divsChild>
    </w:div>
    <w:div w:id="1241451950">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65867234">
      <w:bodyDiv w:val="1"/>
      <w:marLeft w:val="0"/>
      <w:marRight w:val="0"/>
      <w:marTop w:val="0"/>
      <w:marBottom w:val="0"/>
      <w:divBdr>
        <w:top w:val="none" w:sz="0" w:space="0" w:color="auto"/>
        <w:left w:val="none" w:sz="0" w:space="0" w:color="auto"/>
        <w:bottom w:val="none" w:sz="0" w:space="0" w:color="auto"/>
        <w:right w:val="none" w:sz="0" w:space="0" w:color="auto"/>
      </w:divBdr>
      <w:divsChild>
        <w:div w:id="1483544716">
          <w:marLeft w:val="360"/>
          <w:marRight w:val="0"/>
          <w:marTop w:val="240"/>
          <w:marBottom w:val="0"/>
          <w:divBdr>
            <w:top w:val="none" w:sz="0" w:space="0" w:color="auto"/>
            <w:left w:val="none" w:sz="0" w:space="0" w:color="auto"/>
            <w:bottom w:val="none" w:sz="0" w:space="0" w:color="auto"/>
            <w:right w:val="none" w:sz="0" w:space="0" w:color="auto"/>
          </w:divBdr>
        </w:div>
      </w:divsChild>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83813049">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1056</Words>
  <Characters>6024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(Seau Sian)</cp:lastModifiedBy>
  <cp:revision>3</cp:revision>
  <dcterms:created xsi:type="dcterms:W3CDTF">2019-08-15T19:18:00Z</dcterms:created>
  <dcterms:modified xsi:type="dcterms:W3CDTF">2019-08-15T19:19:00Z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2019-08-14 00:09:52Z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