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0DD9B25D"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w:t>
      </w:r>
      <w:r w:rsidR="005862AB">
        <w:rPr>
          <w:sz w:val="24"/>
          <w:lang w:val="en-GB" w:eastAsia="zh-CN"/>
        </w:rPr>
        <w:t>7</w:t>
      </w:r>
      <w:r w:rsidRPr="00EE6198">
        <w:rPr>
          <w:sz w:val="24"/>
          <w:lang w:val="en-GB" w:eastAsia="zh-CN"/>
        </w:rPr>
        <w:tab/>
      </w:r>
      <w:r w:rsidR="00C07A8D" w:rsidRPr="00C07A8D">
        <w:rPr>
          <w:sz w:val="24"/>
          <w:lang w:val="en-GB" w:eastAsia="zh-CN"/>
        </w:rPr>
        <w:t>R2-</w:t>
      </w:r>
      <w:r w:rsidR="00865A9A" w:rsidRPr="00865A9A">
        <w:rPr>
          <w:sz w:val="24"/>
          <w:lang w:val="en-GB" w:eastAsia="zh-CN"/>
        </w:rPr>
        <w:t>1909563</w:t>
      </w:r>
    </w:p>
    <w:p w14:paraId="7AD59BF8" w14:textId="20716950" w:rsidR="00F50E77" w:rsidRPr="00B24821" w:rsidRDefault="005862AB" w:rsidP="00F50E77">
      <w:pPr>
        <w:pStyle w:val="Header"/>
        <w:tabs>
          <w:tab w:val="right" w:pos="9639"/>
        </w:tabs>
        <w:rPr>
          <w:sz w:val="24"/>
          <w:lang w:val="en-GB" w:eastAsia="ko-KR"/>
        </w:rPr>
      </w:pPr>
      <w:r w:rsidRPr="005862AB">
        <w:rPr>
          <w:sz w:val="24"/>
          <w:lang w:val="en-GB" w:eastAsia="ko-KR"/>
        </w:rPr>
        <w:t>Prague, Czech Republic,</w:t>
      </w:r>
      <w:r>
        <w:rPr>
          <w:sz w:val="24"/>
          <w:lang w:val="en-GB" w:eastAsia="ko-KR"/>
        </w:rPr>
        <w:t xml:space="preserve"> </w:t>
      </w:r>
      <w:r w:rsidRPr="005862AB">
        <w:rPr>
          <w:sz w:val="24"/>
          <w:lang w:val="en-GB" w:eastAsia="ko-KR"/>
        </w:rPr>
        <w:t>26th - 30th August 2019</w:t>
      </w:r>
      <w:r w:rsidR="00F50E77">
        <w:rPr>
          <w:sz w:val="24"/>
          <w:lang w:val="en-GB" w:eastAsia="ko-KR"/>
        </w:rPr>
        <w:tab/>
      </w:r>
      <w:r w:rsidR="00F50E77">
        <w:rPr>
          <w:sz w:val="24"/>
          <w:lang w:val="en-GB" w:eastAsia="zh-CN"/>
        </w:rPr>
        <w:t xml:space="preserve">(Revision of </w:t>
      </w:r>
      <w:r w:rsidR="00F50E77" w:rsidRPr="00FC37CC">
        <w:rPr>
          <w:sz w:val="24"/>
          <w:lang w:val="en-GB" w:eastAsia="zh-CN"/>
        </w:rPr>
        <w:t>R2-190</w:t>
      </w:r>
      <w:r w:rsidR="00B70D27" w:rsidRPr="00C07A8D">
        <w:rPr>
          <w:sz w:val="24"/>
          <w:lang w:val="en-GB" w:eastAsia="zh-CN"/>
        </w:rPr>
        <w:t>6430</w:t>
      </w:r>
      <w:r w:rsidR="00F50E77">
        <w:rPr>
          <w:sz w:val="24"/>
          <w:lang w:val="en-GB" w:eastAsia="zh-CN"/>
        </w:rPr>
        <w:t>)</w:t>
      </w:r>
    </w:p>
    <w:p w14:paraId="4C209772" w14:textId="6FCD6882" w:rsidR="00A507B8" w:rsidRPr="00550983" w:rsidRDefault="00A507B8" w:rsidP="00F50E77">
      <w:pPr>
        <w:pStyle w:val="Header"/>
        <w:tabs>
          <w:tab w:val="left" w:pos="9562"/>
          <w:tab w:val="left" w:pos="9639"/>
        </w:tabs>
        <w:rPr>
          <w:sz w:val="24"/>
          <w:lang w:val="en-GB" w:eastAsia="zh-CN"/>
        </w:rPr>
      </w:pPr>
    </w:p>
    <w:p w14:paraId="50A28E94" w14:textId="362F4753" w:rsidR="007D05E3" w:rsidRPr="00F50E77" w:rsidRDefault="009D5BAB" w:rsidP="00F50E77">
      <w:pPr>
        <w:pStyle w:val="Header"/>
        <w:tabs>
          <w:tab w:val="right" w:pos="9639"/>
        </w:tabs>
        <w:rPr>
          <w:bCs/>
          <w:i/>
          <w:noProof w:val="0"/>
          <w:sz w:val="24"/>
        </w:rPr>
      </w:pPr>
      <w:r w:rsidRPr="009D56B1">
        <w:rPr>
          <w:noProof w:val="0"/>
          <w:sz w:val="24"/>
          <w:lang w:eastAsia="zh-CN"/>
        </w:rPr>
        <w:tab/>
      </w:r>
    </w:p>
    <w:p w14:paraId="3A030AB1" w14:textId="13113D7C" w:rsidR="008B1A95" w:rsidRDefault="007D05E3" w:rsidP="00290024">
      <w:pPr>
        <w:pStyle w:val="CRCoverPage"/>
        <w:contextualSpacing/>
        <w:rPr>
          <w:rFonts w:cs="Arial"/>
          <w:b/>
          <w:bCs/>
          <w:sz w:val="24"/>
          <w:lang w:val="en-US"/>
        </w:rPr>
      </w:pPr>
      <w:r w:rsidRPr="009D56B1">
        <w:rPr>
          <w:rFonts w:cs="Arial"/>
          <w:b/>
          <w:bCs/>
          <w:sz w:val="24"/>
          <w:lang w:val="en-US"/>
        </w:rPr>
        <w:t>Agenda item:</w:t>
      </w:r>
      <w:r w:rsidRPr="009D56B1">
        <w:rPr>
          <w:rFonts w:cs="Arial"/>
          <w:b/>
          <w:bCs/>
          <w:sz w:val="24"/>
          <w:lang w:val="en-US"/>
        </w:rPr>
        <w:tab/>
      </w:r>
      <w:r w:rsidR="008B1A95">
        <w:rPr>
          <w:rFonts w:cs="Arial"/>
          <w:b/>
          <w:bCs/>
          <w:sz w:val="24"/>
          <w:lang w:val="en-US"/>
        </w:rPr>
        <w:t>11.4.4</w:t>
      </w:r>
    </w:p>
    <w:p w14:paraId="7DE10288" w14:textId="77777777" w:rsidR="00290024" w:rsidRDefault="007D05E3" w:rsidP="00290024">
      <w:pPr>
        <w:pStyle w:val="CRCoverPage"/>
        <w:contextualSpacing/>
        <w:rPr>
          <w:rFonts w:cs="Arial"/>
          <w:b/>
          <w:bCs/>
          <w:sz w:val="24"/>
          <w:lang w:eastAsia="zh-CN"/>
        </w:rPr>
      </w:pPr>
      <w:r w:rsidRPr="009D56B1">
        <w:rPr>
          <w:rFonts w:cs="Arial"/>
          <w:b/>
          <w:bCs/>
          <w:sz w:val="24"/>
        </w:rPr>
        <w:t>Source:</w:t>
      </w:r>
      <w:r w:rsidRPr="009D56B1">
        <w:rPr>
          <w:rFonts w:cs="Arial"/>
          <w:b/>
          <w:bCs/>
          <w:sz w:val="24"/>
        </w:rPr>
        <w:tab/>
      </w:r>
      <w:r w:rsidRPr="009D56B1">
        <w:rPr>
          <w:rFonts w:cs="Arial"/>
          <w:b/>
          <w:bCs/>
          <w:sz w:val="24"/>
        </w:rPr>
        <w:tab/>
        <w:t>Intel</w:t>
      </w:r>
      <w:r w:rsidRPr="009D56B1">
        <w:rPr>
          <w:rFonts w:cs="Arial"/>
          <w:b/>
          <w:bCs/>
          <w:sz w:val="24"/>
          <w:lang w:eastAsia="zh-CN"/>
        </w:rPr>
        <w:t xml:space="preserve"> Corporation</w:t>
      </w:r>
    </w:p>
    <w:p w14:paraId="4DC9EF74" w14:textId="4B5DA736" w:rsidR="00290024" w:rsidRDefault="007D05E3" w:rsidP="00290024">
      <w:pPr>
        <w:pStyle w:val="CRCoverPage"/>
        <w:contextualSpacing/>
        <w:rPr>
          <w:rFonts w:cs="Arial"/>
          <w:b/>
          <w:bCs/>
          <w:sz w:val="24"/>
        </w:rPr>
      </w:pPr>
      <w:r w:rsidRPr="009D56B1">
        <w:rPr>
          <w:rFonts w:cs="Arial"/>
          <w:b/>
          <w:bCs/>
          <w:sz w:val="24"/>
        </w:rPr>
        <w:t>Title:</w:t>
      </w:r>
      <w:r w:rsidRPr="009D56B1">
        <w:rPr>
          <w:rFonts w:cs="Arial"/>
          <w:b/>
          <w:bCs/>
          <w:sz w:val="24"/>
        </w:rPr>
        <w:tab/>
      </w:r>
      <w:r w:rsidRPr="009D56B1">
        <w:rPr>
          <w:rFonts w:cs="Arial"/>
          <w:b/>
          <w:bCs/>
          <w:sz w:val="24"/>
        </w:rPr>
        <w:tab/>
      </w:r>
      <w:r w:rsidR="00290024">
        <w:rPr>
          <w:rFonts w:cs="Arial"/>
          <w:b/>
          <w:bCs/>
          <w:sz w:val="24"/>
        </w:rPr>
        <w:tab/>
      </w:r>
      <w:r w:rsidR="00EE07D0" w:rsidRPr="00EE07D0">
        <w:rPr>
          <w:rFonts w:cs="Arial"/>
          <w:b/>
          <w:bCs/>
          <w:sz w:val="24"/>
        </w:rPr>
        <w:t>On admission/congestion control</w:t>
      </w:r>
      <w:bookmarkStart w:id="0" w:name="_GoBack"/>
      <w:bookmarkEnd w:id="0"/>
    </w:p>
    <w:p w14:paraId="50A28E98" w14:textId="045482B5" w:rsidR="007D05E3" w:rsidRPr="009D56B1" w:rsidRDefault="007D05E3" w:rsidP="00290024">
      <w:pPr>
        <w:pStyle w:val="CRCoverPage"/>
        <w:contextualSpacing/>
        <w:rPr>
          <w:rFonts w:cs="Arial"/>
          <w:b/>
          <w:bCs/>
          <w:sz w:val="24"/>
        </w:rPr>
      </w:pPr>
      <w:r w:rsidRPr="009D56B1">
        <w:rPr>
          <w:rFonts w:cs="Arial"/>
          <w:b/>
          <w:bCs/>
          <w:sz w:val="24"/>
        </w:rPr>
        <w:t>Document for:</w:t>
      </w:r>
      <w:r w:rsidRPr="009D56B1">
        <w:rPr>
          <w:rFonts w:cs="Arial"/>
          <w:b/>
          <w:bCs/>
          <w:sz w:val="24"/>
        </w:rPr>
        <w:tab/>
        <w:t>Discussion</w:t>
      </w:r>
      <w:r w:rsidR="00F53BB2">
        <w:rPr>
          <w:rFonts w:cs="Arial"/>
          <w:b/>
          <w:bCs/>
          <w:sz w:val="24"/>
        </w:rPr>
        <w:t>, Decision</w:t>
      </w:r>
    </w:p>
    <w:p w14:paraId="50A28E99" w14:textId="77777777" w:rsidR="008669B1" w:rsidRPr="00E0063E" w:rsidRDefault="008669B1" w:rsidP="000760CC">
      <w:pPr>
        <w:pStyle w:val="Tdoc"/>
      </w:pPr>
      <w:r w:rsidRPr="00E0063E">
        <w:t>Introduction</w:t>
      </w:r>
      <w:r w:rsidRPr="00E0063E">
        <w:rPr>
          <w:lang w:val="en-GB"/>
        </w:rPr>
        <w:t xml:space="preserve">  </w:t>
      </w:r>
    </w:p>
    <w:p w14:paraId="559CCA47" w14:textId="034B83AE" w:rsidR="00E67A80" w:rsidRPr="00C11F0A" w:rsidRDefault="00D9670E"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One </w:t>
      </w:r>
      <w:r w:rsidR="000837B7">
        <w:rPr>
          <w:rFonts w:ascii="Times New Roman" w:hAnsi="Times New Roman"/>
          <w:sz w:val="20"/>
          <w:szCs w:val="20"/>
          <w:lang w:eastAsia="ja-JP"/>
        </w:rPr>
        <w:t xml:space="preserve">outstanding </w:t>
      </w:r>
      <w:r>
        <w:rPr>
          <w:rFonts w:ascii="Times New Roman" w:hAnsi="Times New Roman"/>
          <w:sz w:val="20"/>
          <w:szCs w:val="20"/>
          <w:lang w:eastAsia="ja-JP"/>
        </w:rPr>
        <w:t xml:space="preserve">aspect which </w:t>
      </w:r>
      <w:r w:rsidR="00846557">
        <w:rPr>
          <w:rFonts w:ascii="Times New Roman" w:hAnsi="Times New Roman"/>
          <w:sz w:val="20"/>
          <w:szCs w:val="20"/>
          <w:lang w:eastAsia="ja-JP"/>
        </w:rPr>
        <w:t>has</w:t>
      </w:r>
      <w:r>
        <w:rPr>
          <w:rFonts w:ascii="Times New Roman" w:hAnsi="Times New Roman"/>
          <w:sz w:val="20"/>
          <w:szCs w:val="20"/>
          <w:lang w:eastAsia="ja-JP"/>
        </w:rPr>
        <w:t xml:space="preserve"> not </w:t>
      </w:r>
      <w:r w:rsidR="00846557">
        <w:rPr>
          <w:rFonts w:ascii="Times New Roman" w:hAnsi="Times New Roman"/>
          <w:sz w:val="20"/>
          <w:szCs w:val="20"/>
          <w:lang w:eastAsia="ja-JP"/>
        </w:rPr>
        <w:t xml:space="preserve">been </w:t>
      </w:r>
      <w:r>
        <w:rPr>
          <w:rFonts w:ascii="Times New Roman" w:hAnsi="Times New Roman"/>
          <w:sz w:val="20"/>
          <w:szCs w:val="20"/>
          <w:lang w:eastAsia="ja-JP"/>
        </w:rPr>
        <w:t xml:space="preserve">resolved and relegated to the WI stage </w:t>
      </w:r>
      <w:r w:rsidR="00846557">
        <w:rPr>
          <w:rFonts w:ascii="Times New Roman" w:hAnsi="Times New Roman"/>
          <w:sz w:val="20"/>
          <w:szCs w:val="20"/>
          <w:lang w:eastAsia="ja-JP"/>
        </w:rPr>
        <w:t>is</w:t>
      </w:r>
      <w:r>
        <w:rPr>
          <w:rFonts w:ascii="Times New Roman" w:hAnsi="Times New Roman"/>
          <w:sz w:val="20"/>
          <w:szCs w:val="20"/>
          <w:lang w:eastAsia="ja-JP"/>
        </w:rPr>
        <w:t xml:space="preserve"> the need for </w:t>
      </w:r>
      <w:r w:rsidR="00D558A9">
        <w:rPr>
          <w:rFonts w:ascii="Times New Roman" w:hAnsi="Times New Roman"/>
          <w:sz w:val="20"/>
          <w:szCs w:val="20"/>
          <w:lang w:eastAsia="ja-JP"/>
        </w:rPr>
        <w:t>congestion</w:t>
      </w:r>
      <w:r>
        <w:rPr>
          <w:rFonts w:ascii="Times New Roman" w:hAnsi="Times New Roman"/>
          <w:sz w:val="20"/>
          <w:szCs w:val="20"/>
          <w:lang w:eastAsia="ja-JP"/>
        </w:rPr>
        <w:t xml:space="preserve"> control for NR SL</w:t>
      </w:r>
      <w:r w:rsidR="00846557">
        <w:rPr>
          <w:rFonts w:ascii="Times New Roman" w:hAnsi="Times New Roman"/>
          <w:sz w:val="20"/>
          <w:szCs w:val="20"/>
          <w:lang w:eastAsia="ja-JP"/>
        </w:rPr>
        <w:t>. There has been no discussion on this critical issue in the last couple of meetings in order to ensure seamless NR V2X operation over sidelink</w:t>
      </w:r>
      <w:r w:rsidR="00874841">
        <w:rPr>
          <w:rFonts w:ascii="Times New Roman" w:hAnsi="Times New Roman"/>
          <w:sz w:val="20"/>
          <w:szCs w:val="20"/>
          <w:lang w:eastAsia="ja-JP"/>
        </w:rPr>
        <w:t>. So, i</w:t>
      </w:r>
      <w:r>
        <w:rPr>
          <w:rFonts w:ascii="Times New Roman" w:hAnsi="Times New Roman"/>
          <w:sz w:val="20"/>
          <w:szCs w:val="20"/>
          <w:lang w:eastAsia="ja-JP"/>
        </w:rPr>
        <w:t>n this contributio</w:t>
      </w:r>
      <w:r w:rsidR="000837B7">
        <w:rPr>
          <w:rFonts w:ascii="Times New Roman" w:hAnsi="Times New Roman"/>
          <w:sz w:val="20"/>
          <w:szCs w:val="20"/>
          <w:lang w:eastAsia="ja-JP"/>
        </w:rPr>
        <w:t xml:space="preserve">n, we analyze the need for such functionality </w:t>
      </w:r>
      <w:r>
        <w:rPr>
          <w:rFonts w:ascii="Times New Roman" w:hAnsi="Times New Roman"/>
          <w:sz w:val="20"/>
          <w:szCs w:val="20"/>
          <w:lang w:eastAsia="ja-JP"/>
        </w:rPr>
        <w:t>and present our view.</w:t>
      </w:r>
    </w:p>
    <w:p w14:paraId="768091D5" w14:textId="2EE7A73F" w:rsidR="00A3213E" w:rsidRPr="009361B6" w:rsidRDefault="000760CC" w:rsidP="009361B6">
      <w:pPr>
        <w:pStyle w:val="Tdoc"/>
      </w:pPr>
      <w:r>
        <w:t>Discussion</w:t>
      </w:r>
    </w:p>
    <w:p w14:paraId="48A91EC9" w14:textId="0E163711" w:rsidR="000837B7" w:rsidRDefault="000837B7" w:rsidP="00305CD5">
      <w:pPr>
        <w:rPr>
          <w:rFonts w:ascii="Times New Roman" w:hAnsi="Times New Roman"/>
          <w:sz w:val="20"/>
          <w:lang w:val="en-GB" w:eastAsia="zh-CN"/>
        </w:rPr>
      </w:pPr>
      <w:r w:rsidRPr="000837B7">
        <w:rPr>
          <w:rFonts w:ascii="Times New Roman" w:hAnsi="Times New Roman"/>
          <w:sz w:val="20"/>
          <w:lang w:val="en-GB" w:eastAsia="zh-CN"/>
        </w:rPr>
        <w:t xml:space="preserve">While operation in mode 1 is strictly in the control of the </w:t>
      </w:r>
      <w:r>
        <w:rPr>
          <w:rFonts w:ascii="Times New Roman" w:hAnsi="Times New Roman"/>
          <w:sz w:val="20"/>
          <w:lang w:val="en-GB" w:eastAsia="zh-CN"/>
        </w:rPr>
        <w:t>gNB</w:t>
      </w:r>
      <w:r w:rsidRPr="000837B7">
        <w:rPr>
          <w:rFonts w:ascii="Times New Roman" w:hAnsi="Times New Roman"/>
          <w:sz w:val="20"/>
          <w:lang w:val="en-GB" w:eastAsia="zh-CN"/>
        </w:rPr>
        <w:t xml:space="preserve">, for mode 2, in order to ensure the above QoS requirement, there is </w:t>
      </w:r>
      <w:r>
        <w:rPr>
          <w:rFonts w:ascii="Times New Roman" w:hAnsi="Times New Roman"/>
          <w:sz w:val="20"/>
          <w:lang w:val="en-GB" w:eastAsia="zh-CN"/>
        </w:rPr>
        <w:t xml:space="preserve">indeed </w:t>
      </w:r>
      <w:r w:rsidRPr="000837B7">
        <w:rPr>
          <w:rFonts w:ascii="Times New Roman" w:hAnsi="Times New Roman"/>
          <w:sz w:val="20"/>
          <w:lang w:val="en-GB" w:eastAsia="zh-CN"/>
        </w:rPr>
        <w:t xml:space="preserve">a need to develop some mechanism for </w:t>
      </w:r>
      <w:r>
        <w:rPr>
          <w:rFonts w:ascii="Times New Roman" w:hAnsi="Times New Roman"/>
          <w:sz w:val="20"/>
          <w:lang w:val="en-GB" w:eastAsia="zh-CN"/>
        </w:rPr>
        <w:t xml:space="preserve">congestion </w:t>
      </w:r>
      <w:r w:rsidRPr="000837B7">
        <w:rPr>
          <w:rFonts w:ascii="Times New Roman" w:hAnsi="Times New Roman"/>
          <w:sz w:val="20"/>
          <w:lang w:val="en-GB" w:eastAsia="zh-CN"/>
        </w:rPr>
        <w:t>control whereby all V2X transmission over shared sidelink resources take into account the channel load status. Note that in LTE, such a congestion control mechanism takes into account the packet priority (P</w:t>
      </w:r>
      <w:r w:rsidR="00F9688C">
        <w:rPr>
          <w:rFonts w:ascii="Times New Roman" w:hAnsi="Times New Roman"/>
          <w:sz w:val="20"/>
          <w:lang w:val="en-GB" w:eastAsia="zh-CN"/>
        </w:rPr>
        <w:t>PPP) and the channel busy ratio</w:t>
      </w:r>
      <w:r w:rsidRPr="000837B7">
        <w:rPr>
          <w:rFonts w:ascii="Times New Roman" w:hAnsi="Times New Roman"/>
          <w:sz w:val="20"/>
          <w:lang w:val="en-GB" w:eastAsia="zh-CN"/>
        </w:rPr>
        <w:t xml:space="preserve"> (CBR) to control the TX parameters such as TX power at each UE. This ensures that the NW can still mediate transmission of V2X packets based on their </w:t>
      </w:r>
      <w:r>
        <w:rPr>
          <w:rFonts w:ascii="Times New Roman" w:hAnsi="Times New Roman"/>
          <w:sz w:val="20"/>
          <w:lang w:val="en-GB" w:eastAsia="zh-CN"/>
        </w:rPr>
        <w:t>“</w:t>
      </w:r>
      <w:r w:rsidRPr="000837B7">
        <w:rPr>
          <w:rFonts w:ascii="Times New Roman" w:hAnsi="Times New Roman"/>
          <w:sz w:val="20"/>
          <w:lang w:val="en-GB" w:eastAsia="zh-CN"/>
        </w:rPr>
        <w:t>priority</w:t>
      </w:r>
      <w:r>
        <w:rPr>
          <w:rFonts w:ascii="Times New Roman" w:hAnsi="Times New Roman"/>
          <w:sz w:val="20"/>
          <w:lang w:val="en-GB" w:eastAsia="zh-CN"/>
        </w:rPr>
        <w:t>”</w:t>
      </w:r>
      <w:r w:rsidRPr="000837B7">
        <w:rPr>
          <w:rFonts w:ascii="Times New Roman" w:hAnsi="Times New Roman"/>
          <w:sz w:val="20"/>
          <w:lang w:val="en-GB" w:eastAsia="zh-CN"/>
        </w:rPr>
        <w:t>.</w:t>
      </w:r>
      <w:r>
        <w:rPr>
          <w:rFonts w:ascii="Times New Roman" w:hAnsi="Times New Roman"/>
          <w:sz w:val="20"/>
          <w:lang w:val="en-GB" w:eastAsia="zh-CN"/>
        </w:rPr>
        <w:t xml:space="preserve"> </w:t>
      </w:r>
      <w:r w:rsidR="00F53BB2">
        <w:rPr>
          <w:rFonts w:ascii="Times New Roman" w:hAnsi="Times New Roman"/>
          <w:sz w:val="20"/>
          <w:lang w:val="en-GB" w:eastAsia="zh-CN"/>
        </w:rPr>
        <w:t>For NR V2X, a</w:t>
      </w:r>
      <w:r>
        <w:rPr>
          <w:rFonts w:ascii="Times New Roman" w:hAnsi="Times New Roman"/>
          <w:sz w:val="20"/>
          <w:lang w:val="en-GB" w:eastAsia="zh-CN"/>
        </w:rPr>
        <w:t xml:space="preserve">t this stage, we can identify at least three mechanisms </w:t>
      </w:r>
      <w:r w:rsidR="00F53BB2">
        <w:rPr>
          <w:rFonts w:ascii="Times New Roman" w:hAnsi="Times New Roman"/>
          <w:sz w:val="20"/>
          <w:lang w:val="en-GB" w:eastAsia="zh-CN"/>
        </w:rPr>
        <w:t xml:space="preserve">that can be considered </w:t>
      </w:r>
      <w:r>
        <w:rPr>
          <w:rFonts w:ascii="Times New Roman" w:hAnsi="Times New Roman"/>
          <w:sz w:val="20"/>
          <w:lang w:val="en-GB" w:eastAsia="zh-CN"/>
        </w:rPr>
        <w:t xml:space="preserve">to perform such </w:t>
      </w:r>
      <w:r w:rsidR="00D558A9">
        <w:rPr>
          <w:rFonts w:ascii="Times New Roman" w:hAnsi="Times New Roman"/>
          <w:sz w:val="20"/>
          <w:lang w:val="en-GB" w:eastAsia="zh-CN"/>
        </w:rPr>
        <w:t>congestion</w:t>
      </w:r>
      <w:r>
        <w:rPr>
          <w:rFonts w:ascii="Times New Roman" w:hAnsi="Times New Roman"/>
          <w:sz w:val="20"/>
          <w:lang w:val="en-GB" w:eastAsia="zh-CN"/>
        </w:rPr>
        <w:t xml:space="preserve"> control:</w:t>
      </w:r>
    </w:p>
    <w:p w14:paraId="512C981A" w14:textId="2F6B527A" w:rsidR="000837B7" w:rsidRDefault="000837B7" w:rsidP="000837B7">
      <w:pPr>
        <w:pStyle w:val="ListParagraph"/>
        <w:numPr>
          <w:ilvl w:val="0"/>
          <w:numId w:val="37"/>
        </w:numPr>
        <w:rPr>
          <w:rFonts w:ascii="Times New Roman" w:hAnsi="Times New Roman"/>
          <w:sz w:val="20"/>
          <w:lang w:val="en-GB" w:eastAsia="zh-CN"/>
        </w:rPr>
      </w:pPr>
      <w:r>
        <w:rPr>
          <w:rFonts w:ascii="Times New Roman" w:hAnsi="Times New Roman"/>
          <w:sz w:val="20"/>
          <w:lang w:val="en-GB" w:eastAsia="zh-CN"/>
        </w:rPr>
        <w:t xml:space="preserve">Per service </w:t>
      </w:r>
      <w:r w:rsidR="00D558A9">
        <w:rPr>
          <w:rFonts w:ascii="Times New Roman" w:hAnsi="Times New Roman"/>
          <w:sz w:val="20"/>
          <w:lang w:val="en-GB" w:eastAsia="zh-CN"/>
        </w:rPr>
        <w:t>congestion</w:t>
      </w:r>
      <w:r>
        <w:rPr>
          <w:rFonts w:ascii="Times New Roman" w:hAnsi="Times New Roman"/>
          <w:sz w:val="20"/>
          <w:lang w:val="en-GB" w:eastAsia="zh-CN"/>
        </w:rPr>
        <w:t xml:space="preserve"> control, in which t</w:t>
      </w:r>
      <w:r w:rsidRPr="000837B7">
        <w:rPr>
          <w:rFonts w:ascii="Times New Roman" w:hAnsi="Times New Roman"/>
          <w:sz w:val="20"/>
          <w:lang w:val="en-GB" w:eastAsia="zh-CN"/>
        </w:rPr>
        <w:t xml:space="preserve">he NW can configure a mapping between specific V2X services and carrier frequencies such that the UE is barred from performing any V2X transmissions for that service if it is not allowed according to such mapping. This mapping can be </w:t>
      </w:r>
      <w:r>
        <w:rPr>
          <w:rFonts w:ascii="Times New Roman" w:hAnsi="Times New Roman"/>
          <w:sz w:val="20"/>
          <w:lang w:val="en-GB" w:eastAsia="zh-CN"/>
        </w:rPr>
        <w:t>accomplished by</w:t>
      </w:r>
      <w:r w:rsidRPr="000837B7">
        <w:rPr>
          <w:rFonts w:ascii="Times New Roman" w:hAnsi="Times New Roman"/>
          <w:sz w:val="20"/>
          <w:lang w:val="en-GB" w:eastAsia="zh-CN"/>
        </w:rPr>
        <w:t xml:space="preserve"> NW configuration or </w:t>
      </w:r>
      <w:r>
        <w:rPr>
          <w:rFonts w:ascii="Times New Roman" w:hAnsi="Times New Roman"/>
          <w:sz w:val="20"/>
          <w:lang w:val="en-GB" w:eastAsia="zh-CN"/>
        </w:rPr>
        <w:t>pre-configuration</w:t>
      </w:r>
      <w:r w:rsidRPr="000837B7">
        <w:rPr>
          <w:rFonts w:ascii="Times New Roman" w:hAnsi="Times New Roman"/>
          <w:sz w:val="20"/>
          <w:lang w:val="en-GB" w:eastAsia="zh-CN"/>
        </w:rPr>
        <w:t xml:space="preserve">. Note that this type of </w:t>
      </w:r>
      <w:r w:rsidR="00D558A9">
        <w:rPr>
          <w:rFonts w:ascii="Times New Roman" w:hAnsi="Times New Roman"/>
          <w:sz w:val="20"/>
          <w:lang w:val="en-GB" w:eastAsia="zh-CN"/>
        </w:rPr>
        <w:t xml:space="preserve">congestion </w:t>
      </w:r>
      <w:r w:rsidRPr="000837B7">
        <w:rPr>
          <w:rFonts w:ascii="Times New Roman" w:hAnsi="Times New Roman"/>
          <w:sz w:val="20"/>
          <w:lang w:val="en-GB" w:eastAsia="zh-CN"/>
        </w:rPr>
        <w:t>control per service does not take into account the dynamic c</w:t>
      </w:r>
      <w:r>
        <w:rPr>
          <w:rFonts w:ascii="Times New Roman" w:hAnsi="Times New Roman"/>
          <w:sz w:val="20"/>
          <w:lang w:val="en-GB" w:eastAsia="zh-CN"/>
        </w:rPr>
        <w:t>hannel conditions over sidelink.</w:t>
      </w:r>
    </w:p>
    <w:p w14:paraId="2642C193" w14:textId="572338F6" w:rsidR="000837B7" w:rsidRPr="000837B7" w:rsidRDefault="000837B7" w:rsidP="000837B7">
      <w:pPr>
        <w:pStyle w:val="ListParagraph"/>
        <w:numPr>
          <w:ilvl w:val="0"/>
          <w:numId w:val="37"/>
        </w:numPr>
        <w:rPr>
          <w:rFonts w:ascii="Times New Roman" w:hAnsi="Times New Roman"/>
          <w:sz w:val="20"/>
          <w:lang w:val="en-GB" w:eastAsia="zh-CN"/>
        </w:rPr>
      </w:pPr>
      <w:r>
        <w:rPr>
          <w:rFonts w:ascii="Times New Roman" w:hAnsi="Times New Roman"/>
          <w:sz w:val="20"/>
          <w:lang w:val="en-GB" w:eastAsia="zh-CN"/>
        </w:rPr>
        <w:t xml:space="preserve">Per packet </w:t>
      </w:r>
      <w:r w:rsidR="00D558A9">
        <w:rPr>
          <w:rFonts w:ascii="Times New Roman" w:hAnsi="Times New Roman"/>
          <w:sz w:val="20"/>
          <w:lang w:val="en-GB" w:eastAsia="zh-CN"/>
        </w:rPr>
        <w:t xml:space="preserve">congestion </w:t>
      </w:r>
      <w:r>
        <w:rPr>
          <w:rFonts w:ascii="Times New Roman" w:hAnsi="Times New Roman"/>
          <w:sz w:val="20"/>
          <w:lang w:val="en-GB" w:eastAsia="zh-CN"/>
        </w:rPr>
        <w:t xml:space="preserve">control, whereby </w:t>
      </w:r>
      <w:r w:rsidRPr="000837B7">
        <w:rPr>
          <w:rFonts w:ascii="Times New Roman" w:hAnsi="Times New Roman"/>
          <w:sz w:val="20"/>
          <w:lang w:val="en-GB" w:eastAsia="zh-CN"/>
        </w:rPr>
        <w:t xml:space="preserve">the UE is also configured with a </w:t>
      </w:r>
      <w:r>
        <w:rPr>
          <w:rFonts w:ascii="Times New Roman" w:hAnsi="Times New Roman"/>
          <w:sz w:val="20"/>
          <w:lang w:val="en-GB" w:eastAsia="zh-CN"/>
        </w:rPr>
        <w:t>congestion metric</w:t>
      </w:r>
      <w:r w:rsidRPr="000837B7">
        <w:rPr>
          <w:rFonts w:ascii="Times New Roman" w:hAnsi="Times New Roman"/>
          <w:sz w:val="20"/>
          <w:lang w:val="en-GB" w:eastAsia="zh-CN"/>
        </w:rPr>
        <w:t xml:space="preserve">-QoS criteria </w:t>
      </w:r>
      <w:r w:rsidRPr="0083710A">
        <w:rPr>
          <w:rFonts w:ascii="Times New Roman" w:hAnsi="Times New Roman"/>
          <w:sz w:val="20"/>
          <w:lang w:val="en-GB" w:eastAsia="zh-CN"/>
        </w:rPr>
        <w:t>(e.g. CBR-PQI)</w:t>
      </w:r>
      <w:r>
        <w:rPr>
          <w:rFonts w:ascii="Times New Roman" w:hAnsi="Times New Roman"/>
          <w:sz w:val="20"/>
          <w:lang w:val="en-GB" w:eastAsia="zh-CN"/>
        </w:rPr>
        <w:t xml:space="preserve"> </w:t>
      </w:r>
      <w:r w:rsidRPr="000837B7">
        <w:rPr>
          <w:rFonts w:ascii="Times New Roman" w:hAnsi="Times New Roman"/>
          <w:sz w:val="20"/>
          <w:lang w:val="en-GB" w:eastAsia="zh-CN"/>
        </w:rPr>
        <w:t>mapped to TX parameter configuration by the network. I</w:t>
      </w:r>
      <w:r>
        <w:rPr>
          <w:rFonts w:ascii="Times New Roman" w:hAnsi="Times New Roman"/>
          <w:sz w:val="20"/>
          <w:lang w:val="en-GB" w:eastAsia="zh-CN"/>
        </w:rPr>
        <w:t>f V2X transmission is permitted and</w:t>
      </w:r>
      <w:r w:rsidRPr="000837B7">
        <w:rPr>
          <w:rFonts w:ascii="Times New Roman" w:hAnsi="Times New Roman"/>
          <w:sz w:val="20"/>
          <w:lang w:val="en-GB" w:eastAsia="zh-CN"/>
        </w:rPr>
        <w:t xml:space="preserve"> the UE </w:t>
      </w:r>
      <w:r>
        <w:rPr>
          <w:rFonts w:ascii="Times New Roman" w:hAnsi="Times New Roman"/>
          <w:sz w:val="20"/>
          <w:lang w:val="en-GB" w:eastAsia="zh-CN"/>
        </w:rPr>
        <w:t xml:space="preserve">has </w:t>
      </w:r>
      <w:r w:rsidRPr="000837B7">
        <w:rPr>
          <w:rFonts w:ascii="Times New Roman" w:hAnsi="Times New Roman"/>
          <w:sz w:val="20"/>
          <w:lang w:val="en-GB" w:eastAsia="zh-CN"/>
        </w:rPr>
        <w:t xml:space="preserve">sidelink measurements for channel conditions </w:t>
      </w:r>
      <w:r>
        <w:rPr>
          <w:rFonts w:ascii="Times New Roman" w:hAnsi="Times New Roman"/>
          <w:sz w:val="20"/>
          <w:lang w:val="en-GB" w:eastAsia="zh-CN"/>
        </w:rPr>
        <w:t xml:space="preserve">to </w:t>
      </w:r>
      <w:r w:rsidRPr="000837B7">
        <w:rPr>
          <w:rFonts w:ascii="Times New Roman" w:hAnsi="Times New Roman"/>
          <w:sz w:val="20"/>
          <w:lang w:val="en-GB" w:eastAsia="zh-CN"/>
        </w:rPr>
        <w:t>determine the</w:t>
      </w:r>
      <w:r>
        <w:rPr>
          <w:rFonts w:ascii="Times New Roman" w:hAnsi="Times New Roman"/>
          <w:sz w:val="20"/>
          <w:lang w:val="en-GB" w:eastAsia="zh-CN"/>
        </w:rPr>
        <w:t xml:space="preserve"> channel load status (e.g. CBR),</w:t>
      </w:r>
      <w:r w:rsidRPr="000837B7">
        <w:rPr>
          <w:rFonts w:ascii="Times New Roman" w:hAnsi="Times New Roman"/>
          <w:sz w:val="20"/>
          <w:lang w:val="en-GB" w:eastAsia="zh-CN"/>
        </w:rPr>
        <w:t xml:space="preserve"> this information </w:t>
      </w:r>
      <w:r>
        <w:rPr>
          <w:rFonts w:ascii="Times New Roman" w:hAnsi="Times New Roman"/>
          <w:sz w:val="20"/>
          <w:lang w:val="en-GB" w:eastAsia="zh-CN"/>
        </w:rPr>
        <w:t>is</w:t>
      </w:r>
      <w:r w:rsidRPr="000837B7">
        <w:rPr>
          <w:rFonts w:ascii="Times New Roman" w:hAnsi="Times New Roman"/>
          <w:sz w:val="20"/>
          <w:lang w:val="en-GB" w:eastAsia="zh-CN"/>
        </w:rPr>
        <w:t xml:space="preserve"> (optionally)</w:t>
      </w:r>
      <w:r>
        <w:rPr>
          <w:rFonts w:ascii="Times New Roman" w:hAnsi="Times New Roman"/>
          <w:sz w:val="20"/>
          <w:lang w:val="en-GB" w:eastAsia="zh-CN"/>
        </w:rPr>
        <w:t xml:space="preserve"> used</w:t>
      </w:r>
      <w:r w:rsidRPr="000837B7">
        <w:rPr>
          <w:rFonts w:ascii="Times New Roman" w:hAnsi="Times New Roman"/>
          <w:sz w:val="20"/>
          <w:lang w:val="en-GB" w:eastAsia="zh-CN"/>
        </w:rPr>
        <w:t xml:space="preserve"> together with the QoS information for each packet passed down to the AS layer to determine (for each packet) whether it can be transmitted or not</w:t>
      </w:r>
      <w:r>
        <w:rPr>
          <w:rFonts w:ascii="Times New Roman" w:hAnsi="Times New Roman"/>
          <w:sz w:val="20"/>
          <w:lang w:val="en-GB" w:eastAsia="zh-CN"/>
        </w:rPr>
        <w:t>. This is quite similar to LTE based congestion c</w:t>
      </w:r>
      <w:r w:rsidR="002D73D5">
        <w:rPr>
          <w:rFonts w:ascii="Times New Roman" w:hAnsi="Times New Roman"/>
          <w:sz w:val="20"/>
          <w:lang w:val="en-GB" w:eastAsia="zh-CN"/>
        </w:rPr>
        <w:t>ontrol mechanism over sidelink, except the QoS information has to be different from LTE’s PPPP.</w:t>
      </w:r>
    </w:p>
    <w:p w14:paraId="00491496" w14:textId="1075741E" w:rsidR="000837B7" w:rsidRPr="000837B7" w:rsidRDefault="000837B7" w:rsidP="00305CD5">
      <w:pPr>
        <w:pStyle w:val="ListParagraph"/>
        <w:numPr>
          <w:ilvl w:val="0"/>
          <w:numId w:val="37"/>
        </w:numPr>
        <w:rPr>
          <w:rFonts w:ascii="Times New Roman" w:hAnsi="Times New Roman"/>
          <w:sz w:val="20"/>
          <w:lang w:val="en-GB" w:eastAsia="zh-CN"/>
        </w:rPr>
      </w:pPr>
      <w:r>
        <w:rPr>
          <w:rFonts w:ascii="Times New Roman" w:hAnsi="Times New Roman"/>
          <w:sz w:val="20"/>
          <w:lang w:val="en-GB" w:eastAsia="zh-CN"/>
        </w:rPr>
        <w:t xml:space="preserve">Per packet per service </w:t>
      </w:r>
      <w:r w:rsidR="00D558A9">
        <w:rPr>
          <w:rFonts w:ascii="Times New Roman" w:hAnsi="Times New Roman"/>
          <w:sz w:val="20"/>
          <w:lang w:val="en-GB" w:eastAsia="zh-CN"/>
        </w:rPr>
        <w:t xml:space="preserve">congestion </w:t>
      </w:r>
      <w:r>
        <w:rPr>
          <w:rFonts w:ascii="Times New Roman" w:hAnsi="Times New Roman"/>
          <w:sz w:val="20"/>
          <w:lang w:val="en-GB" w:eastAsia="zh-CN"/>
        </w:rPr>
        <w:t>control, which</w:t>
      </w:r>
      <w:r w:rsidRPr="000837B7">
        <w:rPr>
          <w:rFonts w:ascii="Times New Roman" w:hAnsi="Times New Roman"/>
          <w:sz w:val="20"/>
          <w:lang w:val="en-GB" w:eastAsia="zh-CN"/>
        </w:rPr>
        <w:t xml:space="preserve"> combine</w:t>
      </w:r>
      <w:r>
        <w:rPr>
          <w:rFonts w:ascii="Times New Roman" w:hAnsi="Times New Roman"/>
          <w:sz w:val="20"/>
          <w:lang w:val="en-GB" w:eastAsia="zh-CN"/>
        </w:rPr>
        <w:t>s</w:t>
      </w:r>
      <w:r w:rsidRPr="000837B7">
        <w:rPr>
          <w:rFonts w:ascii="Times New Roman" w:hAnsi="Times New Roman"/>
          <w:sz w:val="20"/>
          <w:lang w:val="en-GB" w:eastAsia="zh-CN"/>
        </w:rPr>
        <w:t xml:space="preserve"> the aspects from the above discussion, i.e. considering both the V2X service and the QoS of the V2X packet al</w:t>
      </w:r>
      <w:r>
        <w:rPr>
          <w:rFonts w:ascii="Times New Roman" w:hAnsi="Times New Roman"/>
          <w:sz w:val="20"/>
          <w:lang w:val="en-GB" w:eastAsia="zh-CN"/>
        </w:rPr>
        <w:t>ongside the channel load status</w:t>
      </w:r>
      <w:r w:rsidRPr="000837B7">
        <w:rPr>
          <w:rFonts w:ascii="Times New Roman" w:hAnsi="Times New Roman"/>
          <w:sz w:val="20"/>
          <w:lang w:val="en-GB" w:eastAsia="zh-CN"/>
        </w:rPr>
        <w:t xml:space="preserve">. In this case, when a V2X service is initiated, the UE can utilize the current load status of the channel to determine whether the V2X service is initiated at all. This can be accomplished by the NW configuring mapping between V2X services and channel load (CBR) (in addition to the mapping between V2X services and sidelink frequencies as in (1)). </w:t>
      </w:r>
      <w:r>
        <w:rPr>
          <w:rFonts w:ascii="Times New Roman" w:hAnsi="Times New Roman"/>
          <w:sz w:val="20"/>
          <w:lang w:val="en-GB" w:eastAsia="zh-CN"/>
        </w:rPr>
        <w:t>As a consequence</w:t>
      </w:r>
      <w:r w:rsidRPr="000837B7">
        <w:rPr>
          <w:rFonts w:ascii="Times New Roman" w:hAnsi="Times New Roman"/>
          <w:sz w:val="20"/>
          <w:lang w:val="en-GB" w:eastAsia="zh-CN"/>
        </w:rPr>
        <w:t>, even if a V2X service might be allowed transmission over a V2X frequency, it may not be allowed to generate and submit packets to the AS layer for transmission if the channel load is too high. If a high-priority service is allowed transmission based on the above criteria, the per-packet congestion control mechanism is further applied for packets of that service to ensure that only essential packets are transmitted over the sidelink interface</w:t>
      </w:r>
    </w:p>
    <w:p w14:paraId="556BCCEF" w14:textId="77777777" w:rsidR="000837B7" w:rsidRDefault="000837B7" w:rsidP="00305CD5">
      <w:pPr>
        <w:rPr>
          <w:rFonts w:ascii="Times New Roman" w:hAnsi="Times New Roman"/>
          <w:sz w:val="20"/>
          <w:lang w:val="en-GB" w:eastAsia="zh-CN"/>
        </w:rPr>
      </w:pPr>
    </w:p>
    <w:p w14:paraId="5ED255DA" w14:textId="357B9DC3" w:rsidR="00F53BB2" w:rsidRDefault="000837B7" w:rsidP="000837B7">
      <w:pPr>
        <w:rPr>
          <w:rFonts w:ascii="Times New Roman" w:hAnsi="Times New Roman"/>
          <w:sz w:val="20"/>
          <w:lang w:val="en-GB" w:eastAsia="zh-CN"/>
        </w:rPr>
      </w:pPr>
      <w:r>
        <w:rPr>
          <w:rFonts w:ascii="Times New Roman" w:hAnsi="Times New Roman"/>
          <w:sz w:val="20"/>
          <w:lang w:val="en-GB" w:eastAsia="zh-CN"/>
        </w:rPr>
        <w:t xml:space="preserve">Pertaining to the options above, </w:t>
      </w:r>
      <w:r w:rsidR="00F9688C">
        <w:rPr>
          <w:rFonts w:ascii="Times New Roman" w:hAnsi="Times New Roman"/>
          <w:sz w:val="20"/>
          <w:lang w:val="en-GB" w:eastAsia="zh-CN"/>
        </w:rPr>
        <w:t>a couple of questions need to be addressed. Firstly, what does the admission/congestion control mechanism look like? In the last few meetings</w:t>
      </w:r>
      <w:r w:rsidR="00F53BB2">
        <w:rPr>
          <w:rFonts w:ascii="Times New Roman" w:hAnsi="Times New Roman"/>
          <w:sz w:val="20"/>
          <w:lang w:val="en-GB" w:eastAsia="zh-CN"/>
        </w:rPr>
        <w:t xml:space="preserve">, the need of </w:t>
      </w:r>
      <w:r>
        <w:rPr>
          <w:rFonts w:ascii="Times New Roman" w:hAnsi="Times New Roman"/>
          <w:sz w:val="20"/>
          <w:lang w:val="en-GB" w:eastAsia="zh-CN"/>
        </w:rPr>
        <w:t xml:space="preserve">a mechanism </w:t>
      </w:r>
      <w:r w:rsidR="00F53BB2">
        <w:rPr>
          <w:rFonts w:ascii="Times New Roman" w:hAnsi="Times New Roman"/>
          <w:sz w:val="20"/>
          <w:lang w:val="en-GB" w:eastAsia="zh-CN"/>
        </w:rPr>
        <w:t xml:space="preserve">was proposed whereby </w:t>
      </w:r>
      <w:r>
        <w:rPr>
          <w:rFonts w:ascii="Times New Roman" w:hAnsi="Times New Roman"/>
          <w:sz w:val="20"/>
          <w:lang w:val="en-GB" w:eastAsia="zh-CN"/>
        </w:rPr>
        <w:t>depending on channel congestion and load status, certain V2X services considered as low priority would not be permitted by the network to establish QoS flows and mapped to SLRBs for subsequent transmissions</w:t>
      </w:r>
      <w:r w:rsidR="003571DD">
        <w:rPr>
          <w:rFonts w:ascii="Times New Roman" w:hAnsi="Times New Roman"/>
          <w:sz w:val="20"/>
          <w:lang w:val="en-GB" w:eastAsia="zh-CN"/>
        </w:rPr>
        <w:t xml:space="preserve"> </w:t>
      </w:r>
      <w:sdt>
        <w:sdtPr>
          <w:rPr>
            <w:rFonts w:ascii="Times New Roman" w:hAnsi="Times New Roman"/>
            <w:sz w:val="20"/>
            <w:lang w:val="en-GB" w:eastAsia="zh-CN"/>
          </w:rPr>
          <w:id w:val="1519347878"/>
          <w:citation/>
        </w:sdtPr>
        <w:sdtEndPr/>
        <w:sdtContent>
          <w:r w:rsidR="003571DD">
            <w:rPr>
              <w:rFonts w:ascii="Times New Roman" w:hAnsi="Times New Roman"/>
              <w:sz w:val="20"/>
              <w:lang w:val="en-GB" w:eastAsia="zh-CN"/>
            </w:rPr>
            <w:fldChar w:fldCharType="begin"/>
          </w:r>
          <w:r w:rsidR="003571DD">
            <w:rPr>
              <w:rFonts w:ascii="Times New Roman" w:hAnsi="Times New Roman"/>
              <w:sz w:val="20"/>
              <w:lang w:eastAsia="zh-CN"/>
            </w:rPr>
            <w:instrText xml:space="preserve"> CITATION 105QoSEmail \l 1033 </w:instrText>
          </w:r>
          <w:r w:rsidR="003571DD">
            <w:rPr>
              <w:rFonts w:ascii="Times New Roman" w:hAnsi="Times New Roman"/>
              <w:sz w:val="20"/>
              <w:lang w:val="en-GB" w:eastAsia="zh-CN"/>
            </w:rPr>
            <w:fldChar w:fldCharType="separate"/>
          </w:r>
          <w:r w:rsidR="0091177A" w:rsidRPr="0091177A">
            <w:rPr>
              <w:rFonts w:ascii="Times New Roman" w:hAnsi="Times New Roman"/>
              <w:noProof/>
              <w:sz w:val="20"/>
              <w:lang w:eastAsia="zh-CN"/>
            </w:rPr>
            <w:t>[2]</w:t>
          </w:r>
          <w:r w:rsidR="003571DD">
            <w:rPr>
              <w:rFonts w:ascii="Times New Roman" w:hAnsi="Times New Roman"/>
              <w:sz w:val="20"/>
              <w:lang w:val="en-GB" w:eastAsia="zh-CN"/>
            </w:rPr>
            <w:fldChar w:fldCharType="end"/>
          </w:r>
        </w:sdtContent>
      </w:sdt>
      <w:r>
        <w:rPr>
          <w:rFonts w:ascii="Times New Roman" w:hAnsi="Times New Roman"/>
          <w:sz w:val="20"/>
          <w:lang w:val="en-GB" w:eastAsia="zh-CN"/>
        </w:rPr>
        <w:t xml:space="preserve">. </w:t>
      </w:r>
      <w:r w:rsidR="00F53BB2">
        <w:rPr>
          <w:rFonts w:ascii="Times New Roman" w:hAnsi="Times New Roman"/>
          <w:sz w:val="20"/>
          <w:lang w:val="en-GB" w:eastAsia="zh-CN"/>
        </w:rPr>
        <w:t>Note that t</w:t>
      </w:r>
      <w:r>
        <w:rPr>
          <w:rFonts w:ascii="Times New Roman" w:hAnsi="Times New Roman"/>
          <w:sz w:val="20"/>
          <w:lang w:val="en-GB" w:eastAsia="zh-CN"/>
        </w:rPr>
        <w:t xml:space="preserve">his seems to </w:t>
      </w:r>
      <w:r w:rsidR="000805EC">
        <w:rPr>
          <w:rFonts w:ascii="Times New Roman" w:hAnsi="Times New Roman"/>
          <w:sz w:val="20"/>
          <w:lang w:val="en-GB" w:eastAsia="zh-CN"/>
        </w:rPr>
        <w:t>correspond</w:t>
      </w:r>
      <w:r>
        <w:rPr>
          <w:rFonts w:ascii="Times New Roman" w:hAnsi="Times New Roman"/>
          <w:sz w:val="20"/>
          <w:lang w:val="en-GB" w:eastAsia="zh-CN"/>
        </w:rPr>
        <w:t xml:space="preserve"> to option 3 above, i.e. per V2X service </w:t>
      </w:r>
      <w:r w:rsidR="00D558A9">
        <w:rPr>
          <w:rFonts w:ascii="Times New Roman" w:hAnsi="Times New Roman"/>
          <w:sz w:val="20"/>
          <w:lang w:val="en-GB" w:eastAsia="zh-CN"/>
        </w:rPr>
        <w:t xml:space="preserve">congestion </w:t>
      </w:r>
      <w:r>
        <w:rPr>
          <w:rFonts w:ascii="Times New Roman" w:hAnsi="Times New Roman"/>
          <w:sz w:val="20"/>
          <w:lang w:val="en-GB" w:eastAsia="zh-CN"/>
        </w:rPr>
        <w:t xml:space="preserve">control, </w:t>
      </w:r>
      <w:r w:rsidRPr="000837B7">
        <w:rPr>
          <w:rFonts w:ascii="Times New Roman" w:hAnsi="Times New Roman"/>
          <w:b/>
          <w:sz w:val="20"/>
          <w:lang w:val="en-GB" w:eastAsia="zh-CN"/>
        </w:rPr>
        <w:t>in addition</w:t>
      </w:r>
      <w:r>
        <w:rPr>
          <w:rFonts w:ascii="Times New Roman" w:hAnsi="Times New Roman"/>
          <w:sz w:val="20"/>
          <w:lang w:val="en-GB" w:eastAsia="zh-CN"/>
        </w:rPr>
        <w:t xml:space="preserve"> to per packet congestion control. The motivation behind the having such a scheme in place is to not allow low priority services to transmit any V2X packets when channel load is high. </w:t>
      </w:r>
    </w:p>
    <w:p w14:paraId="4B1E22FC" w14:textId="1B4F3CAE" w:rsidR="000837B7" w:rsidRDefault="000837B7" w:rsidP="000837B7">
      <w:pPr>
        <w:rPr>
          <w:rFonts w:ascii="Times New Roman" w:hAnsi="Times New Roman"/>
          <w:sz w:val="20"/>
          <w:lang w:val="en-GB" w:eastAsia="zh-CN"/>
        </w:rPr>
      </w:pPr>
      <w:r>
        <w:rPr>
          <w:rFonts w:ascii="Times New Roman" w:hAnsi="Times New Roman"/>
          <w:sz w:val="20"/>
          <w:lang w:val="en-GB" w:eastAsia="zh-CN"/>
        </w:rPr>
        <w:lastRenderedPageBreak/>
        <w:t>In our view, while it is true that in Uu, the unified access control mechanism is in place to handle whether a service can be granted access based on the radio congestion status, the</w:t>
      </w:r>
      <w:r w:rsidR="003571DD">
        <w:rPr>
          <w:rFonts w:ascii="Times New Roman" w:hAnsi="Times New Roman"/>
          <w:sz w:val="20"/>
          <w:lang w:val="en-GB" w:eastAsia="zh-CN"/>
        </w:rPr>
        <w:t xml:space="preserve"> situation in SL is different. I</w:t>
      </w:r>
      <w:r>
        <w:rPr>
          <w:rFonts w:ascii="Times New Roman" w:hAnsi="Times New Roman"/>
          <w:sz w:val="20"/>
          <w:lang w:val="en-GB" w:eastAsia="zh-CN"/>
        </w:rPr>
        <w:t>t is expected that NR SL will support some congestion control mechanism based on channel congestion and the priority/PQI for each V2X packet. Thus, for each packet, the AS layer will determine whether the packet shall be transmitted based on some criterion configured by the network</w:t>
      </w:r>
      <w:r w:rsidR="003571DD">
        <w:rPr>
          <w:rFonts w:ascii="Times New Roman" w:hAnsi="Times New Roman"/>
          <w:sz w:val="20"/>
          <w:lang w:val="en-GB" w:eastAsia="zh-CN"/>
        </w:rPr>
        <w:t>. This</w:t>
      </w:r>
      <w:r>
        <w:rPr>
          <w:rFonts w:ascii="Times New Roman" w:hAnsi="Times New Roman"/>
          <w:sz w:val="20"/>
          <w:lang w:val="en-GB" w:eastAsia="zh-CN"/>
        </w:rPr>
        <w:t xml:space="preserve"> allow</w:t>
      </w:r>
      <w:r w:rsidR="003571DD">
        <w:rPr>
          <w:rFonts w:ascii="Times New Roman" w:hAnsi="Times New Roman"/>
          <w:sz w:val="20"/>
          <w:lang w:val="en-GB" w:eastAsia="zh-CN"/>
        </w:rPr>
        <w:t>s</w:t>
      </w:r>
      <w:r>
        <w:rPr>
          <w:rFonts w:ascii="Times New Roman" w:hAnsi="Times New Roman"/>
          <w:sz w:val="20"/>
          <w:lang w:val="en-GB" w:eastAsia="zh-CN"/>
        </w:rPr>
        <w:t xml:space="preserve"> for a </w:t>
      </w:r>
      <w:r w:rsidR="003571DD">
        <w:rPr>
          <w:rFonts w:ascii="Times New Roman" w:hAnsi="Times New Roman"/>
          <w:sz w:val="20"/>
          <w:lang w:val="en-GB" w:eastAsia="zh-CN"/>
        </w:rPr>
        <w:t xml:space="preserve">sufficiently </w:t>
      </w:r>
      <w:r>
        <w:rPr>
          <w:rFonts w:ascii="Times New Roman" w:hAnsi="Times New Roman"/>
          <w:sz w:val="20"/>
          <w:lang w:val="en-GB" w:eastAsia="zh-CN"/>
        </w:rPr>
        <w:t xml:space="preserve">granular per-packet </w:t>
      </w:r>
      <w:r w:rsidR="00D558A9">
        <w:rPr>
          <w:rFonts w:ascii="Times New Roman" w:hAnsi="Times New Roman"/>
          <w:sz w:val="20"/>
          <w:lang w:val="en-GB" w:eastAsia="zh-CN"/>
        </w:rPr>
        <w:t xml:space="preserve">congestion </w:t>
      </w:r>
      <w:r>
        <w:rPr>
          <w:rFonts w:ascii="Times New Roman" w:hAnsi="Times New Roman"/>
          <w:sz w:val="20"/>
          <w:lang w:val="en-GB" w:eastAsia="zh-CN"/>
        </w:rPr>
        <w:t>control which can allow or prevent injection of further packets in an already congested channel depending on the priority of the transmission.</w:t>
      </w:r>
    </w:p>
    <w:p w14:paraId="70AEA694" w14:textId="77777777" w:rsidR="00DC73FD" w:rsidRDefault="00DC73FD" w:rsidP="00305CD5">
      <w:pPr>
        <w:rPr>
          <w:rFonts w:ascii="Times New Roman" w:hAnsi="Times New Roman"/>
          <w:sz w:val="20"/>
          <w:lang w:val="en-GB" w:eastAsia="zh-CN"/>
        </w:rPr>
      </w:pPr>
    </w:p>
    <w:p w14:paraId="078637AA" w14:textId="5E7A54B2" w:rsidR="00DC73FD" w:rsidRPr="00F22C9F" w:rsidRDefault="00DC73FD" w:rsidP="00DC73FD">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w:t>
      </w:r>
      <w:r w:rsidR="00F53BB2">
        <w:rPr>
          <w:rFonts w:ascii="Times New Roman" w:eastAsia="Times New Roman" w:hAnsi="Times New Roman"/>
          <w:b/>
          <w:bCs/>
          <w:sz w:val="20"/>
          <w:szCs w:val="20"/>
          <w:u w:val="single"/>
          <w:lang w:val="en-GB" w:eastAsia="zh-CN"/>
        </w:rPr>
        <w:t xml:space="preserve"> 1</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introduction of a congestion control mechanism based on per-packet PQI for NR SL can allow for robust control over SL transmissions based on channel load conditions.</w:t>
      </w:r>
    </w:p>
    <w:p w14:paraId="773972F9" w14:textId="77777777" w:rsidR="00DC73FD" w:rsidRDefault="00DC73FD" w:rsidP="00305CD5">
      <w:pPr>
        <w:rPr>
          <w:rFonts w:ascii="Times New Roman" w:hAnsi="Times New Roman"/>
          <w:sz w:val="20"/>
          <w:lang w:val="en-GB" w:eastAsia="zh-CN"/>
        </w:rPr>
      </w:pPr>
    </w:p>
    <w:p w14:paraId="55E397AF" w14:textId="586601B2" w:rsidR="00DC73FD" w:rsidRDefault="00DC73FD" w:rsidP="00305CD5">
      <w:pPr>
        <w:rPr>
          <w:rFonts w:ascii="Times New Roman" w:hAnsi="Times New Roman"/>
          <w:sz w:val="20"/>
          <w:lang w:val="en-GB" w:eastAsia="zh-CN"/>
        </w:rPr>
      </w:pPr>
      <w:r>
        <w:rPr>
          <w:rFonts w:ascii="Times New Roman" w:hAnsi="Times New Roman"/>
          <w:sz w:val="20"/>
          <w:lang w:val="en-GB" w:eastAsia="zh-CN"/>
        </w:rPr>
        <w:t>Therefore, the need for an additional mechanism to differentiate between different V2X services in terms of their priority does not seem clear. In fact it is not clear how we can characterize V2X services as having low priority. At least for advanced and remote driving use cases, we expect a mix of high and low priority V2X messages being transmitted. So, pigeonholing such services into broad categories does not seem desirable unless NW specifies a highly granular criteria for each service. In that case, it is quite similar to the per-packet congestion control mechanism foreseen to be defined for NR SL anyway. On the other hand, for some V2X service that is always deemed as low priority, the corresponding V2X packets would anyway</w:t>
      </w:r>
      <w:r w:rsidR="00D558A9">
        <w:rPr>
          <w:rFonts w:ascii="Times New Roman" w:hAnsi="Times New Roman"/>
          <w:sz w:val="20"/>
          <w:lang w:val="en-GB" w:eastAsia="zh-CN"/>
        </w:rPr>
        <w:t xml:space="preserve"> be tagged with low priority</w:t>
      </w:r>
      <w:r>
        <w:rPr>
          <w:rFonts w:ascii="Times New Roman" w:hAnsi="Times New Roman"/>
          <w:sz w:val="20"/>
          <w:lang w:val="en-GB" w:eastAsia="zh-CN"/>
        </w:rPr>
        <w:t xml:space="preserve"> and will likely not allowed to be transmitted in a congested scenario. </w:t>
      </w:r>
      <w:r w:rsidR="002E50F2">
        <w:rPr>
          <w:rFonts w:ascii="Times New Roman" w:hAnsi="Times New Roman"/>
          <w:sz w:val="20"/>
          <w:lang w:val="en-GB" w:eastAsia="zh-CN"/>
        </w:rPr>
        <w:t xml:space="preserve">Finally, the consideration of V2X service as well as </w:t>
      </w:r>
      <w:r w:rsidR="00D558A9">
        <w:rPr>
          <w:rFonts w:ascii="Times New Roman" w:hAnsi="Times New Roman"/>
          <w:sz w:val="20"/>
          <w:lang w:val="en-GB" w:eastAsia="zh-CN"/>
        </w:rPr>
        <w:t>packet/LCH priority</w:t>
      </w:r>
      <w:r w:rsidR="002E50F2">
        <w:rPr>
          <w:rFonts w:ascii="Times New Roman" w:hAnsi="Times New Roman"/>
          <w:sz w:val="20"/>
          <w:lang w:val="en-GB" w:eastAsia="zh-CN"/>
        </w:rPr>
        <w:t xml:space="preserve"> in </w:t>
      </w:r>
      <w:r w:rsidR="00D558A9">
        <w:rPr>
          <w:rFonts w:ascii="Times New Roman" w:hAnsi="Times New Roman"/>
          <w:sz w:val="20"/>
          <w:lang w:val="en-GB" w:eastAsia="zh-CN"/>
        </w:rPr>
        <w:t xml:space="preserve">congestion </w:t>
      </w:r>
      <w:r w:rsidR="002E50F2">
        <w:rPr>
          <w:rFonts w:ascii="Times New Roman" w:hAnsi="Times New Roman"/>
          <w:sz w:val="20"/>
          <w:lang w:val="en-GB" w:eastAsia="zh-CN"/>
        </w:rPr>
        <w:t xml:space="preserve">control implies that </w:t>
      </w:r>
      <w:r w:rsidR="00D558A9">
        <w:rPr>
          <w:rFonts w:ascii="Times New Roman" w:hAnsi="Times New Roman"/>
          <w:sz w:val="20"/>
          <w:lang w:val="en-GB" w:eastAsia="zh-CN"/>
        </w:rPr>
        <w:t xml:space="preserve">the latter </w:t>
      </w:r>
      <w:r w:rsidR="00F53BB2">
        <w:rPr>
          <w:rFonts w:ascii="Times New Roman" w:hAnsi="Times New Roman"/>
          <w:sz w:val="20"/>
          <w:lang w:val="en-GB" w:eastAsia="zh-CN"/>
        </w:rPr>
        <w:t>does</w:t>
      </w:r>
      <w:r w:rsidR="002E50F2">
        <w:rPr>
          <w:rFonts w:ascii="Times New Roman" w:hAnsi="Times New Roman"/>
          <w:sz w:val="20"/>
          <w:lang w:val="en-GB" w:eastAsia="zh-CN"/>
        </w:rPr>
        <w:t xml:space="preserve"> not give the complete picture about a packet’s QoS requirement and that two packets with the exact same QoS profile</w:t>
      </w:r>
      <w:r w:rsidR="0083710A">
        <w:rPr>
          <w:rFonts w:ascii="Times New Roman" w:hAnsi="Times New Roman"/>
          <w:sz w:val="20"/>
          <w:lang w:val="en-GB" w:eastAsia="zh-CN"/>
        </w:rPr>
        <w:t xml:space="preserve"> (including the same LCH priority)</w:t>
      </w:r>
      <w:r w:rsidR="002E50F2">
        <w:rPr>
          <w:rFonts w:ascii="Times New Roman" w:hAnsi="Times New Roman"/>
          <w:sz w:val="20"/>
          <w:lang w:val="en-GB" w:eastAsia="zh-CN"/>
        </w:rPr>
        <w:t xml:space="preserve"> but belonging to different services somehow warrant different treatment, which does not seem desirable. </w:t>
      </w:r>
      <w:r>
        <w:rPr>
          <w:rFonts w:ascii="Times New Roman" w:hAnsi="Times New Roman"/>
          <w:sz w:val="20"/>
          <w:lang w:val="en-GB" w:eastAsia="zh-CN"/>
        </w:rPr>
        <w:t xml:space="preserve">Either way, it is clear that there is no additional need to define an access control mechanism that bars V2X services for even being initiated and </w:t>
      </w:r>
      <w:r w:rsidR="002E50F2">
        <w:rPr>
          <w:rFonts w:ascii="Times New Roman" w:hAnsi="Times New Roman"/>
          <w:sz w:val="20"/>
          <w:lang w:val="en-GB" w:eastAsia="zh-CN"/>
        </w:rPr>
        <w:t>mapped to a QoS flow/SLRB</w:t>
      </w:r>
      <w:r>
        <w:rPr>
          <w:rFonts w:ascii="Times New Roman" w:hAnsi="Times New Roman"/>
          <w:sz w:val="20"/>
          <w:lang w:val="en-GB" w:eastAsia="zh-CN"/>
        </w:rPr>
        <w:t>.</w:t>
      </w:r>
    </w:p>
    <w:p w14:paraId="7058AFBB" w14:textId="77777777" w:rsidR="00E67A80" w:rsidRPr="00E67A80" w:rsidRDefault="00E67A80" w:rsidP="00E67A80">
      <w:pPr>
        <w:rPr>
          <w:rFonts w:ascii="Times New Roman" w:hAnsi="Times New Roman"/>
          <w:sz w:val="20"/>
          <w:lang w:val="en-GB" w:eastAsia="zh-CN"/>
        </w:rPr>
      </w:pPr>
    </w:p>
    <w:p w14:paraId="4A8E2145" w14:textId="5A7987ED" w:rsidR="000837B7" w:rsidRDefault="000837B7" w:rsidP="00773DDF">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F53BB2">
        <w:rPr>
          <w:rFonts w:ascii="Times New Roman" w:eastAsia="Times New Roman" w:hAnsi="Times New Roman"/>
          <w:b/>
          <w:bCs/>
          <w:sz w:val="20"/>
          <w:szCs w:val="20"/>
          <w:u w:val="single"/>
          <w:lang w:val="en-GB" w:eastAsia="zh-CN"/>
        </w:rPr>
        <w:t xml:space="preserve"> 1</w:t>
      </w:r>
      <w:r>
        <w:rPr>
          <w:rFonts w:ascii="Times New Roman" w:eastAsia="Times New Roman" w:hAnsi="Times New Roman"/>
          <w:b/>
          <w:bCs/>
          <w:sz w:val="20"/>
          <w:szCs w:val="20"/>
          <w:u w:val="single"/>
          <w:lang w:val="en-GB" w:eastAsia="zh-CN"/>
        </w:rPr>
        <w:t>:</w:t>
      </w:r>
      <w:r>
        <w:rPr>
          <w:rFonts w:ascii="Times New Roman" w:eastAsia="Times New Roman" w:hAnsi="Times New Roman"/>
          <w:bCs/>
          <w:i/>
          <w:sz w:val="20"/>
          <w:szCs w:val="20"/>
          <w:lang w:val="en-GB" w:eastAsia="zh-CN"/>
        </w:rPr>
        <w:tab/>
        <w:t xml:space="preserve">RAN2 to discuss and confirm that per packet </w:t>
      </w:r>
      <w:r w:rsidR="009A6DD4">
        <w:rPr>
          <w:rFonts w:ascii="Times New Roman" w:eastAsia="Times New Roman" w:hAnsi="Times New Roman"/>
          <w:bCs/>
          <w:i/>
          <w:sz w:val="20"/>
          <w:szCs w:val="20"/>
          <w:lang w:val="en-GB" w:eastAsia="zh-CN"/>
        </w:rPr>
        <w:t>congestion</w:t>
      </w:r>
      <w:r>
        <w:rPr>
          <w:rFonts w:ascii="Times New Roman" w:eastAsia="Times New Roman" w:hAnsi="Times New Roman"/>
          <w:bCs/>
          <w:i/>
          <w:sz w:val="20"/>
          <w:szCs w:val="20"/>
          <w:lang w:val="en-GB" w:eastAsia="zh-CN"/>
        </w:rPr>
        <w:t xml:space="preserve"> control </w:t>
      </w:r>
      <w:r w:rsidR="002E50F2">
        <w:rPr>
          <w:rFonts w:ascii="Times New Roman" w:eastAsia="Times New Roman" w:hAnsi="Times New Roman"/>
          <w:bCs/>
          <w:i/>
          <w:sz w:val="20"/>
          <w:szCs w:val="20"/>
          <w:lang w:val="en-GB" w:eastAsia="zh-CN"/>
        </w:rPr>
        <w:t xml:space="preserve">(as defined above) </w:t>
      </w:r>
      <w:r>
        <w:rPr>
          <w:rFonts w:ascii="Times New Roman" w:eastAsia="Times New Roman" w:hAnsi="Times New Roman"/>
          <w:bCs/>
          <w:i/>
          <w:sz w:val="20"/>
          <w:szCs w:val="20"/>
          <w:lang w:val="en-GB" w:eastAsia="zh-CN"/>
        </w:rPr>
        <w:t xml:space="preserve">is considered baseline </w:t>
      </w:r>
      <w:r w:rsidR="002E50F2">
        <w:rPr>
          <w:rFonts w:ascii="Times New Roman" w:eastAsia="Times New Roman" w:hAnsi="Times New Roman"/>
          <w:bCs/>
          <w:i/>
          <w:sz w:val="20"/>
          <w:szCs w:val="20"/>
          <w:lang w:val="en-GB" w:eastAsia="zh-CN"/>
        </w:rPr>
        <w:t xml:space="preserve">for </w:t>
      </w:r>
      <w:r>
        <w:rPr>
          <w:rFonts w:ascii="Times New Roman" w:eastAsia="Times New Roman" w:hAnsi="Times New Roman"/>
          <w:bCs/>
          <w:i/>
          <w:sz w:val="20"/>
          <w:szCs w:val="20"/>
          <w:lang w:val="en-GB" w:eastAsia="zh-CN"/>
        </w:rPr>
        <w:t xml:space="preserve">NR sidelink </w:t>
      </w:r>
      <w:r w:rsidR="002E50F2">
        <w:rPr>
          <w:rFonts w:ascii="Times New Roman" w:eastAsia="Times New Roman" w:hAnsi="Times New Roman"/>
          <w:bCs/>
          <w:i/>
          <w:sz w:val="20"/>
          <w:szCs w:val="20"/>
          <w:lang w:val="en-GB" w:eastAsia="zh-CN"/>
        </w:rPr>
        <w:t>V2X operation</w:t>
      </w:r>
      <w:r>
        <w:rPr>
          <w:rFonts w:ascii="Times New Roman" w:eastAsia="Times New Roman" w:hAnsi="Times New Roman"/>
          <w:bCs/>
          <w:i/>
          <w:sz w:val="20"/>
          <w:szCs w:val="20"/>
          <w:lang w:val="en-GB" w:eastAsia="zh-CN"/>
        </w:rPr>
        <w:t>.</w:t>
      </w:r>
    </w:p>
    <w:p w14:paraId="5E1E8A4D" w14:textId="77777777" w:rsidR="002E50F2" w:rsidRDefault="002E50F2" w:rsidP="00773DDF">
      <w:pPr>
        <w:ind w:left="1350" w:hanging="1350"/>
        <w:rPr>
          <w:rFonts w:ascii="Times New Roman" w:eastAsia="Times New Roman" w:hAnsi="Times New Roman"/>
          <w:bCs/>
          <w:i/>
          <w:sz w:val="20"/>
          <w:szCs w:val="20"/>
          <w:lang w:val="en-GB" w:eastAsia="zh-CN"/>
        </w:rPr>
      </w:pPr>
    </w:p>
    <w:p w14:paraId="7CA39111" w14:textId="275CD219" w:rsidR="002E50F2" w:rsidRDefault="002E50F2" w:rsidP="002E50F2">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F53BB2">
        <w:rPr>
          <w:rFonts w:ascii="Times New Roman" w:eastAsia="Times New Roman" w:hAnsi="Times New Roman"/>
          <w:b/>
          <w:bCs/>
          <w:sz w:val="20"/>
          <w:szCs w:val="20"/>
          <w:u w:val="single"/>
          <w:lang w:val="en-GB" w:eastAsia="zh-CN"/>
        </w:rPr>
        <w:t xml:space="preserve"> 2</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There is no need for any additional per packet per service </w:t>
      </w:r>
      <w:r w:rsidR="009A6DD4">
        <w:rPr>
          <w:rFonts w:ascii="Times New Roman" w:eastAsia="Times New Roman" w:hAnsi="Times New Roman"/>
          <w:bCs/>
          <w:i/>
          <w:sz w:val="20"/>
          <w:szCs w:val="20"/>
          <w:lang w:val="en-GB" w:eastAsia="zh-CN"/>
        </w:rPr>
        <w:t>congestion</w:t>
      </w:r>
      <w:r>
        <w:rPr>
          <w:rFonts w:ascii="Times New Roman" w:eastAsia="Times New Roman" w:hAnsi="Times New Roman"/>
          <w:bCs/>
          <w:i/>
          <w:sz w:val="20"/>
          <w:szCs w:val="20"/>
          <w:lang w:val="en-GB" w:eastAsia="zh-CN"/>
        </w:rPr>
        <w:t xml:space="preserve"> control mechanism </w:t>
      </w:r>
      <w:r w:rsidR="003571DD">
        <w:rPr>
          <w:rFonts w:ascii="Times New Roman" w:eastAsia="Times New Roman" w:hAnsi="Times New Roman"/>
          <w:bCs/>
          <w:i/>
          <w:sz w:val="20"/>
          <w:szCs w:val="20"/>
          <w:lang w:val="en-GB" w:eastAsia="zh-CN"/>
        </w:rPr>
        <w:t>to be defined for NR SL</w:t>
      </w:r>
      <w:r>
        <w:rPr>
          <w:rFonts w:ascii="Times New Roman" w:eastAsia="Times New Roman" w:hAnsi="Times New Roman"/>
          <w:bCs/>
          <w:i/>
          <w:sz w:val="20"/>
          <w:szCs w:val="20"/>
          <w:lang w:val="en-GB" w:eastAsia="zh-CN"/>
        </w:rPr>
        <w:t>.</w:t>
      </w:r>
    </w:p>
    <w:p w14:paraId="3CB2B023" w14:textId="77777777" w:rsidR="00DC73FD" w:rsidRDefault="00DC73FD" w:rsidP="00153601">
      <w:pPr>
        <w:rPr>
          <w:rFonts w:ascii="Times New Roman" w:hAnsi="Times New Roman"/>
          <w:sz w:val="20"/>
          <w:lang w:val="en-GB" w:eastAsia="zh-CN"/>
        </w:rPr>
      </w:pPr>
    </w:p>
    <w:p w14:paraId="1CF357C2" w14:textId="4907E5F3" w:rsidR="00436890" w:rsidRDefault="00436890" w:rsidP="00153601">
      <w:pPr>
        <w:rPr>
          <w:rFonts w:ascii="Times New Roman" w:hAnsi="Times New Roman"/>
          <w:sz w:val="20"/>
          <w:lang w:val="en-GB" w:eastAsia="zh-CN"/>
        </w:rPr>
      </w:pPr>
      <w:r>
        <w:rPr>
          <w:rFonts w:ascii="Times New Roman" w:hAnsi="Times New Roman"/>
          <w:sz w:val="20"/>
          <w:lang w:val="en-GB" w:eastAsia="zh-CN"/>
        </w:rPr>
        <w:t xml:space="preserve">The other question from the above discussion is how the per packet congestion control modelling works, i.e. what parameter is it based on (now that PPPP is no longer the all-encompassing QoS metric as in LTE)? Looking at the email discussion on UL/SL prioritization for RAN2#106 [], it can been seen that since in NR V2X, the logical channel priority is (pre-)configured by the network, unlike that determined by the UE itself as in LTE. Therefore, it makes sense to utilize it for the purpose of congestion control modelling as well, since the network is expected to take into account the corresponding QoS flow for a given traffic/service to configure the SL LCH priority for the UE. </w:t>
      </w:r>
      <w:r w:rsidR="002D73D5">
        <w:rPr>
          <w:rFonts w:ascii="Times New Roman" w:hAnsi="Times New Roman"/>
          <w:sz w:val="20"/>
          <w:lang w:val="en-GB" w:eastAsia="zh-CN"/>
        </w:rPr>
        <w:t xml:space="preserve">Based on the CBR-priority criteria configured by the network ant the priority of the SL LCH which generates V2X traffic, the UE can determine the TX parameters for transmission. </w:t>
      </w:r>
      <w:r>
        <w:rPr>
          <w:rFonts w:ascii="Times New Roman" w:hAnsi="Times New Roman"/>
          <w:sz w:val="20"/>
          <w:lang w:val="en-GB" w:eastAsia="zh-CN"/>
        </w:rPr>
        <w:t>Hence, we propose to use the SL LCH priority (instead of PPPP) for the purpose of per packet congestion control</w:t>
      </w:r>
      <w:r w:rsidR="002D73D5">
        <w:rPr>
          <w:rFonts w:ascii="Times New Roman" w:hAnsi="Times New Roman"/>
          <w:sz w:val="20"/>
          <w:lang w:val="en-GB" w:eastAsia="zh-CN"/>
        </w:rPr>
        <w:t>.</w:t>
      </w:r>
    </w:p>
    <w:p w14:paraId="4F0D6C6D" w14:textId="77777777" w:rsidR="002D73D5" w:rsidRDefault="002D73D5" w:rsidP="00153601">
      <w:pPr>
        <w:rPr>
          <w:rFonts w:ascii="Times New Roman" w:hAnsi="Times New Roman"/>
          <w:sz w:val="20"/>
          <w:lang w:val="en-GB" w:eastAsia="zh-CN"/>
        </w:rPr>
      </w:pPr>
    </w:p>
    <w:p w14:paraId="51056092" w14:textId="68843DFB" w:rsidR="002D73D5" w:rsidRPr="002D73D5" w:rsidRDefault="002D73D5" w:rsidP="002D73D5">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Sidelink logical channel priority is utilized (instead of PPPP as in LTE) for the purpose of per packet congestion control.</w:t>
      </w:r>
    </w:p>
    <w:p w14:paraId="3E7A5E8E" w14:textId="77777777" w:rsidR="00436890" w:rsidRDefault="00436890" w:rsidP="00153601">
      <w:pPr>
        <w:rPr>
          <w:rFonts w:ascii="Times New Roman" w:hAnsi="Times New Roman"/>
          <w:sz w:val="20"/>
          <w:lang w:val="en-GB" w:eastAsia="zh-CN"/>
        </w:rPr>
      </w:pPr>
    </w:p>
    <w:p w14:paraId="2E1BFA2B" w14:textId="783660FF" w:rsidR="00DC73FD" w:rsidRDefault="000837B7" w:rsidP="00153601">
      <w:pPr>
        <w:rPr>
          <w:rFonts w:ascii="Times New Roman" w:hAnsi="Times New Roman"/>
          <w:sz w:val="20"/>
          <w:lang w:val="en-GB" w:eastAsia="zh-CN"/>
        </w:rPr>
      </w:pPr>
      <w:r>
        <w:rPr>
          <w:rFonts w:ascii="Times New Roman" w:hAnsi="Times New Roman"/>
          <w:sz w:val="20"/>
          <w:lang w:val="en-GB" w:eastAsia="zh-CN"/>
        </w:rPr>
        <w:t>Additionally, in case of unicast, it wa</w:t>
      </w:r>
      <w:r w:rsidR="00410620">
        <w:rPr>
          <w:rFonts w:ascii="Times New Roman" w:hAnsi="Times New Roman"/>
          <w:sz w:val="20"/>
          <w:lang w:val="en-GB" w:eastAsia="zh-CN"/>
        </w:rPr>
        <w:t xml:space="preserve">s proposed previously </w:t>
      </w:r>
      <w:r>
        <w:rPr>
          <w:rFonts w:ascii="Times New Roman" w:hAnsi="Times New Roman"/>
          <w:sz w:val="20"/>
          <w:lang w:val="en-GB" w:eastAsia="zh-CN"/>
        </w:rPr>
        <w:t xml:space="preserve">that the RX UE should be involved in this </w:t>
      </w:r>
      <w:r w:rsidR="009A6DD4">
        <w:rPr>
          <w:rFonts w:ascii="Times New Roman" w:hAnsi="Times New Roman"/>
          <w:sz w:val="20"/>
          <w:lang w:val="en-GB" w:eastAsia="zh-CN"/>
        </w:rPr>
        <w:t>congestion</w:t>
      </w:r>
      <w:r>
        <w:rPr>
          <w:rFonts w:ascii="Times New Roman" w:hAnsi="Times New Roman"/>
          <w:sz w:val="20"/>
          <w:lang w:val="en-GB" w:eastAsia="zh-CN"/>
        </w:rPr>
        <w:t xml:space="preserve"> control procedure as well, in terms of determining whether a given service can meet the QoS requirements over this unicast link. Before discussing this issue, we think it is worthwhile to distinguish </w:t>
      </w:r>
      <w:r w:rsidR="002E50F2">
        <w:rPr>
          <w:rFonts w:ascii="Times New Roman" w:hAnsi="Times New Roman"/>
          <w:sz w:val="20"/>
          <w:lang w:val="en-GB" w:eastAsia="zh-CN"/>
        </w:rPr>
        <w:t xml:space="preserve">this aspect from the discussion above </w:t>
      </w:r>
      <w:r>
        <w:rPr>
          <w:rFonts w:ascii="Times New Roman" w:hAnsi="Times New Roman"/>
          <w:sz w:val="20"/>
          <w:lang w:val="en-GB" w:eastAsia="zh-CN"/>
        </w:rPr>
        <w:t xml:space="preserve">and clearly define what </w:t>
      </w:r>
      <w:r w:rsidR="009A6DD4">
        <w:rPr>
          <w:rFonts w:ascii="Times New Roman" w:hAnsi="Times New Roman"/>
          <w:sz w:val="20"/>
          <w:lang w:val="en-GB" w:eastAsia="zh-CN"/>
        </w:rPr>
        <w:t>congestion</w:t>
      </w:r>
      <w:r>
        <w:rPr>
          <w:rFonts w:ascii="Times New Roman" w:hAnsi="Times New Roman"/>
          <w:sz w:val="20"/>
          <w:lang w:val="en-GB" w:eastAsia="zh-CN"/>
        </w:rPr>
        <w:t xml:space="preserve"> control really means when it comes to NR V2X SL operation. </w:t>
      </w:r>
      <w:r w:rsidR="002E50F2">
        <w:rPr>
          <w:rFonts w:ascii="Times New Roman" w:hAnsi="Times New Roman"/>
          <w:sz w:val="20"/>
          <w:lang w:val="en-GB" w:eastAsia="zh-CN"/>
        </w:rPr>
        <w:t xml:space="preserve">The latter </w:t>
      </w:r>
      <w:r w:rsidR="00DC73FD">
        <w:rPr>
          <w:rFonts w:ascii="Times New Roman" w:hAnsi="Times New Roman"/>
          <w:sz w:val="20"/>
          <w:lang w:val="en-GB" w:eastAsia="zh-CN"/>
        </w:rPr>
        <w:t>aspect has to do specifically with unicast connection establishment over sidelink</w:t>
      </w:r>
      <w:r w:rsidR="00A91902">
        <w:rPr>
          <w:rFonts w:ascii="Times New Roman" w:hAnsi="Times New Roman"/>
          <w:sz w:val="20"/>
          <w:lang w:val="en-GB" w:eastAsia="zh-CN"/>
        </w:rPr>
        <w:t xml:space="preserve"> and the QoS </w:t>
      </w:r>
      <w:r w:rsidR="00F53BB2">
        <w:rPr>
          <w:rFonts w:ascii="Times New Roman" w:hAnsi="Times New Roman"/>
          <w:sz w:val="20"/>
          <w:lang w:val="en-GB" w:eastAsia="zh-CN"/>
        </w:rPr>
        <w:t xml:space="preserve">parameter </w:t>
      </w:r>
      <w:r w:rsidR="00A91902">
        <w:rPr>
          <w:rFonts w:ascii="Times New Roman" w:hAnsi="Times New Roman"/>
          <w:sz w:val="20"/>
          <w:lang w:val="en-GB" w:eastAsia="zh-CN"/>
        </w:rPr>
        <w:t xml:space="preserve">negotiation between the UEs prior to connection set up. </w:t>
      </w:r>
      <w:r w:rsidR="002E50F2">
        <w:rPr>
          <w:rFonts w:ascii="Times New Roman" w:hAnsi="Times New Roman"/>
          <w:sz w:val="20"/>
          <w:lang w:val="en-GB" w:eastAsia="zh-CN"/>
        </w:rPr>
        <w:t>I</w:t>
      </w:r>
      <w:r w:rsidR="00A91902">
        <w:rPr>
          <w:rFonts w:ascii="Times New Roman" w:hAnsi="Times New Roman"/>
          <w:sz w:val="20"/>
          <w:lang w:val="en-GB" w:eastAsia="zh-CN"/>
        </w:rPr>
        <w:t xml:space="preserve">t is not clear </w:t>
      </w:r>
      <w:r w:rsidR="002E50F2">
        <w:rPr>
          <w:rFonts w:ascii="Times New Roman" w:hAnsi="Times New Roman"/>
          <w:sz w:val="20"/>
          <w:lang w:val="en-GB" w:eastAsia="zh-CN"/>
        </w:rPr>
        <w:t xml:space="preserve">to us </w:t>
      </w:r>
      <w:r w:rsidR="00A91902">
        <w:rPr>
          <w:rFonts w:ascii="Times New Roman" w:hAnsi="Times New Roman"/>
          <w:sz w:val="20"/>
          <w:lang w:val="en-GB" w:eastAsia="zh-CN"/>
        </w:rPr>
        <w:t xml:space="preserve">whether this can really be considered as </w:t>
      </w:r>
      <w:r w:rsidR="009A6DD4">
        <w:rPr>
          <w:rFonts w:ascii="Times New Roman" w:hAnsi="Times New Roman"/>
          <w:sz w:val="20"/>
          <w:lang w:val="en-GB" w:eastAsia="zh-CN"/>
        </w:rPr>
        <w:t>congestion</w:t>
      </w:r>
      <w:r w:rsidR="00A91902">
        <w:rPr>
          <w:rFonts w:ascii="Times New Roman" w:hAnsi="Times New Roman"/>
          <w:sz w:val="20"/>
          <w:lang w:val="en-GB" w:eastAsia="zh-CN"/>
        </w:rPr>
        <w:t xml:space="preserve"> control. Of course, this exchange between the UEs regarding the expected QoS for transmission over the unicast link has been discussed and agreed by SA2 </w:t>
      </w:r>
      <w:r w:rsidR="00F53BB2">
        <w:rPr>
          <w:rFonts w:ascii="Times New Roman" w:hAnsi="Times New Roman"/>
          <w:sz w:val="20"/>
          <w:lang w:val="en-GB" w:eastAsia="zh-CN"/>
        </w:rPr>
        <w:t xml:space="preserve">as a potential solution in </w:t>
      </w:r>
      <w:sdt>
        <w:sdtPr>
          <w:rPr>
            <w:rFonts w:ascii="Times New Roman" w:hAnsi="Times New Roman"/>
            <w:sz w:val="20"/>
            <w:lang w:val="en-GB" w:eastAsia="zh-CN"/>
          </w:rPr>
          <w:id w:val="-51542883"/>
          <w:citation/>
        </w:sdtPr>
        <w:sdtEndPr/>
        <w:sdtContent>
          <w:r w:rsidR="00F53BB2">
            <w:rPr>
              <w:rFonts w:ascii="Times New Roman" w:hAnsi="Times New Roman"/>
              <w:sz w:val="20"/>
              <w:lang w:val="en-GB" w:eastAsia="zh-CN"/>
            </w:rPr>
            <w:fldChar w:fldCharType="begin"/>
          </w:r>
          <w:r w:rsidR="00F53BB2">
            <w:rPr>
              <w:rFonts w:ascii="Times New Roman" w:hAnsi="Times New Roman"/>
              <w:sz w:val="20"/>
              <w:lang w:eastAsia="zh-CN"/>
            </w:rPr>
            <w:instrText xml:space="preserve"> CITATION TR23786 \l 1033 </w:instrText>
          </w:r>
          <w:r w:rsidR="00F53BB2">
            <w:rPr>
              <w:rFonts w:ascii="Times New Roman" w:hAnsi="Times New Roman"/>
              <w:sz w:val="20"/>
              <w:lang w:val="en-GB" w:eastAsia="zh-CN"/>
            </w:rPr>
            <w:fldChar w:fldCharType="separate"/>
          </w:r>
          <w:r w:rsidR="0091177A" w:rsidRPr="0091177A">
            <w:rPr>
              <w:rFonts w:ascii="Times New Roman" w:hAnsi="Times New Roman"/>
              <w:noProof/>
              <w:sz w:val="20"/>
              <w:lang w:eastAsia="zh-CN"/>
            </w:rPr>
            <w:t>[3]</w:t>
          </w:r>
          <w:r w:rsidR="00F53BB2">
            <w:rPr>
              <w:rFonts w:ascii="Times New Roman" w:hAnsi="Times New Roman"/>
              <w:sz w:val="20"/>
              <w:lang w:val="en-GB" w:eastAsia="zh-CN"/>
            </w:rPr>
            <w:fldChar w:fldCharType="end"/>
          </w:r>
        </w:sdtContent>
      </w:sdt>
      <w:r w:rsidR="00A91902">
        <w:rPr>
          <w:rFonts w:ascii="Times New Roman" w:hAnsi="Times New Roman"/>
          <w:sz w:val="20"/>
          <w:lang w:val="en-GB" w:eastAsia="zh-CN"/>
        </w:rPr>
        <w:t xml:space="preserve"> and is expected to be handled during the connection setup stage by upper layer signalling. This determines if the upper layer subsequently decide to follow through with establishing the connection (and indicating to the AS layer to exchange relevant information on SLRB configuration and UE capability). However, we do not think this is really the same as </w:t>
      </w:r>
      <w:r w:rsidR="009A6DD4">
        <w:rPr>
          <w:rFonts w:ascii="Times New Roman" w:hAnsi="Times New Roman"/>
          <w:sz w:val="20"/>
          <w:lang w:val="en-GB" w:eastAsia="zh-CN"/>
        </w:rPr>
        <w:t>congestion</w:t>
      </w:r>
      <w:r w:rsidR="00A91902">
        <w:rPr>
          <w:rFonts w:ascii="Times New Roman" w:hAnsi="Times New Roman"/>
          <w:sz w:val="20"/>
          <w:lang w:val="en-GB" w:eastAsia="zh-CN"/>
        </w:rPr>
        <w:t xml:space="preserve"> control, at least from the context of </w:t>
      </w:r>
      <w:r w:rsidR="002E50F2">
        <w:rPr>
          <w:rFonts w:ascii="Times New Roman" w:hAnsi="Times New Roman"/>
          <w:sz w:val="20"/>
          <w:lang w:val="en-GB" w:eastAsia="zh-CN"/>
        </w:rPr>
        <w:t>AS layer operation.</w:t>
      </w:r>
      <w:r w:rsidR="00A91902">
        <w:rPr>
          <w:rFonts w:ascii="Times New Roman" w:hAnsi="Times New Roman"/>
          <w:sz w:val="20"/>
          <w:lang w:val="en-GB" w:eastAsia="zh-CN"/>
        </w:rPr>
        <w:t xml:space="preserve"> Of course, as long as the context and behaviour is clear and commonly understood by all companies, we can further discuss whether to really call it “</w:t>
      </w:r>
      <w:r w:rsidR="009A6DD4">
        <w:rPr>
          <w:rFonts w:ascii="Times New Roman" w:hAnsi="Times New Roman"/>
          <w:sz w:val="20"/>
          <w:lang w:val="en-GB" w:eastAsia="zh-CN"/>
        </w:rPr>
        <w:t>congestion</w:t>
      </w:r>
      <w:r w:rsidR="00A91902">
        <w:rPr>
          <w:rFonts w:ascii="Times New Roman" w:hAnsi="Times New Roman"/>
          <w:sz w:val="20"/>
          <w:lang w:val="en-GB" w:eastAsia="zh-CN"/>
        </w:rPr>
        <w:t xml:space="preserve"> control” or something else.</w:t>
      </w:r>
    </w:p>
    <w:p w14:paraId="0B6D3E03" w14:textId="77777777" w:rsidR="00A91902" w:rsidRDefault="00A91902" w:rsidP="00153601">
      <w:pPr>
        <w:rPr>
          <w:rFonts w:ascii="Times New Roman" w:hAnsi="Times New Roman"/>
          <w:sz w:val="20"/>
          <w:lang w:val="en-GB" w:eastAsia="zh-CN"/>
        </w:rPr>
      </w:pPr>
    </w:p>
    <w:p w14:paraId="77F3D57E" w14:textId="654FC7D1" w:rsidR="00A91902" w:rsidRPr="00F22C9F" w:rsidRDefault="00A91902" w:rsidP="00A91902">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w:t>
      </w:r>
      <w:r w:rsidR="00F53BB2">
        <w:rPr>
          <w:rFonts w:ascii="Times New Roman" w:eastAsia="Times New Roman" w:hAnsi="Times New Roman"/>
          <w:b/>
          <w:bCs/>
          <w:sz w:val="20"/>
          <w:szCs w:val="20"/>
          <w:u w:val="single"/>
          <w:lang w:val="en-GB" w:eastAsia="zh-CN"/>
        </w:rPr>
        <w:t xml:space="preserve"> 2</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The negotiation of QoS information between peer UEs </w:t>
      </w:r>
      <w:r w:rsidR="008E6F49">
        <w:rPr>
          <w:rFonts w:ascii="Times New Roman" w:eastAsia="Times New Roman" w:hAnsi="Times New Roman"/>
          <w:bCs/>
          <w:i/>
          <w:sz w:val="20"/>
          <w:szCs w:val="20"/>
          <w:lang w:val="en-GB" w:eastAsia="zh-CN"/>
        </w:rPr>
        <w:t>for</w:t>
      </w:r>
      <w:r>
        <w:rPr>
          <w:rFonts w:ascii="Times New Roman" w:eastAsia="Times New Roman" w:hAnsi="Times New Roman"/>
          <w:bCs/>
          <w:i/>
          <w:sz w:val="20"/>
          <w:szCs w:val="20"/>
          <w:lang w:val="en-GB" w:eastAsia="zh-CN"/>
        </w:rPr>
        <w:t xml:space="preserve"> SL unicast connection establishment has already been agreed by SA2 and is performed by upper layer signalling (i.e. without direct AS layer involvement).</w:t>
      </w:r>
    </w:p>
    <w:p w14:paraId="78F0A48C" w14:textId="77777777" w:rsidR="00A91902" w:rsidRDefault="00A91902" w:rsidP="00153601">
      <w:pPr>
        <w:rPr>
          <w:rFonts w:ascii="Times New Roman" w:hAnsi="Times New Roman"/>
          <w:sz w:val="20"/>
          <w:lang w:val="en-GB" w:eastAsia="zh-CN"/>
        </w:rPr>
      </w:pPr>
    </w:p>
    <w:p w14:paraId="6A419553" w14:textId="1ACC3630" w:rsidR="00A91902" w:rsidRPr="00F22C9F" w:rsidRDefault="00A91902" w:rsidP="00A91902">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2D73D5">
        <w:rPr>
          <w:rFonts w:ascii="Times New Roman" w:eastAsia="Times New Roman" w:hAnsi="Times New Roman"/>
          <w:b/>
          <w:bCs/>
          <w:sz w:val="20"/>
          <w:szCs w:val="20"/>
          <w:u w:val="single"/>
          <w:lang w:val="en-GB" w:eastAsia="zh-CN"/>
        </w:rPr>
        <w:t xml:space="preserve"> 4</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RAN2 does not need to consider any additional QoS parameter exchange in the context of </w:t>
      </w:r>
      <w:r w:rsidR="009A6DD4">
        <w:rPr>
          <w:rFonts w:ascii="Times New Roman" w:eastAsia="Times New Roman" w:hAnsi="Times New Roman"/>
          <w:bCs/>
          <w:i/>
          <w:sz w:val="20"/>
          <w:szCs w:val="20"/>
          <w:lang w:val="en-GB" w:eastAsia="zh-CN"/>
        </w:rPr>
        <w:t>congestion</w:t>
      </w:r>
      <w:r>
        <w:rPr>
          <w:rFonts w:ascii="Times New Roman" w:eastAsia="Times New Roman" w:hAnsi="Times New Roman"/>
          <w:bCs/>
          <w:i/>
          <w:sz w:val="20"/>
          <w:szCs w:val="20"/>
          <w:lang w:val="en-GB" w:eastAsia="zh-CN"/>
        </w:rPr>
        <w:t xml:space="preserve"> control at the AS layer (other than what upper layer signalling is expected to perform during link establishment) in the case of SL unicast.</w:t>
      </w:r>
    </w:p>
    <w:p w14:paraId="0751770D" w14:textId="77777777" w:rsidR="00B556A6" w:rsidRPr="00B556A6" w:rsidRDefault="00B556A6" w:rsidP="00443607">
      <w:pPr>
        <w:rPr>
          <w:rFonts w:ascii="Times New Roman" w:eastAsia="Times New Roman" w:hAnsi="Times New Roman"/>
          <w:bCs/>
          <w:sz w:val="20"/>
          <w:szCs w:val="20"/>
          <w:lang w:val="en-GB" w:eastAsia="zh-CN"/>
        </w:rPr>
      </w:pPr>
    </w:p>
    <w:p w14:paraId="7BFDE5A2" w14:textId="5536ECD4" w:rsidR="00C54226" w:rsidRDefault="00C54226" w:rsidP="00C13DB4">
      <w:pPr>
        <w:rPr>
          <w:rFonts w:ascii="Times New Roman" w:eastAsia="Times New Roman" w:hAnsi="Times New Roman"/>
          <w:bCs/>
          <w:sz w:val="20"/>
          <w:szCs w:val="20"/>
          <w:lang w:val="en-GB" w:eastAsia="zh-CN"/>
        </w:rPr>
      </w:pPr>
    </w:p>
    <w:p w14:paraId="50A28EC3" w14:textId="77777777" w:rsidR="008669B1" w:rsidRPr="00E0063E" w:rsidRDefault="008669B1" w:rsidP="008669B1">
      <w:pPr>
        <w:pStyle w:val="Tdoc"/>
      </w:pPr>
      <w:r w:rsidRPr="00E0063E">
        <w:t>Conclusion</w:t>
      </w:r>
    </w:p>
    <w:p w14:paraId="3C60ADD7" w14:textId="2636AC27" w:rsidR="00613A40" w:rsidRDefault="00F53BB2" w:rsidP="00F53BB2">
      <w:pPr>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 goes over different aspects of </w:t>
      </w:r>
      <w:r w:rsidR="009A6DD4">
        <w:rPr>
          <w:rFonts w:ascii="Times New Roman" w:eastAsia="Times New Roman" w:hAnsi="Times New Roman"/>
          <w:bCs/>
          <w:sz w:val="20"/>
          <w:szCs w:val="20"/>
          <w:lang w:val="en-GB" w:eastAsia="zh-CN"/>
        </w:rPr>
        <w:t>congestion</w:t>
      </w:r>
      <w:r>
        <w:rPr>
          <w:rFonts w:ascii="Times New Roman" w:eastAsia="Times New Roman" w:hAnsi="Times New Roman"/>
          <w:bCs/>
          <w:sz w:val="20"/>
          <w:szCs w:val="20"/>
          <w:lang w:val="en-GB" w:eastAsia="zh-CN"/>
        </w:rPr>
        <w:t xml:space="preserve"> control over NR sidelink for V2X operation and makes the following observations and proposals:</w:t>
      </w:r>
    </w:p>
    <w:p w14:paraId="4927AAB1" w14:textId="77777777" w:rsidR="00F53BB2" w:rsidRDefault="00F53BB2" w:rsidP="00F53BB2">
      <w:pPr>
        <w:rPr>
          <w:rFonts w:ascii="Times New Roman" w:eastAsia="Times New Roman" w:hAnsi="Times New Roman"/>
          <w:bCs/>
          <w:sz w:val="20"/>
          <w:szCs w:val="20"/>
          <w:lang w:val="en-GB" w:eastAsia="zh-CN"/>
        </w:rPr>
      </w:pPr>
    </w:p>
    <w:p w14:paraId="0F96C040" w14:textId="77777777" w:rsidR="009A6DD4" w:rsidRPr="00F22C9F" w:rsidRDefault="009A6DD4" w:rsidP="009A6DD4">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introduction of a congestion control mechanism based on per-packet PQI for NR SL can allow for robust control over SL transmissions based on channel load conditions.</w:t>
      </w:r>
    </w:p>
    <w:p w14:paraId="255A1824" w14:textId="77777777" w:rsidR="009A6DD4" w:rsidRDefault="009A6DD4" w:rsidP="009A6DD4">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Cs/>
          <w:i/>
          <w:sz w:val="20"/>
          <w:szCs w:val="20"/>
          <w:lang w:val="en-GB" w:eastAsia="zh-CN"/>
        </w:rPr>
        <w:tab/>
        <w:t>RAN2 to discuss and confirm that per packet congestion control (as defined above) is considered baseline for NR sidelink V2X operation.</w:t>
      </w:r>
    </w:p>
    <w:p w14:paraId="0C5CDC19" w14:textId="77777777" w:rsidR="009A6DD4" w:rsidRDefault="009A6DD4" w:rsidP="009A6DD4">
      <w:pPr>
        <w:ind w:left="1350" w:hanging="1350"/>
        <w:rPr>
          <w:rFonts w:ascii="Times New Roman" w:eastAsia="Times New Roman" w:hAnsi="Times New Roman"/>
          <w:bCs/>
          <w:i/>
          <w:sz w:val="20"/>
          <w:szCs w:val="20"/>
          <w:lang w:val="en-GB" w:eastAsia="zh-CN"/>
        </w:rPr>
      </w:pPr>
    </w:p>
    <w:p w14:paraId="61745557" w14:textId="77777777" w:rsidR="009A6DD4" w:rsidRDefault="009A6DD4" w:rsidP="009A6DD4">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There is no need for any additional per packet per service congestion control mechanism to be defined for NR SL.</w:t>
      </w:r>
    </w:p>
    <w:p w14:paraId="608E28A6" w14:textId="77777777" w:rsidR="009A6DD4" w:rsidRDefault="009A6DD4" w:rsidP="009A6DD4">
      <w:pPr>
        <w:ind w:left="1350" w:hanging="1350"/>
        <w:rPr>
          <w:rFonts w:ascii="Times New Roman" w:eastAsia="Times New Roman" w:hAnsi="Times New Roman"/>
          <w:bCs/>
          <w:i/>
          <w:sz w:val="20"/>
          <w:szCs w:val="20"/>
          <w:lang w:val="en-GB" w:eastAsia="zh-CN"/>
        </w:rPr>
      </w:pPr>
    </w:p>
    <w:p w14:paraId="46FAD587" w14:textId="77777777" w:rsidR="009A6DD4" w:rsidRPr="002D73D5" w:rsidRDefault="009A6DD4" w:rsidP="009A6DD4">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Sidelink logical channel priority is utilized (instead of PPPP as in LTE) for the purpose of per packet congestion control.</w:t>
      </w:r>
    </w:p>
    <w:p w14:paraId="48BA4AAF" w14:textId="77777777" w:rsidR="009A6DD4" w:rsidRDefault="009A6DD4" w:rsidP="009A6DD4">
      <w:pPr>
        <w:ind w:left="1350" w:hanging="1350"/>
        <w:rPr>
          <w:rFonts w:ascii="Times New Roman" w:eastAsia="Times New Roman" w:hAnsi="Times New Roman"/>
          <w:b/>
          <w:bCs/>
          <w:sz w:val="20"/>
          <w:szCs w:val="20"/>
          <w:u w:val="single"/>
          <w:lang w:val="en-GB" w:eastAsia="zh-CN"/>
        </w:rPr>
      </w:pPr>
    </w:p>
    <w:p w14:paraId="1FDE7D9A" w14:textId="77777777" w:rsidR="009A6DD4" w:rsidRPr="00F22C9F" w:rsidRDefault="009A6DD4" w:rsidP="009A6DD4">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negotiation of QoS information between peer UEs for SL unicast connection establishment has already been agreed by SA2 and is performed by upper layer signalling (i.e. without direct AS layer involvement).</w:t>
      </w:r>
    </w:p>
    <w:p w14:paraId="35854374" w14:textId="77777777" w:rsidR="009A6DD4" w:rsidRDefault="009A6DD4" w:rsidP="009A6DD4">
      <w:pPr>
        <w:rPr>
          <w:rFonts w:ascii="Times New Roman" w:hAnsi="Times New Roman"/>
          <w:sz w:val="20"/>
          <w:lang w:val="en-GB" w:eastAsia="zh-CN"/>
        </w:rPr>
      </w:pPr>
    </w:p>
    <w:p w14:paraId="5479900E" w14:textId="77777777" w:rsidR="009A6DD4" w:rsidRPr="00F22C9F" w:rsidRDefault="009A6DD4" w:rsidP="009A6DD4">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4:</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does not need to consider any additional QoS parameter exchange in the context of congestion control at the AS layer (other than what upper layer signalling is expected to perform during link establishment) in the case of SL unicast.</w:t>
      </w:r>
    </w:p>
    <w:p w14:paraId="11CC3028" w14:textId="77777777" w:rsidR="00F53BB2" w:rsidRPr="00C13DB4" w:rsidRDefault="00F53BB2" w:rsidP="00F53BB2">
      <w:pPr>
        <w:rPr>
          <w:rFonts w:ascii="Times New Roman" w:eastAsia="Times New Roman" w:hAnsi="Times New Roman"/>
          <w:bCs/>
          <w:sz w:val="20"/>
          <w:szCs w:val="20"/>
          <w:lang w:val="en-GB" w:eastAsia="zh-CN"/>
        </w:rPr>
      </w:pPr>
    </w:p>
    <w:sdt>
      <w:sdtPr>
        <w:rPr>
          <w:rFonts w:ascii="Calibri" w:eastAsia="SimSun" w:hAnsi="Calibri"/>
          <w:noProof w:val="0"/>
          <w:sz w:val="22"/>
          <w:szCs w:val="22"/>
          <w:lang w:eastAsia="en-US"/>
        </w:rPr>
        <w:id w:val="70091276"/>
        <w:docPartObj>
          <w:docPartGallery w:val="Bibliographies"/>
          <w:docPartUnique/>
        </w:docPartObj>
      </w:sdtPr>
      <w:sdtEndPr/>
      <w:sdtContent>
        <w:p w14:paraId="419B5CA6" w14:textId="663549E3" w:rsidR="0063286E" w:rsidRDefault="0063286E" w:rsidP="0063286E">
          <w:pPr>
            <w:pStyle w:val="Tdoc"/>
          </w:pPr>
          <w:r>
            <w:t>References</w:t>
          </w:r>
        </w:p>
        <w:p w14:paraId="4C99CB80" w14:textId="77777777" w:rsidR="0091177A" w:rsidRDefault="000A472B" w:rsidP="0091177A">
          <w:pPr>
            <w:divId w:val="1131898881"/>
            <w:rPr>
              <w:noProof/>
              <w:sz w:val="20"/>
              <w:szCs w:val="20"/>
            </w:rPr>
          </w:pPr>
          <w:r>
            <w:rPr>
              <w:rFonts w:eastAsia="Times New Roman"/>
              <w:noProof/>
            </w:rPr>
            <w:fldChar w:fldCharType="begin"/>
          </w:r>
          <w:r>
            <w:rPr>
              <w:rFonts w:eastAsia="Times New Roman"/>
              <w:noProof/>
            </w:rPr>
            <w:instrText xml:space="preserve"> BIBLIOGRAPHY  \l 1033 </w:instrText>
          </w:r>
          <w:r>
            <w:rPr>
              <w:rFonts w:eastAsia="Times New Roman"/>
              <w:noProof/>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91177A" w14:paraId="2D55731D" w14:textId="77777777" w:rsidTr="0091177A">
            <w:trPr>
              <w:divId w:val="1131898881"/>
              <w:tblCellSpacing w:w="15" w:type="dxa"/>
            </w:trPr>
            <w:tc>
              <w:tcPr>
                <w:tcW w:w="50" w:type="pct"/>
                <w:hideMark/>
              </w:tcPr>
              <w:p w14:paraId="50D18AE8" w14:textId="77777777" w:rsidR="0091177A" w:rsidRDefault="0091177A">
                <w:pPr>
                  <w:pStyle w:val="Bibliography"/>
                  <w:rPr>
                    <w:noProof/>
                    <w:sz w:val="24"/>
                    <w:szCs w:val="24"/>
                  </w:rPr>
                </w:pPr>
                <w:r>
                  <w:rPr>
                    <w:noProof/>
                  </w:rPr>
                  <w:t xml:space="preserve">[1] </w:t>
                </w:r>
              </w:p>
            </w:tc>
            <w:tc>
              <w:tcPr>
                <w:tcW w:w="0" w:type="auto"/>
                <w:hideMark/>
              </w:tcPr>
              <w:p w14:paraId="11CAD4E1" w14:textId="77777777" w:rsidR="0091177A" w:rsidRDefault="0091177A">
                <w:pPr>
                  <w:pStyle w:val="Bibliography"/>
                  <w:rPr>
                    <w:noProof/>
                  </w:rPr>
                </w:pPr>
                <w:r>
                  <w:rPr>
                    <w:noProof/>
                  </w:rPr>
                  <w:t xml:space="preserve">"RAN2#105, NR V2X: Chairman Notes". </w:t>
                </w:r>
              </w:p>
            </w:tc>
          </w:tr>
          <w:tr w:rsidR="0091177A" w14:paraId="6190AA37" w14:textId="77777777" w:rsidTr="0091177A">
            <w:trPr>
              <w:divId w:val="1131898881"/>
              <w:tblCellSpacing w:w="15" w:type="dxa"/>
            </w:trPr>
            <w:tc>
              <w:tcPr>
                <w:tcW w:w="50" w:type="pct"/>
                <w:hideMark/>
              </w:tcPr>
              <w:p w14:paraId="422DDBED" w14:textId="77777777" w:rsidR="0091177A" w:rsidRDefault="0091177A">
                <w:pPr>
                  <w:pStyle w:val="Bibliography"/>
                  <w:rPr>
                    <w:noProof/>
                  </w:rPr>
                </w:pPr>
                <w:r>
                  <w:rPr>
                    <w:noProof/>
                  </w:rPr>
                  <w:t xml:space="preserve">[2] </w:t>
                </w:r>
              </w:p>
            </w:tc>
            <w:tc>
              <w:tcPr>
                <w:tcW w:w="0" w:type="auto"/>
                <w:hideMark/>
              </w:tcPr>
              <w:p w14:paraId="745AFC5E" w14:textId="77777777" w:rsidR="0091177A" w:rsidRDefault="0091177A">
                <w:pPr>
                  <w:pStyle w:val="Bibliography"/>
                  <w:rPr>
                    <w:noProof/>
                  </w:rPr>
                </w:pPr>
                <w:r>
                  <w:rPr>
                    <w:noProof/>
                  </w:rPr>
                  <w:t xml:space="preserve">"R2-1900370, Summary of Email Discussion [104#58][NR V2X] - QoS support for NR V2X (Huawei)". </w:t>
                </w:r>
              </w:p>
            </w:tc>
          </w:tr>
          <w:tr w:rsidR="0091177A" w14:paraId="1F519CA7" w14:textId="77777777" w:rsidTr="0091177A">
            <w:trPr>
              <w:divId w:val="1131898881"/>
              <w:tblCellSpacing w:w="15" w:type="dxa"/>
            </w:trPr>
            <w:tc>
              <w:tcPr>
                <w:tcW w:w="50" w:type="pct"/>
                <w:hideMark/>
              </w:tcPr>
              <w:p w14:paraId="05DEFACB" w14:textId="77777777" w:rsidR="0091177A" w:rsidRDefault="0091177A">
                <w:pPr>
                  <w:pStyle w:val="Bibliography"/>
                  <w:rPr>
                    <w:noProof/>
                  </w:rPr>
                </w:pPr>
                <w:r>
                  <w:rPr>
                    <w:noProof/>
                  </w:rPr>
                  <w:t xml:space="preserve">[3] </w:t>
                </w:r>
              </w:p>
            </w:tc>
            <w:tc>
              <w:tcPr>
                <w:tcW w:w="0" w:type="auto"/>
                <w:hideMark/>
              </w:tcPr>
              <w:p w14:paraId="5647E60E" w14:textId="77777777" w:rsidR="0091177A" w:rsidRDefault="0091177A">
                <w:pPr>
                  <w:pStyle w:val="Bibliography"/>
                  <w:rPr>
                    <w:noProof/>
                  </w:rPr>
                </w:pPr>
                <w:r>
                  <w:rPr>
                    <w:noProof/>
                  </w:rPr>
                  <w:t xml:space="preserve">"TR 23.786, Study on architecture enhancements for the Evolved Packet System (EPS) and the 5G System (5GS) to support advanced V2X services". </w:t>
                </w:r>
              </w:p>
            </w:tc>
          </w:tr>
        </w:tbl>
        <w:p w14:paraId="18F365EC" w14:textId="77777777" w:rsidR="0091177A" w:rsidRDefault="0091177A" w:rsidP="0091177A">
          <w:pPr>
            <w:divId w:val="1131898881"/>
            <w:rPr>
              <w:rFonts w:eastAsia="Times New Roman"/>
              <w:noProof/>
            </w:rPr>
          </w:pPr>
        </w:p>
        <w:p w14:paraId="3B293168" w14:textId="42F460DC" w:rsidR="00E43B63" w:rsidRDefault="000A472B" w:rsidP="0091177A">
          <w:pPr>
            <w:divId w:val="1131898881"/>
            <w:rPr>
              <w:rFonts w:eastAsia="Times New Roman"/>
              <w:noProof/>
            </w:rPr>
          </w:pPr>
          <w:r>
            <w:rPr>
              <w:rFonts w:eastAsia="Times New Roman"/>
              <w:noProof/>
            </w:rPr>
            <w:fldChar w:fldCharType="end"/>
          </w:r>
        </w:p>
        <w:p w14:paraId="50A28EEF" w14:textId="41D9B9E6" w:rsidR="00E0063E" w:rsidRPr="00E43B63" w:rsidRDefault="00EE07D0" w:rsidP="00E43B63"/>
      </w:sdtContent>
    </w:sdt>
    <w:bookmarkEnd w:id="1" w:displacedByCustomXml="prev"/>
    <w:sectPr w:rsidR="00E0063E" w:rsidRPr="00E43B6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A3213E" w:rsidRDefault="00A3213E">
      <w:pPr>
        <w:spacing w:after="0" w:line="240" w:lineRule="auto"/>
      </w:pPr>
      <w:r>
        <w:separator/>
      </w:r>
    </w:p>
  </w:endnote>
  <w:endnote w:type="continuationSeparator" w:id="0">
    <w:p w14:paraId="50A28EF3" w14:textId="77777777" w:rsidR="00A3213E" w:rsidRDefault="00A32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A3213E" w:rsidRDefault="00A3213E"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E07D0">
      <w:rPr>
        <w:rFonts w:ascii="Arial" w:hAnsi="Arial" w:cs="Arial"/>
        <w:b/>
        <w:noProof/>
        <w:sz w:val="18"/>
        <w:szCs w:val="18"/>
      </w:rPr>
      <w:t>3</w:t>
    </w:r>
    <w:r>
      <w:rPr>
        <w:rFonts w:ascii="Arial" w:hAnsi="Arial" w:cs="Arial"/>
        <w:b/>
        <w:sz w:val="18"/>
        <w:szCs w:val="18"/>
      </w:rPr>
      <w:fldChar w:fldCharType="end"/>
    </w:r>
  </w:p>
  <w:p w14:paraId="50A28EF5" w14:textId="77777777" w:rsidR="00A3213E" w:rsidRDefault="00A321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A3213E" w:rsidRDefault="00A3213E">
      <w:pPr>
        <w:spacing w:after="0" w:line="240" w:lineRule="auto"/>
      </w:pPr>
      <w:r>
        <w:separator/>
      </w:r>
    </w:p>
  </w:footnote>
  <w:footnote w:type="continuationSeparator" w:id="0">
    <w:p w14:paraId="50A28EF1" w14:textId="77777777" w:rsidR="00A3213E" w:rsidRDefault="00A321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9"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BD1123"/>
    <w:multiLevelType w:val="hybridMultilevel"/>
    <w:tmpl w:val="93CA22BA"/>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8AB3FAB"/>
    <w:multiLevelType w:val="hybridMultilevel"/>
    <w:tmpl w:val="81D2D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9"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1"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7EF1656"/>
    <w:multiLevelType w:val="hybridMultilevel"/>
    <w:tmpl w:val="09C04F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0"/>
  </w:num>
  <w:num w:numId="2">
    <w:abstractNumId w:val="22"/>
  </w:num>
  <w:num w:numId="3">
    <w:abstractNumId w:val="16"/>
  </w:num>
  <w:num w:numId="4">
    <w:abstractNumId w:val="15"/>
  </w:num>
  <w:num w:numId="5">
    <w:abstractNumId w:val="5"/>
    <w:lvlOverride w:ilvl="0">
      <w:startOverride w:val="1"/>
    </w:lvlOverride>
  </w:num>
  <w:num w:numId="6">
    <w:abstractNumId w:val="7"/>
    <w:lvlOverride w:ilvl="0">
      <w:startOverride w:val="2"/>
    </w:lvlOverride>
  </w:num>
  <w:num w:numId="7">
    <w:abstractNumId w:val="32"/>
  </w:num>
  <w:num w:numId="8">
    <w:abstractNumId w:val="11"/>
  </w:num>
  <w:num w:numId="9">
    <w:abstractNumId w:val="8"/>
  </w:num>
  <w:num w:numId="10">
    <w:abstractNumId w:val="26"/>
  </w:num>
  <w:num w:numId="11">
    <w:abstractNumId w:val="34"/>
  </w:num>
  <w:num w:numId="12">
    <w:abstractNumId w:val="6"/>
  </w:num>
  <w:num w:numId="13">
    <w:abstractNumId w:val="9"/>
  </w:num>
  <w:num w:numId="14">
    <w:abstractNumId w:val="3"/>
  </w:num>
  <w:num w:numId="15">
    <w:abstractNumId w:val="4"/>
  </w:num>
  <w:num w:numId="16">
    <w:abstractNumId w:val="14"/>
  </w:num>
  <w:num w:numId="17">
    <w:abstractNumId w:val="31"/>
  </w:num>
  <w:num w:numId="18">
    <w:abstractNumId w:val="12"/>
  </w:num>
  <w:num w:numId="19">
    <w:abstractNumId w:val="28"/>
  </w:num>
  <w:num w:numId="20">
    <w:abstractNumId w:val="2"/>
  </w:num>
  <w:num w:numId="21">
    <w:abstractNumId w:val="33"/>
  </w:num>
  <w:num w:numId="22">
    <w:abstractNumId w:val="1"/>
  </w:num>
  <w:num w:numId="23">
    <w:abstractNumId w:val="25"/>
  </w:num>
  <w:num w:numId="24">
    <w:abstractNumId w:val="36"/>
  </w:num>
  <w:num w:numId="25">
    <w:abstractNumId w:val="23"/>
  </w:num>
  <w:num w:numId="26">
    <w:abstractNumId w:val="20"/>
  </w:num>
  <w:num w:numId="27">
    <w:abstractNumId w:val="18"/>
  </w:num>
  <w:num w:numId="28">
    <w:abstractNumId w:val="35"/>
  </w:num>
  <w:num w:numId="29">
    <w:abstractNumId w:val="0"/>
  </w:num>
  <w:num w:numId="30">
    <w:abstractNumId w:val="10"/>
  </w:num>
  <w:num w:numId="31">
    <w:abstractNumId w:val="29"/>
  </w:num>
  <w:num w:numId="32">
    <w:abstractNumId w:val="19"/>
  </w:num>
  <w:num w:numId="33">
    <w:abstractNumId w:val="24"/>
  </w:num>
  <w:num w:numId="34">
    <w:abstractNumId w:val="21"/>
  </w:num>
  <w:num w:numId="35">
    <w:abstractNumId w:val="13"/>
  </w:num>
  <w:num w:numId="36">
    <w:abstractNumId w:val="17"/>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0742B"/>
    <w:rsid w:val="0002151A"/>
    <w:rsid w:val="00031A47"/>
    <w:rsid w:val="000336C8"/>
    <w:rsid w:val="00053B8A"/>
    <w:rsid w:val="00060D54"/>
    <w:rsid w:val="00061F84"/>
    <w:rsid w:val="000632AE"/>
    <w:rsid w:val="00066057"/>
    <w:rsid w:val="000712B7"/>
    <w:rsid w:val="00071BD0"/>
    <w:rsid w:val="000760CC"/>
    <w:rsid w:val="0007638E"/>
    <w:rsid w:val="00077473"/>
    <w:rsid w:val="000805EC"/>
    <w:rsid w:val="00081766"/>
    <w:rsid w:val="0008197A"/>
    <w:rsid w:val="000837B7"/>
    <w:rsid w:val="00096596"/>
    <w:rsid w:val="000A09E6"/>
    <w:rsid w:val="000A13E8"/>
    <w:rsid w:val="000A472B"/>
    <w:rsid w:val="000A7E1C"/>
    <w:rsid w:val="000A7FE2"/>
    <w:rsid w:val="000D6536"/>
    <w:rsid w:val="000E4761"/>
    <w:rsid w:val="000E493C"/>
    <w:rsid w:val="000F00FC"/>
    <w:rsid w:val="000F1C37"/>
    <w:rsid w:val="000F54CA"/>
    <w:rsid w:val="00100001"/>
    <w:rsid w:val="00100A13"/>
    <w:rsid w:val="00111236"/>
    <w:rsid w:val="001128E0"/>
    <w:rsid w:val="0011610B"/>
    <w:rsid w:val="00116AED"/>
    <w:rsid w:val="00120B9E"/>
    <w:rsid w:val="00143E86"/>
    <w:rsid w:val="00143F5D"/>
    <w:rsid w:val="00144CD4"/>
    <w:rsid w:val="00147C5C"/>
    <w:rsid w:val="00151E30"/>
    <w:rsid w:val="00153601"/>
    <w:rsid w:val="00153EA5"/>
    <w:rsid w:val="00154CC9"/>
    <w:rsid w:val="00160710"/>
    <w:rsid w:val="0016207C"/>
    <w:rsid w:val="0016488C"/>
    <w:rsid w:val="0016703F"/>
    <w:rsid w:val="00171180"/>
    <w:rsid w:val="00175B7F"/>
    <w:rsid w:val="00175DCB"/>
    <w:rsid w:val="00181357"/>
    <w:rsid w:val="00195430"/>
    <w:rsid w:val="00197B45"/>
    <w:rsid w:val="001A793C"/>
    <w:rsid w:val="001B7098"/>
    <w:rsid w:val="001C137C"/>
    <w:rsid w:val="001C479B"/>
    <w:rsid w:val="001C6E8B"/>
    <w:rsid w:val="001D28A0"/>
    <w:rsid w:val="001D5499"/>
    <w:rsid w:val="001E221E"/>
    <w:rsid w:val="001E251D"/>
    <w:rsid w:val="001E54F9"/>
    <w:rsid w:val="001F03C4"/>
    <w:rsid w:val="001F221E"/>
    <w:rsid w:val="001F6936"/>
    <w:rsid w:val="00203D1C"/>
    <w:rsid w:val="0020567B"/>
    <w:rsid w:val="0020671E"/>
    <w:rsid w:val="00220EC4"/>
    <w:rsid w:val="00225341"/>
    <w:rsid w:val="002410A5"/>
    <w:rsid w:val="0024165F"/>
    <w:rsid w:val="00253F58"/>
    <w:rsid w:val="00255F2A"/>
    <w:rsid w:val="00260222"/>
    <w:rsid w:val="00263354"/>
    <w:rsid w:val="0026345A"/>
    <w:rsid w:val="00265EF0"/>
    <w:rsid w:val="00274F99"/>
    <w:rsid w:val="00276574"/>
    <w:rsid w:val="002769B9"/>
    <w:rsid w:val="00281DB7"/>
    <w:rsid w:val="00283FDE"/>
    <w:rsid w:val="00285FD9"/>
    <w:rsid w:val="00286053"/>
    <w:rsid w:val="0028689C"/>
    <w:rsid w:val="00286CD8"/>
    <w:rsid w:val="00290024"/>
    <w:rsid w:val="00291433"/>
    <w:rsid w:val="00291DB2"/>
    <w:rsid w:val="00293F66"/>
    <w:rsid w:val="0029495D"/>
    <w:rsid w:val="002A5F0F"/>
    <w:rsid w:val="002A78E6"/>
    <w:rsid w:val="002B17B0"/>
    <w:rsid w:val="002B2F0A"/>
    <w:rsid w:val="002D2168"/>
    <w:rsid w:val="002D73D5"/>
    <w:rsid w:val="002E50F2"/>
    <w:rsid w:val="002F04F8"/>
    <w:rsid w:val="002F153B"/>
    <w:rsid w:val="002F432E"/>
    <w:rsid w:val="00305CD5"/>
    <w:rsid w:val="0032490D"/>
    <w:rsid w:val="00330823"/>
    <w:rsid w:val="00332463"/>
    <w:rsid w:val="00332851"/>
    <w:rsid w:val="00336D1D"/>
    <w:rsid w:val="003379D6"/>
    <w:rsid w:val="00337A0E"/>
    <w:rsid w:val="003400B0"/>
    <w:rsid w:val="00343C43"/>
    <w:rsid w:val="00345654"/>
    <w:rsid w:val="00346CBD"/>
    <w:rsid w:val="0035278E"/>
    <w:rsid w:val="003571DD"/>
    <w:rsid w:val="00361EF9"/>
    <w:rsid w:val="003638A3"/>
    <w:rsid w:val="0037540A"/>
    <w:rsid w:val="00377DF9"/>
    <w:rsid w:val="003848A3"/>
    <w:rsid w:val="00384CB8"/>
    <w:rsid w:val="00385E3E"/>
    <w:rsid w:val="00396B24"/>
    <w:rsid w:val="00397FA3"/>
    <w:rsid w:val="003A766F"/>
    <w:rsid w:val="003B424F"/>
    <w:rsid w:val="003B6208"/>
    <w:rsid w:val="003B6BC4"/>
    <w:rsid w:val="003C2812"/>
    <w:rsid w:val="003D022C"/>
    <w:rsid w:val="003D1D55"/>
    <w:rsid w:val="003D42CB"/>
    <w:rsid w:val="003E1161"/>
    <w:rsid w:val="003E250C"/>
    <w:rsid w:val="003E76DD"/>
    <w:rsid w:val="003F0F74"/>
    <w:rsid w:val="0040277F"/>
    <w:rsid w:val="004035EF"/>
    <w:rsid w:val="00410620"/>
    <w:rsid w:val="004114F2"/>
    <w:rsid w:val="00412F14"/>
    <w:rsid w:val="00413455"/>
    <w:rsid w:val="00415F96"/>
    <w:rsid w:val="00416235"/>
    <w:rsid w:val="00424635"/>
    <w:rsid w:val="00430F3A"/>
    <w:rsid w:val="00433DA4"/>
    <w:rsid w:val="00434F17"/>
    <w:rsid w:val="0043655F"/>
    <w:rsid w:val="00436890"/>
    <w:rsid w:val="00437AB1"/>
    <w:rsid w:val="00440C74"/>
    <w:rsid w:val="00443607"/>
    <w:rsid w:val="00443E40"/>
    <w:rsid w:val="00445B7E"/>
    <w:rsid w:val="00453DB6"/>
    <w:rsid w:val="0045665A"/>
    <w:rsid w:val="00460EBA"/>
    <w:rsid w:val="0046730A"/>
    <w:rsid w:val="00467867"/>
    <w:rsid w:val="004747C6"/>
    <w:rsid w:val="00480D6C"/>
    <w:rsid w:val="00483C87"/>
    <w:rsid w:val="004873A1"/>
    <w:rsid w:val="0049247B"/>
    <w:rsid w:val="004941A2"/>
    <w:rsid w:val="004A45E2"/>
    <w:rsid w:val="004B2F1A"/>
    <w:rsid w:val="004C546C"/>
    <w:rsid w:val="004D12A9"/>
    <w:rsid w:val="004D44CA"/>
    <w:rsid w:val="004D6C2B"/>
    <w:rsid w:val="004D7A2E"/>
    <w:rsid w:val="004E2339"/>
    <w:rsid w:val="004E3975"/>
    <w:rsid w:val="004E3ED3"/>
    <w:rsid w:val="004E6A8F"/>
    <w:rsid w:val="004F361D"/>
    <w:rsid w:val="004F415B"/>
    <w:rsid w:val="00504033"/>
    <w:rsid w:val="005067A7"/>
    <w:rsid w:val="00511AF4"/>
    <w:rsid w:val="0051392C"/>
    <w:rsid w:val="00513956"/>
    <w:rsid w:val="005214C0"/>
    <w:rsid w:val="005231DC"/>
    <w:rsid w:val="00523734"/>
    <w:rsid w:val="005279F9"/>
    <w:rsid w:val="00533214"/>
    <w:rsid w:val="00536974"/>
    <w:rsid w:val="00544AAA"/>
    <w:rsid w:val="00545C8C"/>
    <w:rsid w:val="0055379C"/>
    <w:rsid w:val="00555440"/>
    <w:rsid w:val="0055706A"/>
    <w:rsid w:val="00557402"/>
    <w:rsid w:val="00561F69"/>
    <w:rsid w:val="005862AB"/>
    <w:rsid w:val="00593190"/>
    <w:rsid w:val="00597FD5"/>
    <w:rsid w:val="005A4656"/>
    <w:rsid w:val="005A7CEA"/>
    <w:rsid w:val="005C158A"/>
    <w:rsid w:val="005C3DFF"/>
    <w:rsid w:val="005D37A5"/>
    <w:rsid w:val="005E3E1B"/>
    <w:rsid w:val="005E4401"/>
    <w:rsid w:val="005E4E14"/>
    <w:rsid w:val="005F30EF"/>
    <w:rsid w:val="0060381E"/>
    <w:rsid w:val="00613A40"/>
    <w:rsid w:val="00614E91"/>
    <w:rsid w:val="00622984"/>
    <w:rsid w:val="00625D8E"/>
    <w:rsid w:val="00627647"/>
    <w:rsid w:val="0063286E"/>
    <w:rsid w:val="00633024"/>
    <w:rsid w:val="00661C20"/>
    <w:rsid w:val="00667231"/>
    <w:rsid w:val="006720DF"/>
    <w:rsid w:val="00673EBD"/>
    <w:rsid w:val="006821CE"/>
    <w:rsid w:val="0068421C"/>
    <w:rsid w:val="00696FDC"/>
    <w:rsid w:val="006A27E5"/>
    <w:rsid w:val="006A65D5"/>
    <w:rsid w:val="006B69DF"/>
    <w:rsid w:val="006C65A8"/>
    <w:rsid w:val="006D0058"/>
    <w:rsid w:val="006D1A4B"/>
    <w:rsid w:val="006D512C"/>
    <w:rsid w:val="006D53FD"/>
    <w:rsid w:val="006D7CC2"/>
    <w:rsid w:val="006E0F37"/>
    <w:rsid w:val="006F4DDB"/>
    <w:rsid w:val="006F631D"/>
    <w:rsid w:val="00705D31"/>
    <w:rsid w:val="00710503"/>
    <w:rsid w:val="00711B34"/>
    <w:rsid w:val="007158F5"/>
    <w:rsid w:val="007178DB"/>
    <w:rsid w:val="00722993"/>
    <w:rsid w:val="00723298"/>
    <w:rsid w:val="00732A41"/>
    <w:rsid w:val="00732CD4"/>
    <w:rsid w:val="007336B5"/>
    <w:rsid w:val="007356BA"/>
    <w:rsid w:val="00740D3E"/>
    <w:rsid w:val="00743313"/>
    <w:rsid w:val="00752D0F"/>
    <w:rsid w:val="007646CF"/>
    <w:rsid w:val="00773DDF"/>
    <w:rsid w:val="0077506E"/>
    <w:rsid w:val="00777344"/>
    <w:rsid w:val="00777B6B"/>
    <w:rsid w:val="00781376"/>
    <w:rsid w:val="00786A05"/>
    <w:rsid w:val="00786EC6"/>
    <w:rsid w:val="00790DC8"/>
    <w:rsid w:val="007917EB"/>
    <w:rsid w:val="00791A9C"/>
    <w:rsid w:val="00792327"/>
    <w:rsid w:val="00797358"/>
    <w:rsid w:val="007A2068"/>
    <w:rsid w:val="007A49CD"/>
    <w:rsid w:val="007B7DD5"/>
    <w:rsid w:val="007C3A70"/>
    <w:rsid w:val="007D042C"/>
    <w:rsid w:val="007D05E3"/>
    <w:rsid w:val="007D32DD"/>
    <w:rsid w:val="007F2F4C"/>
    <w:rsid w:val="00813FBF"/>
    <w:rsid w:val="00814C35"/>
    <w:rsid w:val="00822B9A"/>
    <w:rsid w:val="00827742"/>
    <w:rsid w:val="00833E79"/>
    <w:rsid w:val="00835599"/>
    <w:rsid w:val="008364DC"/>
    <w:rsid w:val="0083710A"/>
    <w:rsid w:val="008418C6"/>
    <w:rsid w:val="00842457"/>
    <w:rsid w:val="00846557"/>
    <w:rsid w:val="00850DC6"/>
    <w:rsid w:val="00851FB1"/>
    <w:rsid w:val="008610A8"/>
    <w:rsid w:val="00861C7A"/>
    <w:rsid w:val="00865A9A"/>
    <w:rsid w:val="008669B1"/>
    <w:rsid w:val="00874841"/>
    <w:rsid w:val="00875F14"/>
    <w:rsid w:val="00876F5D"/>
    <w:rsid w:val="008775ED"/>
    <w:rsid w:val="00883D0A"/>
    <w:rsid w:val="00883EF2"/>
    <w:rsid w:val="008848AB"/>
    <w:rsid w:val="00886353"/>
    <w:rsid w:val="0089023C"/>
    <w:rsid w:val="00893665"/>
    <w:rsid w:val="008937A3"/>
    <w:rsid w:val="00897CC2"/>
    <w:rsid w:val="008A1007"/>
    <w:rsid w:val="008A1604"/>
    <w:rsid w:val="008A3B9F"/>
    <w:rsid w:val="008A3EC6"/>
    <w:rsid w:val="008B0017"/>
    <w:rsid w:val="008B1A95"/>
    <w:rsid w:val="008B7DB0"/>
    <w:rsid w:val="008C0567"/>
    <w:rsid w:val="008C6004"/>
    <w:rsid w:val="008D2846"/>
    <w:rsid w:val="008E03BE"/>
    <w:rsid w:val="008E4A12"/>
    <w:rsid w:val="008E5071"/>
    <w:rsid w:val="008E6F49"/>
    <w:rsid w:val="008F15B9"/>
    <w:rsid w:val="008F7B19"/>
    <w:rsid w:val="00901F6D"/>
    <w:rsid w:val="00902C16"/>
    <w:rsid w:val="0091177A"/>
    <w:rsid w:val="00915CAD"/>
    <w:rsid w:val="009209B1"/>
    <w:rsid w:val="009215C6"/>
    <w:rsid w:val="00925869"/>
    <w:rsid w:val="00927261"/>
    <w:rsid w:val="009331B4"/>
    <w:rsid w:val="00934516"/>
    <w:rsid w:val="00934A52"/>
    <w:rsid w:val="009361B6"/>
    <w:rsid w:val="00936F83"/>
    <w:rsid w:val="00937013"/>
    <w:rsid w:val="009374DF"/>
    <w:rsid w:val="00943FF6"/>
    <w:rsid w:val="00944290"/>
    <w:rsid w:val="009459D5"/>
    <w:rsid w:val="0094797B"/>
    <w:rsid w:val="009511B9"/>
    <w:rsid w:val="00952743"/>
    <w:rsid w:val="009546A8"/>
    <w:rsid w:val="00955F6D"/>
    <w:rsid w:val="009573C2"/>
    <w:rsid w:val="009737B4"/>
    <w:rsid w:val="009759A1"/>
    <w:rsid w:val="00976070"/>
    <w:rsid w:val="00981113"/>
    <w:rsid w:val="00981471"/>
    <w:rsid w:val="009917F0"/>
    <w:rsid w:val="009A301E"/>
    <w:rsid w:val="009A3832"/>
    <w:rsid w:val="009A5E1C"/>
    <w:rsid w:val="009A6DD4"/>
    <w:rsid w:val="009A7A28"/>
    <w:rsid w:val="009B6A2D"/>
    <w:rsid w:val="009C4F61"/>
    <w:rsid w:val="009C54C2"/>
    <w:rsid w:val="009D5BAB"/>
    <w:rsid w:val="009E4EC5"/>
    <w:rsid w:val="009E6ED4"/>
    <w:rsid w:val="009E7171"/>
    <w:rsid w:val="009F06CB"/>
    <w:rsid w:val="009F731B"/>
    <w:rsid w:val="009F758B"/>
    <w:rsid w:val="00A01CDB"/>
    <w:rsid w:val="00A27826"/>
    <w:rsid w:val="00A3157F"/>
    <w:rsid w:val="00A3213E"/>
    <w:rsid w:val="00A35BD3"/>
    <w:rsid w:val="00A446DF"/>
    <w:rsid w:val="00A44954"/>
    <w:rsid w:val="00A45F0D"/>
    <w:rsid w:val="00A50025"/>
    <w:rsid w:val="00A5035B"/>
    <w:rsid w:val="00A507B8"/>
    <w:rsid w:val="00A53711"/>
    <w:rsid w:val="00A601C3"/>
    <w:rsid w:val="00A63B12"/>
    <w:rsid w:val="00A824AF"/>
    <w:rsid w:val="00A83DE0"/>
    <w:rsid w:val="00A85069"/>
    <w:rsid w:val="00A86A88"/>
    <w:rsid w:val="00A86F24"/>
    <w:rsid w:val="00A871CB"/>
    <w:rsid w:val="00A91902"/>
    <w:rsid w:val="00A92667"/>
    <w:rsid w:val="00AA1496"/>
    <w:rsid w:val="00AB388C"/>
    <w:rsid w:val="00AC4F72"/>
    <w:rsid w:val="00AD20FE"/>
    <w:rsid w:val="00AE0020"/>
    <w:rsid w:val="00AE0A3D"/>
    <w:rsid w:val="00AE13FE"/>
    <w:rsid w:val="00AE5BAD"/>
    <w:rsid w:val="00AE5D87"/>
    <w:rsid w:val="00AE7C91"/>
    <w:rsid w:val="00AF256D"/>
    <w:rsid w:val="00B019D2"/>
    <w:rsid w:val="00B117C2"/>
    <w:rsid w:val="00B14023"/>
    <w:rsid w:val="00B20B32"/>
    <w:rsid w:val="00B3013F"/>
    <w:rsid w:val="00B329F9"/>
    <w:rsid w:val="00B33EE3"/>
    <w:rsid w:val="00B438F2"/>
    <w:rsid w:val="00B45EDF"/>
    <w:rsid w:val="00B4755F"/>
    <w:rsid w:val="00B556A6"/>
    <w:rsid w:val="00B70D27"/>
    <w:rsid w:val="00B70F01"/>
    <w:rsid w:val="00B737FF"/>
    <w:rsid w:val="00B74D9C"/>
    <w:rsid w:val="00B76EA2"/>
    <w:rsid w:val="00B810AC"/>
    <w:rsid w:val="00B81256"/>
    <w:rsid w:val="00B9000F"/>
    <w:rsid w:val="00B91D6D"/>
    <w:rsid w:val="00B92FEE"/>
    <w:rsid w:val="00B9460B"/>
    <w:rsid w:val="00BA2CEB"/>
    <w:rsid w:val="00BB7B6E"/>
    <w:rsid w:val="00BC052F"/>
    <w:rsid w:val="00BC068A"/>
    <w:rsid w:val="00BD4114"/>
    <w:rsid w:val="00BD4C5D"/>
    <w:rsid w:val="00BD4D14"/>
    <w:rsid w:val="00BD67D0"/>
    <w:rsid w:val="00BE0DBD"/>
    <w:rsid w:val="00BE4AC7"/>
    <w:rsid w:val="00BE6D20"/>
    <w:rsid w:val="00BF5579"/>
    <w:rsid w:val="00BF78E3"/>
    <w:rsid w:val="00C07A8D"/>
    <w:rsid w:val="00C10CE1"/>
    <w:rsid w:val="00C13538"/>
    <w:rsid w:val="00C13DB4"/>
    <w:rsid w:val="00C16A65"/>
    <w:rsid w:val="00C27475"/>
    <w:rsid w:val="00C348A8"/>
    <w:rsid w:val="00C47BFB"/>
    <w:rsid w:val="00C54226"/>
    <w:rsid w:val="00C641CB"/>
    <w:rsid w:val="00C65B7C"/>
    <w:rsid w:val="00C667DF"/>
    <w:rsid w:val="00C67B49"/>
    <w:rsid w:val="00C73BA9"/>
    <w:rsid w:val="00C84589"/>
    <w:rsid w:val="00C8595C"/>
    <w:rsid w:val="00C90D45"/>
    <w:rsid w:val="00CA41AF"/>
    <w:rsid w:val="00CA4212"/>
    <w:rsid w:val="00CA751B"/>
    <w:rsid w:val="00CB248A"/>
    <w:rsid w:val="00CB6AB5"/>
    <w:rsid w:val="00CD2ABF"/>
    <w:rsid w:val="00CD4245"/>
    <w:rsid w:val="00CE5D88"/>
    <w:rsid w:val="00CE70AB"/>
    <w:rsid w:val="00D0160E"/>
    <w:rsid w:val="00D05CFA"/>
    <w:rsid w:val="00D244A7"/>
    <w:rsid w:val="00D30389"/>
    <w:rsid w:val="00D304C8"/>
    <w:rsid w:val="00D30D35"/>
    <w:rsid w:val="00D4144E"/>
    <w:rsid w:val="00D4639F"/>
    <w:rsid w:val="00D558A9"/>
    <w:rsid w:val="00D65AAE"/>
    <w:rsid w:val="00D70FEC"/>
    <w:rsid w:val="00D74365"/>
    <w:rsid w:val="00D75EC2"/>
    <w:rsid w:val="00D75FE1"/>
    <w:rsid w:val="00D80BD1"/>
    <w:rsid w:val="00D94525"/>
    <w:rsid w:val="00D9670E"/>
    <w:rsid w:val="00DA2C5B"/>
    <w:rsid w:val="00DC00B2"/>
    <w:rsid w:val="00DC299B"/>
    <w:rsid w:val="00DC73FD"/>
    <w:rsid w:val="00DD1D39"/>
    <w:rsid w:val="00DD532A"/>
    <w:rsid w:val="00DD62E2"/>
    <w:rsid w:val="00DE207A"/>
    <w:rsid w:val="00DF07FB"/>
    <w:rsid w:val="00DF106B"/>
    <w:rsid w:val="00DF2222"/>
    <w:rsid w:val="00DF25A3"/>
    <w:rsid w:val="00E0063E"/>
    <w:rsid w:val="00E01E30"/>
    <w:rsid w:val="00E10C75"/>
    <w:rsid w:val="00E13016"/>
    <w:rsid w:val="00E14C3C"/>
    <w:rsid w:val="00E267E6"/>
    <w:rsid w:val="00E31E41"/>
    <w:rsid w:val="00E32368"/>
    <w:rsid w:val="00E36EAC"/>
    <w:rsid w:val="00E42BBE"/>
    <w:rsid w:val="00E43B63"/>
    <w:rsid w:val="00E529F9"/>
    <w:rsid w:val="00E53137"/>
    <w:rsid w:val="00E60548"/>
    <w:rsid w:val="00E63487"/>
    <w:rsid w:val="00E65894"/>
    <w:rsid w:val="00E6786C"/>
    <w:rsid w:val="00E67A80"/>
    <w:rsid w:val="00E73BA3"/>
    <w:rsid w:val="00E76581"/>
    <w:rsid w:val="00E772C0"/>
    <w:rsid w:val="00E77D40"/>
    <w:rsid w:val="00E86837"/>
    <w:rsid w:val="00E87B8A"/>
    <w:rsid w:val="00E93113"/>
    <w:rsid w:val="00E936F6"/>
    <w:rsid w:val="00EA1EA7"/>
    <w:rsid w:val="00EA395E"/>
    <w:rsid w:val="00EA68B2"/>
    <w:rsid w:val="00EB0968"/>
    <w:rsid w:val="00EB2612"/>
    <w:rsid w:val="00EB2A11"/>
    <w:rsid w:val="00EC1C57"/>
    <w:rsid w:val="00EC7E0A"/>
    <w:rsid w:val="00ED00AF"/>
    <w:rsid w:val="00ED52F8"/>
    <w:rsid w:val="00ED7949"/>
    <w:rsid w:val="00EE07D0"/>
    <w:rsid w:val="00EE3B7D"/>
    <w:rsid w:val="00EF37F4"/>
    <w:rsid w:val="00EF7293"/>
    <w:rsid w:val="00F14233"/>
    <w:rsid w:val="00F14583"/>
    <w:rsid w:val="00F16547"/>
    <w:rsid w:val="00F16840"/>
    <w:rsid w:val="00F20B33"/>
    <w:rsid w:val="00F2103E"/>
    <w:rsid w:val="00F22C9F"/>
    <w:rsid w:val="00F2386B"/>
    <w:rsid w:val="00F239D6"/>
    <w:rsid w:val="00F25073"/>
    <w:rsid w:val="00F267E0"/>
    <w:rsid w:val="00F27189"/>
    <w:rsid w:val="00F349C6"/>
    <w:rsid w:val="00F376B7"/>
    <w:rsid w:val="00F37D4B"/>
    <w:rsid w:val="00F37FEE"/>
    <w:rsid w:val="00F443D7"/>
    <w:rsid w:val="00F46717"/>
    <w:rsid w:val="00F50E77"/>
    <w:rsid w:val="00F53BB2"/>
    <w:rsid w:val="00F6097D"/>
    <w:rsid w:val="00F71990"/>
    <w:rsid w:val="00F733C0"/>
    <w:rsid w:val="00F75027"/>
    <w:rsid w:val="00F7592D"/>
    <w:rsid w:val="00F77B6D"/>
    <w:rsid w:val="00F77BD9"/>
    <w:rsid w:val="00F816A9"/>
    <w:rsid w:val="00F83629"/>
    <w:rsid w:val="00F87B5D"/>
    <w:rsid w:val="00F9593B"/>
    <w:rsid w:val="00F9688C"/>
    <w:rsid w:val="00F97382"/>
    <w:rsid w:val="00FA03CA"/>
    <w:rsid w:val="00FA458F"/>
    <w:rsid w:val="00FA4DC9"/>
    <w:rsid w:val="00FB08ED"/>
    <w:rsid w:val="00FC16BC"/>
    <w:rsid w:val="00FC2DCE"/>
    <w:rsid w:val="00FC2EDB"/>
    <w:rsid w:val="00FC55EA"/>
    <w:rsid w:val="00FD039C"/>
    <w:rsid w:val="00FD2574"/>
    <w:rsid w:val="00FD4AC8"/>
    <w:rsid w:val="00FF04BC"/>
    <w:rsid w:val="00FF13DA"/>
    <w:rsid w:val="00FF23F1"/>
    <w:rsid w:val="00FF2C09"/>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13E"/>
    <w:pPr>
      <w:spacing w:after="160" w:line="259" w:lineRule="auto"/>
      <w:contextualSpacing/>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47845222">
      <w:bodyDiv w:val="1"/>
      <w:marLeft w:val="0"/>
      <w:marRight w:val="0"/>
      <w:marTop w:val="0"/>
      <w:marBottom w:val="0"/>
      <w:divBdr>
        <w:top w:val="none" w:sz="0" w:space="0" w:color="auto"/>
        <w:left w:val="none" w:sz="0" w:space="0" w:color="auto"/>
        <w:bottom w:val="none" w:sz="0" w:space="0" w:color="auto"/>
        <w:right w:val="none" w:sz="0" w:space="0" w:color="auto"/>
      </w:divBdr>
    </w:div>
    <w:div w:id="52894321">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3813191">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6354325">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5756010">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4840125">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27404982">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0118884">
      <w:bodyDiv w:val="1"/>
      <w:marLeft w:val="0"/>
      <w:marRight w:val="0"/>
      <w:marTop w:val="0"/>
      <w:marBottom w:val="0"/>
      <w:divBdr>
        <w:top w:val="none" w:sz="0" w:space="0" w:color="auto"/>
        <w:left w:val="none" w:sz="0" w:space="0" w:color="auto"/>
        <w:bottom w:val="none" w:sz="0" w:space="0" w:color="auto"/>
        <w:right w:val="none" w:sz="0" w:space="0" w:color="auto"/>
      </w:divBdr>
    </w:div>
    <w:div w:id="842429000">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0858963">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0145775">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31770142">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51036859">
      <w:bodyDiv w:val="1"/>
      <w:marLeft w:val="0"/>
      <w:marRight w:val="0"/>
      <w:marTop w:val="0"/>
      <w:marBottom w:val="0"/>
      <w:divBdr>
        <w:top w:val="none" w:sz="0" w:space="0" w:color="auto"/>
        <w:left w:val="none" w:sz="0" w:space="0" w:color="auto"/>
        <w:bottom w:val="none" w:sz="0" w:space="0" w:color="auto"/>
        <w:right w:val="none" w:sz="0" w:space="0" w:color="auto"/>
      </w:divBdr>
    </w:div>
    <w:div w:id="1251502565">
      <w:bodyDiv w:val="1"/>
      <w:marLeft w:val="0"/>
      <w:marRight w:val="0"/>
      <w:marTop w:val="0"/>
      <w:marBottom w:val="0"/>
      <w:divBdr>
        <w:top w:val="none" w:sz="0" w:space="0" w:color="auto"/>
        <w:left w:val="none" w:sz="0" w:space="0" w:color="auto"/>
        <w:bottom w:val="none" w:sz="0" w:space="0" w:color="auto"/>
        <w:right w:val="none" w:sz="0" w:space="0" w:color="auto"/>
      </w:divBdr>
    </w:div>
    <w:div w:id="1260404395">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5044861">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63869919">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4792025">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18478756">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482231951">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56356663">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6608447">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6241168">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105V2XNotes</b:Tag>
    <b:SourceType>ConferenceProceedings</b:SourceType>
    <b:Guid>{205D3344-869D-4120-9944-1A3FE9BE9851}</b:Guid>
    <b:Title>RAN2#105, NR V2X: Chairman Notes</b:Title>
    <b:RefOrder>1</b:RefOrder>
  </b:Source>
  <b:Source>
    <b:Tag>105QoSEmail</b:Tag>
    <b:SourceType>ConferenceProceedings</b:SourceType>
    <b:Guid>{685EE851-F64C-412B-A376-A06A8C5DE087}</b:Guid>
    <b:Title>R2-1900370, Summary of Email Discussion [104#58][NR V2X] - QoS support for NR V2X (Huawei)</b:Title>
    <b:RefOrder>2</b:RefOrder>
  </b:Source>
  <b:Source>
    <b:Tag>TR23786</b:Tag>
    <b:SourceType>ConferenceProceedings</b:SourceType>
    <b:Guid>{A0C506AC-976C-4BB5-895C-FB12137254BD}</b:Guid>
    <b:Title>TR 23.786, Study on architecture enhancements for the Evolved Packet System (EPS) and the 5G System (5GS) to support advanced V2X services</b:Title>
    <b:RefOrder>3</b:RefOrder>
  </b:Source>
</b:Sources>
</file>

<file path=customXml/itemProps1.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D69657C-909D-4954-AC96-438360CAA015}">
  <ds:schemaRefs>
    <ds:schemaRef ds:uri="http://schemas.microsoft.com/office/2006/documentManagement/types"/>
    <ds:schemaRef ds:uri="http://schemas.openxmlformats.org/package/2006/metadata/core-properties"/>
    <ds:schemaRef ds:uri="http://purl.org/dc/dcmitype/"/>
    <ds:schemaRef ds:uri="http://purl.org/dc/elements/1.1/"/>
    <ds:schemaRef ds:uri="http://schemas.microsoft.com/office/2006/metadata/properties"/>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4.xml><?xml version="1.0" encoding="utf-8"?>
<ds:datastoreItem xmlns:ds="http://schemas.openxmlformats.org/officeDocument/2006/customXml" ds:itemID="{9127489F-4E41-4FA9-9801-7F8BCA52C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11215</TotalTime>
  <Pages>3</Pages>
  <Words>1850</Words>
  <Characters>9498</Characters>
  <Application>Microsoft Office Word</Application>
  <DocSecurity>0</DocSecurity>
  <Lines>149</Lines>
  <Paragraphs>39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377</cp:revision>
  <dcterms:created xsi:type="dcterms:W3CDTF">2017-08-12T02:26:00Z</dcterms:created>
  <dcterms:modified xsi:type="dcterms:W3CDTF">2019-08-16T01:20:00Z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2019-08-16 01:20:03Z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